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Style w:val="T2"/>
        <w:tblW w:w="8861" w:type="dxa"/>
        <w:tblCellMar>
          <w:top w:w="0" w:type="dxa"/>
          <w:left w:w="0" w:type="dxa"/>
          <w:bottom w:w="0" w:type="dxa"/>
          <w:right w:w="0" w:type="dxa"/>
        </w:tblCellMar>
        <w:tblLook w:val="04A0"/>
      </w:tblPr>
      <w:tblGrid/>
      <w:tr>
        <w:trPr>
          <w:trHeight w:hRule="exact" w:val="9781"/>
        </w:trPr>
        <w:tc>
          <w:tcPr>
            <w:tcW w:w="8861" w:type="dxa"/>
          </w:tcPr>
          <w:p>
            <w:pPr>
              <w:pStyle w:val="P115"/>
              <w:rPr>
                <w:sz w:val="100"/>
                <w:szCs w:val="32"/>
              </w:rPr>
            </w:pPr>
            <w:bookmarkStart w:id="0" w:name="_Hlk134094065"/>
            <w:bookmarkEnd w:id="0"/>
            <w:r>
              <w:rPr>
                <w:sz w:val="100"/>
                <w:szCs w:val="32"/>
              </w:rPr>
              <w:t>Planbeskrivning</w:t>
            </w:r>
          </w:p>
          <w:p>
            <w:pPr>
              <w:spacing w:after="4" w:beforeAutospacing="0" w:afterAutospacing="0"/>
              <w:jc w:val="left"/>
              <w:rPr>
                <w:b w:val="1"/>
                <w:color w:val="auto"/>
                <w:sz w:val="40"/>
                <w:szCs w:val="40"/>
                <w:highlight w:val="yellow"/>
              </w:rPr>
            </w:pPr>
            <w:r>
              <w:rPr>
                <w:b w:val="1"/>
                <w:color w:val="auto"/>
                <w:sz w:val="40"/>
                <w:szCs w:val="40"/>
              </w:rPr>
              <w:t>Laga kraft handling</w:t>
            </w:r>
          </w:p>
          <w:p>
            <w:pPr>
              <w:spacing w:after="4" w:beforeAutospacing="0" w:afterAutospacing="0"/>
              <w:jc w:val="left"/>
              <w:rPr>
                <w:b w:val="1"/>
                <w:color w:val="auto"/>
                <w:sz w:val="28"/>
                <w:szCs w:val="28"/>
              </w:rPr>
            </w:pPr>
            <w:r>
              <w:rPr>
                <w:color w:val="auto"/>
                <w:sz w:val="28"/>
                <w:szCs w:val="28"/>
              </w:rPr>
              <w:t xml:space="preserve">Ändring nr 1 av detaljplan B176, utökning av byggrätt för fastigheten Sollebrunn 19:56 </w:t>
            </w:r>
          </w:p>
          <w:p>
            <w:pPr>
              <w:spacing w:lineRule="auto" w:line="249" w:after="48" w:beforeAutospacing="0" w:afterAutospacing="0"/>
              <w:ind w:right="1171"/>
              <w:rPr>
                <w:sz w:val="36"/>
              </w:rPr>
            </w:pPr>
            <w:r>
              <w:rPr>
                <w:sz w:val="36"/>
              </w:rPr>
              <w:drawing>
                <wp:inline xmlns:wp="http://schemas.openxmlformats.org/drawingml/2006/wordprocessingDrawing" distT="0" distB="0" distL="0" distR="0">
                  <wp:extent cx="3810000" cy="28575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0535.JPG"/>
                          <pic:cNvPicPr/>
                        </pic:nvPicPr>
                        <pic:blipFill dpi="0">
                          <a:blip xmlns:r="http://schemas.openxmlformats.org/officeDocument/2006/relationships" r:embed="Relimage1"/>
                          <a:srcRect/>
                          <a:stretch>
                            <a:fillRect/>
                          </a:stretch>
                        </pic:blipFill>
                        <pic:spPr>
                          <a:xfrm rot="5400000">
                            <a:off x="0" y="0"/>
                            <a:ext cx="3810000" cy="2857500"/>
                          </a:xfrm>
                          <a:prstGeom prst="rect"/>
                        </pic:spPr>
                      </pic:pic>
                    </a:graphicData>
                  </a:graphic>
                </wp:inline>
              </w:drawing>
            </w:r>
          </w:p>
          <w:p>
            <w:pPr>
              <w:spacing w:after="4" w:beforeAutospacing="0" w:afterAutospacing="0"/>
              <w:jc w:val="left"/>
            </w:pPr>
          </w:p>
        </w:tc>
      </w:tr>
    </w:tbl>
    <w:p>
      <w:pPr>
        <w:spacing w:lineRule="auto" w:line="240" w:after="0" w:beforeAutospacing="0" w:afterAutospacing="0"/>
        <w:rPr>
          <w:sz w:val="2"/>
          <w:szCs w:val="2"/>
        </w:rPr>
      </w:pPr>
    </w:p>
    <w:tbl>
      <w:tblPr>
        <w:tblStyle w:val="T2"/>
        <w:tblW w:w="8889" w:type="dxa"/>
        <w:tblCellMar>
          <w:top w:w="397" w:type="dxa"/>
          <w:left w:w="0" w:type="dxa"/>
          <w:bottom w:w="0" w:type="dxa"/>
          <w:right w:w="0" w:type="dxa"/>
        </w:tblCellMar>
        <w:tblLook w:val="04A0"/>
      </w:tblPr>
      <w:tblGrid/>
      <w:tr>
        <w:trPr>
          <w:trHeight w:hRule="atLeast" w:val="1474"/>
        </w:trPr>
        <w:tc>
          <w:tcPr>
            <w:tcW w:w="5103" w:type="dxa"/>
            <w:tcBorders>
              <w:top w:val="single" w:sz="4" w:space="0" w:shadow="0" w:frame="0" w:color="000000"/>
            </w:tcBorders>
            <w:shd w:val="clear" w:color="auto" w:fill="auto"/>
          </w:tcPr>
          <w:p>
            <w:pPr>
              <w:pStyle w:val="P116"/>
              <w:framePr w:hSpace="0" w:wrap="auto" w:y="0" w:yAlign="inline"/>
            </w:pPr>
            <w:r>
              <w:t>Beslutande instans: Kommunstyrelsen</w:t>
            </w:r>
          </w:p>
          <w:p>
            <w:pPr>
              <w:pStyle w:val="P116"/>
              <w:framePr w:hSpace="0" w:wrap="auto" w:y="0" w:yAlign="inline"/>
              <w:rPr>
                <w:color w:val="auto"/>
              </w:rPr>
            </w:pPr>
            <w:r>
              <w:t>Datum för antagandebeslut</w:t>
            </w:r>
            <w:r>
              <w:rPr>
                <w:color w:val="auto"/>
              </w:rPr>
              <w:t>: 2024-02-05</w:t>
            </w:r>
          </w:p>
          <w:p>
            <w:pPr>
              <w:pStyle w:val="P116"/>
              <w:framePr w:hSpace="0" w:wrap="auto" w:y="0" w:yAlign="inline"/>
              <w:rPr>
                <w:color w:val="auto"/>
              </w:rPr>
            </w:pPr>
            <w:r>
              <w:rPr>
                <w:color w:val="auto"/>
              </w:rPr>
              <w:t>Laga kraft: 2024-03-01</w:t>
            </w:r>
          </w:p>
          <w:p>
            <w:pPr>
              <w:pStyle w:val="P116"/>
              <w:framePr w:hSpace="0" w:wrap="auto" w:y="0" w:yAlign="inline"/>
              <w:rPr>
                <w:color w:val="auto"/>
              </w:rPr>
            </w:pPr>
            <w:r>
              <w:rPr>
                <w:color w:val="auto"/>
              </w:rPr>
              <w:t>Diarienummer: 2023.037 KS</w:t>
            </w:r>
          </w:p>
          <w:p>
            <w:pPr>
              <w:pStyle w:val="P116"/>
              <w:framePr w:hSpace="0" w:wrap="auto" w:y="0" w:yAlign="inline"/>
            </w:pPr>
            <w:r>
              <w:t xml:space="preserve">Lagstiftning: Plan- och bygglagen 2010:900 </w:t>
            </w:r>
          </w:p>
          <w:p>
            <w:pPr>
              <w:pStyle w:val="P116"/>
              <w:framePr w:hSpace="0" w:wrap="auto" w:y="0" w:yAlign="inline"/>
            </w:pPr>
            <w:r>
              <w:t xml:space="preserve">(SFS t.o.m </w:t>
            </w:r>
            <w:r>
              <w:rPr>
                <w:rFonts w:cs="Arial"/>
                <w:shd w:val="clear" w:color="auto" w:fill="FFFFFF"/>
              </w:rPr>
              <w:t>2023:173</w:t>
            </w:r>
            <w:r>
              <w:t xml:space="preserve"> och BFS 2020:8)</w:t>
            </w:r>
          </w:p>
        </w:tc>
        <w:tc>
          <w:tcPr>
            <w:tcW w:w="3786" w:type="dxa"/>
            <w:tcBorders>
              <w:top w:val="single" w:sz="4" w:space="0" w:shadow="0" w:frame="0" w:color="000000"/>
            </w:tcBorders>
            <w:shd w:val="clear" w:color="auto" w:fill="auto"/>
          </w:tcPr>
          <w:p>
            <w:pPr>
              <w:pStyle w:val="P116"/>
              <w:framePr w:hSpace="0" w:wrap="auto" w:y="0" w:yAlign="inline"/>
            </w:pPr>
            <w:r>
              <w:t xml:space="preserve">Begränsat standardförfarande </w:t>
            </w:r>
          </w:p>
          <w:p>
            <w:pPr>
              <w:pStyle w:val="P116"/>
              <w:framePr w:hSpace="0" w:wrap="auto" w:y="0" w:yAlign="inline"/>
            </w:pPr>
            <w:r>
              <w:t xml:space="preserve">Upprättad: </w:t>
            </w:r>
            <w:r>
              <w:rPr>
                <w:color w:val="auto"/>
              </w:rPr>
              <w:t>2023-05-01</w:t>
            </w:r>
          </w:p>
          <w:p>
            <w:pPr>
              <w:pStyle w:val="P116"/>
              <w:framePr w:hSpace="0" w:wrap="auto" w:y="0" w:yAlign="inline"/>
            </w:pPr>
            <w:r>
              <w:t>Senast reviderad: 2024-01-12</w:t>
            </w:r>
          </w:p>
          <w:p>
            <w:pPr>
              <w:pStyle w:val="P116"/>
              <w:framePr w:hSpace="0" w:wrap="auto" w:y="0" w:yAlign="inline"/>
            </w:pPr>
            <w:r>
              <w:t>Genomförandetid: 5 år</w:t>
            </w:r>
          </w:p>
          <w:p>
            <w:pPr>
              <w:pStyle w:val="P116"/>
              <w:framePr w:hSpace="0" w:wrap="auto" w:y="0" w:yAlign="inline"/>
              <w:jc w:val="left"/>
            </w:pPr>
            <w:r>
              <w:t>Planförfattare: Emelie Aspeheim-Spreizer Planenheten, KLK</w:t>
            </w:r>
          </w:p>
        </w:tc>
      </w:tr>
    </w:tbl>
    <w:p>
      <w:pPr>
        <w:pStyle w:val="P42"/>
        <w:rPr>
          <w:sz w:val="54"/>
          <w:szCs w:val="54"/>
        </w:rPr>
      </w:pPr>
      <w:bookmarkStart w:id="1" w:name="xxTOC"/>
      <w:r>
        <w:rPr>
          <w:sz w:val="54"/>
          <w:szCs w:val="54"/>
        </w:rPr>
        <w:t>Innehållsförteckning</w:t>
      </w:r>
    </w:p>
    <w:p>
      <w:pPr>
        <w:pStyle w:val="P13"/>
        <w:rPr>
          <w:rFonts w:asciiTheme="minorHAnsi" w:hAnsiTheme="minorHAnsi" w:cstheme="minorBidi" w:eastAsiaTheme="minorEastAsia"/>
          <w:b w:val="0"/>
          <w:color w:val="auto"/>
          <w:lang w:eastAsia="sv-SE"/>
        </w:rPr>
      </w:pPr>
      <w:r>
        <w:rPr>
          <w:b w:val="0"/>
          <w:sz w:val="24"/>
          <w:szCs w:val="24"/>
        </w:rPr>
        <w:fldChar w:fldCharType="begin"/>
      </w:r>
      <w:r>
        <w:rPr>
          <w:b w:val="0"/>
          <w:sz w:val="24"/>
          <w:szCs w:val="24"/>
        </w:rPr>
        <w:instrText xml:space="preserve"> TOC \o "1-2" \h \z \u </w:instrText>
      </w:r>
      <w:r>
        <w:rPr>
          <w:b w:val="0"/>
          <w:sz w:val="24"/>
          <w:szCs w:val="24"/>
        </w:rPr>
        <w:fldChar w:fldCharType="separate"/>
      </w:r>
      <w:hyperlink w:anchor="_Toc136422304">
        <w:r>
          <w:rPr>
            <w:rStyle w:val="C2"/>
          </w:rPr>
          <w:t>Sammanfattning</w:t>
        </w:r>
        <w:r>
          <w:tab/>
        </w:r>
        <w:r>
          <w:fldChar w:fldCharType="begin"/>
        </w:r>
        <w:r>
          <w:instrText xml:space="preserve"> PAGEREF _Toc136422304 \h </w:instrText>
        </w:r>
        <w:r>
          <w:fldChar w:fldCharType="separate"/>
        </w:r>
        <w:r>
          <w:t>3</w:t>
        </w:r>
        <w:r>
          <w:fldChar w:fldCharType="end"/>
        </w:r>
      </w:hyperlink>
    </w:p>
    <w:p>
      <w:pPr>
        <w:pStyle w:val="P13"/>
        <w:rPr>
          <w:rFonts w:asciiTheme="minorHAnsi" w:hAnsiTheme="minorHAnsi" w:cstheme="minorBidi" w:eastAsiaTheme="minorEastAsia"/>
          <w:b w:val="0"/>
          <w:color w:val="auto"/>
          <w:lang w:eastAsia="sv-SE"/>
        </w:rPr>
      </w:pPr>
      <w:hyperlink w:anchor="_Toc136422305">
        <w:r>
          <w:rPr>
            <w:rStyle w:val="C2"/>
          </w:rPr>
          <w:t>Inledning</w:t>
        </w:r>
        <w:r>
          <w:tab/>
        </w:r>
        <w:r>
          <w:fldChar w:fldCharType="begin"/>
        </w:r>
        <w:r>
          <w:instrText xml:space="preserve"> PAGEREF _Toc136422305 \h </w:instrText>
        </w:r>
        <w:r>
          <w:fldChar w:fldCharType="separate"/>
        </w:r>
        <w:r>
          <w:t>4</w:t>
        </w:r>
        <w:r>
          <w:fldChar w:fldCharType="end"/>
        </w:r>
      </w:hyperlink>
    </w:p>
    <w:p>
      <w:pPr>
        <w:pStyle w:val="P14"/>
        <w:rPr>
          <w:rFonts w:asciiTheme="minorHAnsi" w:hAnsiTheme="minorHAnsi" w:cstheme="minorBidi" w:eastAsiaTheme="minorEastAsia"/>
          <w:color w:val="auto"/>
          <w:lang w:eastAsia="sv-SE"/>
        </w:rPr>
      </w:pPr>
      <w:hyperlink w:anchor="_Toc136422306">
        <w:r>
          <w:rPr>
            <w:rStyle w:val="C2"/>
          </w:rPr>
          <w:t>Vad är en detaljplan?</w:t>
        </w:r>
        <w:r>
          <w:tab/>
        </w:r>
        <w:r>
          <w:fldChar w:fldCharType="begin"/>
        </w:r>
        <w:r>
          <w:instrText xml:space="preserve"> PAGEREF _Toc136422306 \h </w:instrText>
        </w:r>
        <w:r>
          <w:fldChar w:fldCharType="separate"/>
        </w:r>
        <w:r>
          <w:t>4</w:t>
        </w:r>
        <w:r>
          <w:fldChar w:fldCharType="end"/>
        </w:r>
      </w:hyperlink>
    </w:p>
    <w:p>
      <w:pPr>
        <w:pStyle w:val="P14"/>
        <w:rPr>
          <w:rFonts w:asciiTheme="minorHAnsi" w:hAnsiTheme="minorHAnsi" w:cstheme="minorBidi" w:eastAsiaTheme="minorEastAsia"/>
          <w:color w:val="auto"/>
          <w:lang w:eastAsia="sv-SE"/>
        </w:rPr>
      </w:pPr>
      <w:hyperlink w:anchor="_Toc136422307">
        <w:r>
          <w:rPr>
            <w:rStyle w:val="C2"/>
          </w:rPr>
          <w:t>Planprocessen</w:t>
        </w:r>
        <w:r>
          <w:tab/>
        </w:r>
        <w:r>
          <w:fldChar w:fldCharType="begin"/>
        </w:r>
        <w:r>
          <w:instrText xml:space="preserve"> PAGEREF _Toc136422307 \h </w:instrText>
        </w:r>
        <w:r>
          <w:fldChar w:fldCharType="separate"/>
        </w:r>
        <w:r>
          <w:t>4</w:t>
        </w:r>
        <w:r>
          <w:fldChar w:fldCharType="end"/>
        </w:r>
      </w:hyperlink>
    </w:p>
    <w:p>
      <w:pPr>
        <w:pStyle w:val="P14"/>
        <w:rPr>
          <w:rFonts w:asciiTheme="minorHAnsi" w:hAnsiTheme="minorHAnsi" w:cstheme="minorBidi" w:eastAsiaTheme="minorEastAsia"/>
          <w:color w:val="auto"/>
          <w:lang w:eastAsia="sv-SE"/>
        </w:rPr>
      </w:pPr>
      <w:hyperlink w:anchor="_Toc136422308">
        <w:r>
          <w:rPr>
            <w:rStyle w:val="C2"/>
          </w:rPr>
          <w:t>Planeringsunderlag</w:t>
        </w:r>
        <w:r>
          <w:tab/>
        </w:r>
        <w:r>
          <w:fldChar w:fldCharType="begin"/>
        </w:r>
        <w:r>
          <w:instrText xml:space="preserve"> PAGEREF _Toc136422308 \h </w:instrText>
        </w:r>
        <w:r>
          <w:fldChar w:fldCharType="separate"/>
        </w:r>
        <w:r>
          <w:t>5</w:t>
        </w:r>
        <w:r>
          <w:fldChar w:fldCharType="end"/>
        </w:r>
      </w:hyperlink>
    </w:p>
    <w:p>
      <w:pPr>
        <w:pStyle w:val="P13"/>
        <w:rPr>
          <w:rFonts w:asciiTheme="minorHAnsi" w:hAnsiTheme="minorHAnsi" w:cstheme="minorBidi" w:eastAsiaTheme="minorEastAsia"/>
          <w:b w:val="0"/>
          <w:color w:val="auto"/>
          <w:lang w:eastAsia="sv-SE"/>
        </w:rPr>
      </w:pPr>
      <w:hyperlink w:anchor="_Toc136422309">
        <w:r>
          <w:rPr>
            <w:rStyle w:val="C2"/>
          </w:rPr>
          <w:t>Detaljplanens syfte</w:t>
        </w:r>
        <w:r>
          <w:tab/>
        </w:r>
        <w:r>
          <w:fldChar w:fldCharType="begin"/>
        </w:r>
        <w:r>
          <w:instrText xml:space="preserve"> PAGEREF _Toc136422309 \h </w:instrText>
        </w:r>
        <w:r>
          <w:fldChar w:fldCharType="separate"/>
        </w:r>
        <w:r>
          <w:t>5</w:t>
        </w:r>
        <w:r>
          <w:fldChar w:fldCharType="end"/>
        </w:r>
      </w:hyperlink>
    </w:p>
    <w:p>
      <w:pPr>
        <w:pStyle w:val="P14"/>
        <w:rPr>
          <w:rFonts w:asciiTheme="minorHAnsi" w:hAnsiTheme="minorHAnsi" w:cstheme="minorBidi" w:eastAsiaTheme="minorEastAsia"/>
          <w:color w:val="auto"/>
          <w:lang w:eastAsia="sv-SE"/>
        </w:rPr>
      </w:pPr>
      <w:hyperlink w:anchor="_Toc136422310">
        <w:r>
          <w:rPr>
            <w:rStyle w:val="C2"/>
          </w:rPr>
          <w:t>Varför ändring av planen valts</w:t>
        </w:r>
        <w:r>
          <w:tab/>
        </w:r>
        <w:r>
          <w:fldChar w:fldCharType="begin"/>
        </w:r>
        <w:r>
          <w:instrText xml:space="preserve"> PAGEREF _Toc136422310 \h </w:instrText>
        </w:r>
        <w:r>
          <w:fldChar w:fldCharType="separate"/>
        </w:r>
        <w:r>
          <w:t>5</w:t>
        </w:r>
        <w:r>
          <w:fldChar w:fldCharType="end"/>
        </w:r>
      </w:hyperlink>
    </w:p>
    <w:p>
      <w:pPr>
        <w:pStyle w:val="P13"/>
        <w:rPr>
          <w:rFonts w:asciiTheme="minorHAnsi" w:hAnsiTheme="minorHAnsi" w:cstheme="minorBidi" w:eastAsiaTheme="minorEastAsia"/>
          <w:b w:val="0"/>
          <w:color w:val="auto"/>
          <w:lang w:eastAsia="sv-SE"/>
        </w:rPr>
      </w:pPr>
      <w:hyperlink w:anchor="_Toc136422311">
        <w:r>
          <w:rPr>
            <w:rStyle w:val="C2"/>
          </w:rPr>
          <w:t>Beskrivning av detaljplanen</w:t>
        </w:r>
        <w:r>
          <w:tab/>
        </w:r>
        <w:r>
          <w:fldChar w:fldCharType="begin"/>
        </w:r>
        <w:r>
          <w:instrText xml:space="preserve"> PAGEREF _Toc136422311 \h </w:instrText>
        </w:r>
        <w:r>
          <w:fldChar w:fldCharType="separate"/>
        </w:r>
        <w:r>
          <w:t>6</w:t>
        </w:r>
        <w:r>
          <w:fldChar w:fldCharType="end"/>
        </w:r>
      </w:hyperlink>
    </w:p>
    <w:p>
      <w:pPr>
        <w:pStyle w:val="P14"/>
        <w:rPr>
          <w:rFonts w:asciiTheme="minorHAnsi" w:hAnsiTheme="minorHAnsi" w:cstheme="minorBidi" w:eastAsiaTheme="minorEastAsia"/>
          <w:color w:val="auto"/>
          <w:lang w:eastAsia="sv-SE"/>
        </w:rPr>
      </w:pPr>
      <w:hyperlink w:anchor="_Toc136422312">
        <w:r>
          <w:rPr>
            <w:rStyle w:val="C2"/>
          </w:rPr>
          <w:t>Läge och omfattning</w:t>
        </w:r>
        <w:r>
          <w:tab/>
        </w:r>
        <w:r>
          <w:fldChar w:fldCharType="begin"/>
        </w:r>
        <w:r>
          <w:instrText xml:space="preserve"> PAGEREF _Toc136422312 \h </w:instrText>
        </w:r>
        <w:r>
          <w:fldChar w:fldCharType="separate"/>
        </w:r>
        <w:r>
          <w:t>6</w:t>
        </w:r>
        <w:r>
          <w:fldChar w:fldCharType="end"/>
        </w:r>
      </w:hyperlink>
    </w:p>
    <w:p>
      <w:pPr>
        <w:pStyle w:val="P14"/>
        <w:rPr>
          <w:rFonts w:asciiTheme="minorHAnsi" w:hAnsiTheme="minorHAnsi" w:cstheme="minorBidi" w:eastAsiaTheme="minorEastAsia"/>
          <w:color w:val="auto"/>
          <w:lang w:eastAsia="sv-SE"/>
        </w:rPr>
      </w:pPr>
      <w:hyperlink w:anchor="_Toc136422313">
        <w:r>
          <w:rPr>
            <w:rStyle w:val="C2"/>
          </w:rPr>
          <w:t>Planförslag</w:t>
        </w:r>
        <w:r>
          <w:tab/>
        </w:r>
        <w:r>
          <w:fldChar w:fldCharType="begin"/>
        </w:r>
        <w:r>
          <w:instrText xml:space="preserve"> PAGEREF _Toc136422313 \h </w:instrText>
        </w:r>
        <w:r>
          <w:fldChar w:fldCharType="separate"/>
        </w:r>
        <w:r>
          <w:t>6</w:t>
        </w:r>
        <w:r>
          <w:fldChar w:fldCharType="end"/>
        </w:r>
      </w:hyperlink>
    </w:p>
    <w:p>
      <w:pPr>
        <w:pStyle w:val="P13"/>
        <w:rPr>
          <w:rFonts w:asciiTheme="minorHAnsi" w:hAnsiTheme="minorHAnsi" w:cstheme="minorBidi" w:eastAsiaTheme="minorEastAsia"/>
          <w:b w:val="0"/>
          <w:color w:val="auto"/>
          <w:lang w:eastAsia="sv-SE"/>
        </w:rPr>
      </w:pPr>
      <w:hyperlink w:anchor="_Toc136422314">
        <w:r>
          <w:rPr>
            <w:rStyle w:val="C2"/>
          </w:rPr>
          <w:t>Motiv till detaljplanens regleringar</w:t>
        </w:r>
        <w:r>
          <w:tab/>
        </w:r>
        <w:r>
          <w:fldChar w:fldCharType="begin"/>
        </w:r>
        <w:r>
          <w:instrText xml:space="preserve"> PAGEREF _Toc136422314 \h </w:instrText>
        </w:r>
        <w:r>
          <w:fldChar w:fldCharType="separate"/>
        </w:r>
        <w:r>
          <w:t>7</w:t>
        </w:r>
        <w:r>
          <w:fldChar w:fldCharType="end"/>
        </w:r>
      </w:hyperlink>
    </w:p>
    <w:p>
      <w:pPr>
        <w:pStyle w:val="P14"/>
        <w:rPr>
          <w:rFonts w:asciiTheme="minorHAnsi" w:hAnsiTheme="minorHAnsi" w:cstheme="minorBidi" w:eastAsiaTheme="minorEastAsia"/>
          <w:color w:val="auto"/>
          <w:lang w:eastAsia="sv-SE"/>
        </w:rPr>
      </w:pPr>
      <w:hyperlink w:anchor="_Toc136422315">
        <w:r>
          <w:rPr>
            <w:rStyle w:val="C2"/>
          </w:rPr>
          <w:t>Användning av kvartersmark</w:t>
        </w:r>
        <w:r>
          <w:tab/>
        </w:r>
        <w:r>
          <w:fldChar w:fldCharType="begin"/>
        </w:r>
        <w:r>
          <w:instrText xml:space="preserve"> PAGEREF _Toc136422315 \h </w:instrText>
        </w:r>
        <w:r>
          <w:fldChar w:fldCharType="separate"/>
        </w:r>
        <w:r>
          <w:t>7</w:t>
        </w:r>
        <w:r>
          <w:fldChar w:fldCharType="end"/>
        </w:r>
      </w:hyperlink>
    </w:p>
    <w:p>
      <w:pPr>
        <w:pStyle w:val="P14"/>
        <w:rPr>
          <w:rFonts w:asciiTheme="minorHAnsi" w:hAnsiTheme="minorHAnsi" w:cstheme="minorBidi" w:eastAsiaTheme="minorEastAsia"/>
          <w:color w:val="auto"/>
          <w:lang w:eastAsia="sv-SE"/>
        </w:rPr>
      </w:pPr>
      <w:hyperlink w:anchor="_Toc136422316">
        <w:r>
          <w:rPr>
            <w:rStyle w:val="C2"/>
          </w:rPr>
          <w:t>Egenskapsbestämmelser för kvartersmark</w:t>
        </w:r>
        <w:r>
          <w:tab/>
        </w:r>
        <w:r>
          <w:fldChar w:fldCharType="begin"/>
        </w:r>
        <w:r>
          <w:instrText xml:space="preserve"> PAGEREF _Toc136422316 \h </w:instrText>
        </w:r>
        <w:r>
          <w:fldChar w:fldCharType="separate"/>
        </w:r>
        <w:r>
          <w:t>8</w:t>
        </w:r>
        <w:r>
          <w:fldChar w:fldCharType="end"/>
        </w:r>
      </w:hyperlink>
    </w:p>
    <w:p>
      <w:pPr>
        <w:pStyle w:val="P13"/>
        <w:rPr>
          <w:rFonts w:asciiTheme="minorHAnsi" w:hAnsiTheme="minorHAnsi" w:cstheme="minorBidi" w:eastAsiaTheme="minorEastAsia"/>
          <w:b w:val="0"/>
          <w:color w:val="auto"/>
          <w:lang w:eastAsia="sv-SE"/>
        </w:rPr>
      </w:pPr>
      <w:hyperlink w:anchor="_Toc136422317">
        <w:r>
          <w:rPr>
            <w:rStyle w:val="C2"/>
          </w:rPr>
          <w:t>Planeringsförutsättningar och konsekvenser</w:t>
        </w:r>
        <w:r>
          <w:tab/>
        </w:r>
        <w:r>
          <w:fldChar w:fldCharType="begin"/>
        </w:r>
        <w:r>
          <w:instrText xml:space="preserve"> PAGEREF _Toc136422317 \h </w:instrText>
        </w:r>
        <w:r>
          <w:fldChar w:fldCharType="separate"/>
        </w:r>
        <w:r>
          <w:t>9</w:t>
        </w:r>
        <w:r>
          <w:fldChar w:fldCharType="end"/>
        </w:r>
      </w:hyperlink>
    </w:p>
    <w:p>
      <w:pPr>
        <w:pStyle w:val="P14"/>
        <w:rPr>
          <w:rFonts w:asciiTheme="minorHAnsi" w:hAnsiTheme="minorHAnsi" w:cstheme="minorBidi" w:eastAsiaTheme="minorEastAsia"/>
          <w:color w:val="auto"/>
          <w:lang w:eastAsia="sv-SE"/>
        </w:rPr>
      </w:pPr>
      <w:hyperlink w:anchor="_Toc136422318">
        <w:r>
          <w:rPr>
            <w:rStyle w:val="C2"/>
          </w:rPr>
          <w:t>Kommunala</w:t>
        </w:r>
        <w:r>
          <w:tab/>
        </w:r>
        <w:r>
          <w:fldChar w:fldCharType="begin"/>
        </w:r>
        <w:r>
          <w:instrText xml:space="preserve"> PAGEREF _Toc136422318 \h </w:instrText>
        </w:r>
        <w:r>
          <w:fldChar w:fldCharType="separate"/>
        </w:r>
        <w:r>
          <w:t>9</w:t>
        </w:r>
        <w:r>
          <w:fldChar w:fldCharType="end"/>
        </w:r>
      </w:hyperlink>
    </w:p>
    <w:p>
      <w:pPr>
        <w:pStyle w:val="P14"/>
        <w:rPr>
          <w:rFonts w:asciiTheme="minorHAnsi" w:hAnsiTheme="minorHAnsi" w:cstheme="minorBidi" w:eastAsiaTheme="minorEastAsia"/>
          <w:color w:val="auto"/>
          <w:lang w:eastAsia="sv-SE"/>
        </w:rPr>
      </w:pPr>
      <w:hyperlink w:anchor="_Toc136422319">
        <w:r>
          <w:rPr>
            <w:rStyle w:val="C2"/>
          </w:rPr>
          <w:t>Stadsmiljö och bebyggelse</w:t>
        </w:r>
        <w:r>
          <w:tab/>
        </w:r>
        <w:r>
          <w:fldChar w:fldCharType="begin"/>
        </w:r>
        <w:r>
          <w:instrText xml:space="preserve"> PAGEREF _Toc136422319 \h </w:instrText>
        </w:r>
        <w:r>
          <w:fldChar w:fldCharType="separate"/>
        </w:r>
        <w:r>
          <w:t>10</w:t>
        </w:r>
        <w:r>
          <w:fldChar w:fldCharType="end"/>
        </w:r>
      </w:hyperlink>
    </w:p>
    <w:p>
      <w:pPr>
        <w:pStyle w:val="P14"/>
        <w:rPr>
          <w:rFonts w:asciiTheme="minorHAnsi" w:hAnsiTheme="minorHAnsi" w:cstheme="minorBidi" w:eastAsiaTheme="minorEastAsia"/>
          <w:color w:val="auto"/>
          <w:lang w:eastAsia="sv-SE"/>
        </w:rPr>
      </w:pPr>
      <w:hyperlink w:anchor="_Toc136422320">
        <w:r>
          <w:rPr>
            <w:rStyle w:val="C2"/>
          </w:rPr>
          <w:t>Teknisk försörjning</w:t>
        </w:r>
        <w:r>
          <w:tab/>
        </w:r>
        <w:r>
          <w:fldChar w:fldCharType="begin"/>
        </w:r>
        <w:r>
          <w:instrText xml:space="preserve"> PAGEREF _Toc136422320 \h </w:instrText>
        </w:r>
        <w:r>
          <w:fldChar w:fldCharType="separate"/>
        </w:r>
        <w:r>
          <w:t>11</w:t>
        </w:r>
        <w:r>
          <w:fldChar w:fldCharType="end"/>
        </w:r>
      </w:hyperlink>
    </w:p>
    <w:p>
      <w:pPr>
        <w:pStyle w:val="P14"/>
        <w:rPr>
          <w:rFonts w:asciiTheme="minorHAnsi" w:hAnsiTheme="minorHAnsi" w:cstheme="minorBidi" w:eastAsiaTheme="minorEastAsia"/>
          <w:color w:val="auto"/>
          <w:lang w:eastAsia="sv-SE"/>
        </w:rPr>
      </w:pPr>
      <w:hyperlink w:anchor="_Toc136422321">
        <w:r>
          <w:rPr>
            <w:rStyle w:val="C2"/>
          </w:rPr>
          <w:t>Hälsa, störningar och risker</w:t>
        </w:r>
        <w:r>
          <w:tab/>
        </w:r>
        <w:r>
          <w:fldChar w:fldCharType="begin"/>
        </w:r>
        <w:r>
          <w:instrText xml:space="preserve"> PAGEREF _Toc136422321 \h </w:instrText>
        </w:r>
        <w:r>
          <w:fldChar w:fldCharType="separate"/>
        </w:r>
        <w:r>
          <w:t>12</w:t>
        </w:r>
        <w:r>
          <w:fldChar w:fldCharType="end"/>
        </w:r>
      </w:hyperlink>
    </w:p>
    <w:p>
      <w:pPr>
        <w:pStyle w:val="P14"/>
        <w:rPr>
          <w:rFonts w:asciiTheme="minorHAnsi" w:hAnsiTheme="minorHAnsi" w:cstheme="minorBidi" w:eastAsiaTheme="minorEastAsia"/>
          <w:color w:val="auto"/>
          <w:lang w:eastAsia="sv-SE"/>
        </w:rPr>
      </w:pPr>
      <w:hyperlink w:anchor="_Toc136422322">
        <w:r>
          <w:rPr>
            <w:rStyle w:val="C2"/>
          </w:rPr>
          <w:t>Geotekniska förhållanden</w:t>
        </w:r>
        <w:r>
          <w:tab/>
        </w:r>
        <w:r>
          <w:fldChar w:fldCharType="begin"/>
        </w:r>
        <w:r>
          <w:instrText xml:space="preserve"> PAGEREF _Toc136422322 \h </w:instrText>
        </w:r>
        <w:r>
          <w:fldChar w:fldCharType="separate"/>
        </w:r>
        <w:r>
          <w:t>13</w:t>
        </w:r>
        <w:r>
          <w:fldChar w:fldCharType="end"/>
        </w:r>
      </w:hyperlink>
    </w:p>
    <w:p>
      <w:pPr>
        <w:pStyle w:val="P14"/>
        <w:rPr>
          <w:rFonts w:asciiTheme="minorHAnsi" w:hAnsiTheme="minorHAnsi" w:cstheme="minorBidi" w:eastAsiaTheme="minorEastAsia"/>
          <w:color w:val="auto"/>
          <w:lang w:eastAsia="sv-SE"/>
        </w:rPr>
      </w:pPr>
      <w:hyperlink w:anchor="_Toc136422323">
        <w:r>
          <w:rPr>
            <w:rStyle w:val="C2"/>
          </w:rPr>
          <w:t>Hydrologiska förhållanden</w:t>
        </w:r>
        <w:r>
          <w:tab/>
        </w:r>
        <w:r>
          <w:fldChar w:fldCharType="begin"/>
        </w:r>
        <w:r>
          <w:instrText xml:space="preserve"> PAGEREF _Toc136422323 \h </w:instrText>
        </w:r>
        <w:r>
          <w:fldChar w:fldCharType="separate"/>
        </w:r>
        <w:r>
          <w:t>13</w:t>
        </w:r>
        <w:r>
          <w:fldChar w:fldCharType="end"/>
        </w:r>
      </w:hyperlink>
    </w:p>
    <w:p>
      <w:pPr>
        <w:pStyle w:val="P14"/>
        <w:rPr>
          <w:rFonts w:asciiTheme="minorHAnsi" w:hAnsiTheme="minorHAnsi" w:cstheme="minorBidi" w:eastAsiaTheme="minorEastAsia"/>
          <w:color w:val="auto"/>
          <w:lang w:eastAsia="sv-SE"/>
        </w:rPr>
      </w:pPr>
      <w:hyperlink w:anchor="_Toc136422324">
        <w:r>
          <w:rPr>
            <w:rStyle w:val="C2"/>
          </w:rPr>
          <w:t>Miljökvalitetsnormer</w:t>
        </w:r>
        <w:r>
          <w:tab/>
        </w:r>
        <w:r>
          <w:fldChar w:fldCharType="begin"/>
        </w:r>
        <w:r>
          <w:instrText xml:space="preserve"> PAGEREF _Toc136422324 \h </w:instrText>
        </w:r>
        <w:r>
          <w:fldChar w:fldCharType="separate"/>
        </w:r>
        <w:r>
          <w:t>13</w:t>
        </w:r>
        <w:r>
          <w:fldChar w:fldCharType="end"/>
        </w:r>
      </w:hyperlink>
    </w:p>
    <w:p>
      <w:pPr>
        <w:pStyle w:val="P13"/>
        <w:rPr>
          <w:rFonts w:asciiTheme="minorHAnsi" w:hAnsiTheme="minorHAnsi" w:cstheme="minorBidi" w:eastAsiaTheme="minorEastAsia"/>
          <w:b w:val="0"/>
          <w:color w:val="auto"/>
          <w:lang w:eastAsia="sv-SE"/>
        </w:rPr>
      </w:pPr>
      <w:hyperlink w:anchor="_Toc136422325">
        <w:r>
          <w:rPr>
            <w:rStyle w:val="C2"/>
          </w:rPr>
          <w:t>Genomförandefrågor</w:t>
        </w:r>
        <w:r>
          <w:tab/>
        </w:r>
        <w:r>
          <w:fldChar w:fldCharType="begin"/>
        </w:r>
        <w:r>
          <w:instrText xml:space="preserve"> PAGEREF _Toc136422325 \h </w:instrText>
        </w:r>
        <w:r>
          <w:fldChar w:fldCharType="separate"/>
        </w:r>
        <w:r>
          <w:t>14</w:t>
        </w:r>
        <w:r>
          <w:fldChar w:fldCharType="end"/>
        </w:r>
      </w:hyperlink>
    </w:p>
    <w:p>
      <w:pPr>
        <w:pStyle w:val="P14"/>
        <w:rPr>
          <w:rFonts w:asciiTheme="minorHAnsi" w:hAnsiTheme="minorHAnsi" w:cstheme="minorBidi" w:eastAsiaTheme="minorEastAsia"/>
          <w:color w:val="auto"/>
          <w:lang w:eastAsia="sv-SE"/>
        </w:rPr>
      </w:pPr>
      <w:hyperlink w:anchor="_Toc136422326">
        <w:r>
          <w:rPr>
            <w:rStyle w:val="C2"/>
          </w:rPr>
          <w:t>Organisatoriska frågor</w:t>
        </w:r>
        <w:r>
          <w:tab/>
        </w:r>
        <w:r>
          <w:fldChar w:fldCharType="begin"/>
        </w:r>
        <w:r>
          <w:instrText xml:space="preserve"> PAGEREF _Toc136422326 \h </w:instrText>
        </w:r>
        <w:r>
          <w:fldChar w:fldCharType="separate"/>
        </w:r>
        <w:r>
          <w:t>14</w:t>
        </w:r>
        <w:r>
          <w:fldChar w:fldCharType="end"/>
        </w:r>
      </w:hyperlink>
    </w:p>
    <w:p>
      <w:pPr>
        <w:pStyle w:val="P14"/>
        <w:rPr>
          <w:rFonts w:asciiTheme="minorHAnsi" w:hAnsiTheme="minorHAnsi" w:cstheme="minorBidi" w:eastAsiaTheme="minorEastAsia"/>
          <w:color w:val="auto"/>
          <w:lang w:eastAsia="sv-SE"/>
        </w:rPr>
      </w:pPr>
      <w:hyperlink w:anchor="_Toc136422327">
        <w:r>
          <w:rPr>
            <w:rStyle w:val="C2"/>
          </w:rPr>
          <w:t>Fastighetsrättsliga frågor</w:t>
        </w:r>
        <w:r>
          <w:tab/>
        </w:r>
        <w:r>
          <w:fldChar w:fldCharType="begin"/>
        </w:r>
        <w:r>
          <w:instrText xml:space="preserve"> PAGEREF _Toc136422327 \h </w:instrText>
        </w:r>
        <w:r>
          <w:fldChar w:fldCharType="separate"/>
        </w:r>
        <w:r>
          <w:t>14</w:t>
        </w:r>
        <w:r>
          <w:fldChar w:fldCharType="end"/>
        </w:r>
      </w:hyperlink>
    </w:p>
    <w:p>
      <w:pPr>
        <w:pStyle w:val="P14"/>
        <w:rPr>
          <w:rFonts w:asciiTheme="minorHAnsi" w:hAnsiTheme="minorHAnsi" w:cstheme="minorBidi" w:eastAsiaTheme="minorEastAsia"/>
          <w:color w:val="auto"/>
          <w:lang w:eastAsia="sv-SE"/>
        </w:rPr>
      </w:pPr>
      <w:hyperlink w:anchor="_Toc136422328">
        <w:r>
          <w:rPr>
            <w:rStyle w:val="C2"/>
          </w:rPr>
          <w:t>Ekonomiska frågor</w:t>
        </w:r>
        <w:r>
          <w:tab/>
        </w:r>
        <w:r>
          <w:fldChar w:fldCharType="begin"/>
        </w:r>
        <w:r>
          <w:instrText xml:space="preserve"> PAGEREF _Toc136422328 \h </w:instrText>
        </w:r>
        <w:r>
          <w:fldChar w:fldCharType="separate"/>
        </w:r>
        <w:r>
          <w:t>14</w:t>
        </w:r>
        <w:r>
          <w:fldChar w:fldCharType="end"/>
        </w:r>
      </w:hyperlink>
    </w:p>
    <w:p>
      <w:pPr>
        <w:pStyle w:val="P14"/>
        <w:rPr>
          <w:rFonts w:asciiTheme="minorHAnsi" w:hAnsiTheme="minorHAnsi" w:cstheme="minorBidi" w:eastAsiaTheme="minorEastAsia"/>
          <w:color w:val="auto"/>
          <w:lang w:eastAsia="sv-SE"/>
        </w:rPr>
      </w:pPr>
      <w:hyperlink w:anchor="_Toc136422329">
        <w:r>
          <w:rPr>
            <w:rStyle w:val="C2"/>
          </w:rPr>
          <w:t>Tekniska frågor</w:t>
        </w:r>
        <w:r>
          <w:tab/>
        </w:r>
        <w:r>
          <w:fldChar w:fldCharType="begin"/>
        </w:r>
        <w:r>
          <w:instrText xml:space="preserve"> PAGEREF _Toc136422329 \h </w:instrText>
        </w:r>
        <w:r>
          <w:fldChar w:fldCharType="separate"/>
        </w:r>
        <w:r>
          <w:t>15</w:t>
        </w:r>
        <w:r>
          <w:fldChar w:fldCharType="end"/>
        </w:r>
      </w:hyperlink>
    </w:p>
    <w:p>
      <w:pPr>
        <w:pStyle w:val="P13"/>
        <w:rPr>
          <w:rFonts w:asciiTheme="minorHAnsi" w:hAnsiTheme="minorHAnsi" w:cstheme="minorBidi" w:eastAsiaTheme="minorEastAsia"/>
          <w:b w:val="0"/>
          <w:color w:val="auto"/>
          <w:lang w:eastAsia="sv-SE"/>
        </w:rPr>
      </w:pPr>
      <w:hyperlink w:anchor="_Toc136422330">
        <w:r>
          <w:rPr>
            <w:rStyle w:val="C2"/>
          </w:rPr>
          <w:t>Medverkande tjänstepersoner</w:t>
        </w:r>
        <w:r>
          <w:tab/>
        </w:r>
        <w:r>
          <w:fldChar w:fldCharType="begin"/>
        </w:r>
        <w:r>
          <w:instrText xml:space="preserve"> PAGEREF _Toc136422330 \h </w:instrText>
        </w:r>
        <w:r>
          <w:fldChar w:fldCharType="separate"/>
        </w:r>
        <w:r>
          <w:t>15</w:t>
        </w:r>
        <w:r>
          <w:fldChar w:fldCharType="end"/>
        </w:r>
      </w:hyperlink>
    </w:p>
    <w:p>
      <w:pPr>
        <w:rPr>
          <w:sz w:val="24"/>
          <w:szCs w:val="24"/>
        </w:rPr>
      </w:pPr>
      <w:r>
        <w:rPr>
          <w:b w:val="1"/>
          <w:sz w:val="24"/>
          <w:szCs w:val="24"/>
        </w:rPr>
        <w:fldChar w:fldCharType="end"/>
      </w:r>
    </w:p>
    <w:p>
      <w:pPr>
        <w:pStyle w:val="P1"/>
        <w:rPr>
          <w:sz w:val="24"/>
          <w:szCs w:val="24"/>
        </w:rPr>
      </w:pPr>
    </w:p>
    <w:p>
      <w:pPr>
        <w:rPr>
          <w:lang w:eastAsia="sv-SE"/>
        </w:rPr>
      </w:pPr>
    </w:p>
    <w:p>
      <w:pPr>
        <w:rPr>
          <w:lang w:eastAsia="sv-SE"/>
        </w:rPr>
      </w:pPr>
    </w:p>
    <w:p>
      <w:pPr>
        <w:rPr>
          <w:lang w:eastAsia="sv-SE"/>
        </w:rPr>
      </w:pPr>
    </w:p>
    <w:p>
      <w:pPr>
        <w:pStyle w:val="P1"/>
      </w:pPr>
      <w:bookmarkEnd w:id="1"/>
      <w:bookmarkStart w:id="2" w:name="xxDocument"/>
      <w:bookmarkEnd w:id="2"/>
      <w:bookmarkStart w:id="3" w:name="_Toc136422304"/>
      <w:r>
        <w:t>Sammanfattning</w:t>
      </w:r>
      <w:bookmarkEnd w:id="3"/>
      <w:r>
        <w:t xml:space="preserve"> </w:t>
      </w:r>
    </w:p>
    <w:p>
      <w:pPr>
        <w:rPr>
          <w:shd w:val="clear" w:color="auto" w:fill="FFFFFF"/>
          <w:lang w:val="en-US"/>
        </w:rPr>
      </w:pPr>
      <w:bookmarkStart w:id="4" w:name="be_heladetaljplan01"/>
      <w:r>
        <w:rPr>
          <w:shd w:val="clear" w:color="auto" w:fill="FFFFFF"/>
          <w:lang w:val="en-US"/>
        </w:rPr>
        <w:t>Planområdet ligger i centrala Sollebrunn, en tätort belägen cirka 16 kilometer nordväst om Alingsås stadskärna. Planområdet omfattar 1237 kvadratmeter och på fastigheten finns huvudbyggnad i ett plan samt sammanbyggd komplementbyggnad uppförd. Fastigheten utgörs i övrigt av trädgårdstomt med uppvuxen vegetation.</w:t>
      </w:r>
    </w:p>
    <w:p>
      <w:pPr>
        <w:rPr>
          <w:szCs w:val="20"/>
        </w:rPr>
      </w:pPr>
      <w:bookmarkStart w:id="5" w:name="_Hlk124156107"/>
      <w:r>
        <w:rPr>
          <w:szCs w:val="20"/>
        </w:rPr>
        <w:t xml:space="preserve">Syftet med ändring av detaljplanen är att möjliggöra utökad byggrätt för fastigheten så att uppfört garage får ett planenligt utgångsläge i detaljplan.  </w:t>
      </w:r>
    </w:p>
    <w:p>
      <w:pPr>
        <w:rPr>
          <w:lang w:val="en-US"/>
        </w:rPr>
      </w:pPr>
      <w:bookmarkEnd w:id="5"/>
      <w:r>
        <w:rPr>
          <w:lang w:val="en-US"/>
        </w:rPr>
        <w:t xml:space="preserve">Detaljplanen bedöms stämma överrens med översiktsplanen. </w:t>
      </w:r>
      <w:r>
        <w:rPr>
          <w:shd w:val="clear" w:color="auto" w:fill="FFFFFF"/>
          <w:lang w:val="en-US"/>
        </w:rPr>
        <w:t>E</w:t>
      </w:r>
      <w:r>
        <w:rPr>
          <w:lang w:val="en-US"/>
        </w:rPr>
        <w:t xml:space="preserve">n undersökning av betydande miljöpåverkan har genomförts och kommunen bedömer att detaljplanen inte medför en betydande miljöpåverkan. </w:t>
      </w:r>
      <w:r>
        <w:rPr>
          <w:color w:val="auto"/>
          <w:szCs w:val="16"/>
        </w:rPr>
        <w:t xml:space="preserve">Ett genomförande av detaljplanen bedöms inte medföra att miljökvalitetsnormerna för luft/vatten/buller </w:t>
      </w:r>
      <w:r>
        <w:rPr>
          <w:color w:val="auto"/>
        </w:rPr>
        <w:t xml:space="preserve">överskrids/försämras. </w:t>
      </w:r>
      <w:r>
        <w:rPr>
          <w:color w:val="auto"/>
          <w:shd w:val="clear" w:color="auto" w:fill="FFFFFF"/>
          <w:lang w:val="en-US"/>
        </w:rPr>
        <w:t>Bedömningen är sammantaget att ett genomförande av detaljplanen inte leder till några ökade störningar för omgivningen eller risker för människor vad gäller hälsa och säkerhet.</w:t>
      </w:r>
      <w:bookmarkEnd w:id="4"/>
    </w:p>
    <w:p>
      <w:pPr>
        <w:rPr>
          <w:color w:val="FF0000"/>
        </w:rPr>
      </w:pPr>
    </w:p>
    <w:p>
      <w:r>
        <w:br w:type="page"/>
      </w:r>
    </w:p>
    <w:p>
      <w:pPr>
        <w:pStyle w:val="P1"/>
      </w:pPr>
      <w:bookmarkStart w:id="6" w:name="_Toc136422305"/>
      <w:r>
        <w:t>Inledning</w:t>
      </w:r>
      <w:bookmarkEnd w:id="6"/>
    </w:p>
    <w:p>
      <w:pPr>
        <w:pStyle w:val="P2"/>
      </w:pPr>
      <w:bookmarkStart w:id="7" w:name="_Toc136422306"/>
      <w:r>
        <w:t>Vad är en detaljplan?</w:t>
      </w:r>
      <w:bookmarkEnd w:id="7"/>
      <w:r>
        <w:rPr>
          <w:color w:val="FF0000"/>
        </w:rPr>
        <w:t xml:space="preserve"> </w:t>
      </w:r>
    </w:p>
    <w:p>
      <w:r>
        <w:t>En detaljplan reglerar hur mark och vatten ska användas och hur bebyggelsen ska se ut inom ett visst område. När kommunen tar fram en detaljplan görs det enligt en process där lämpligheten i förslaget prövas och berörda får möjlighet att lämna synpunkter.</w:t>
      </w:r>
    </w:p>
    <w:p>
      <w:r>
        <w:t>Syftet med planprocessen är att pröva om ett förslag till markanvändning är lämpligt. Under planarbetet ska allmänna och enskilda intressen vägas mot varandra. Synpunkter ska inhämtas av dem som berörs av förslaget. Även statliga myndigheter och kommunala förvaltningar ges tillfälle att lämna synpunkter.</w:t>
      </w:r>
    </w:p>
    <w:p>
      <w:r>
        <w:t xml:space="preserve">Genom detaljplanen regleras bland annat markens användning och bebyggelsens utformning mer i detalj, om marken ska bebyggas med bostäder, verksamheter eller handel, vilken storlek, höjd, avstånd från hus till tomtgräns eller taklutning som byggnaden får ha. En gällande detaljplan styr i regel om bygglov kan beviljas eller inte. </w:t>
      </w:r>
    </w:p>
    <w:p>
      <w:r>
        <w:t>En detaljplan består av en plankarta och en planbeskrivning där även genomförandefrågor finns beskrivna. Detaljplanen är ett juridiskt bindande dokument som gäller tills dess att den upphävs eller ersätts av en ny.</w:t>
      </w:r>
    </w:p>
    <w:p>
      <w:pPr>
        <w:pStyle w:val="P2"/>
      </w:pPr>
      <w:bookmarkStart w:id="8" w:name="Position"/>
      <w:bookmarkEnd w:id="8"/>
      <w:bookmarkStart w:id="9" w:name="_Toc136422307"/>
      <w:r>
        <w:t>Planprocessen</w:t>
      </w:r>
      <w:bookmarkEnd w:id="9"/>
    </w:p>
    <w:p>
      <w:pPr>
        <w:rPr>
          <w:color w:val="auto"/>
        </w:rPr>
      </w:pPr>
      <w:bookmarkStart w:id="10" w:name="_Hlk100734758"/>
      <w:r>
        <w:rPr>
          <w:color w:val="auto"/>
        </w:rPr>
        <w:t>Planprocessen</w:t>
      </w:r>
      <w:bookmarkEnd w:id="10"/>
      <w:r>
        <w:rPr>
          <w:color w:val="auto"/>
        </w:rPr>
        <w:t xml:space="preserve"> regleras av Plan- och bygglagens 5 kap. och den består av flera olika skeden; samråd, granskning och antagande innan den slutligen får laga kraft. </w:t>
      </w:r>
    </w:p>
    <w:p>
      <w:pPr>
        <w:rPr>
          <w:color w:val="auto"/>
        </w:rPr>
      </w:pPr>
      <w:r>
        <w:rPr>
          <w:color w:val="auto"/>
        </w:rPr>
        <w:t xml:space="preserve">Denna detaljplan handläggs </w:t>
      </w:r>
      <w:r>
        <w:t xml:space="preserve">enligt ett begränsat standardförfarande. Förfarandet kan tillämpas om förslaget till detaljplan är förenligt med översiktsplanen och länsstyrelsens granskningsyttrande, inte är av betydande intresse för allmänheten eller i övrigt av stor betydelse samt att det finns en avgränsad samrådskrets. Detaljplanen får inte heller antas medföra en betydande miljöpåverkan. </w:t>
      </w:r>
    </w:p>
    <w:p>
      <w:r>
        <w:rPr>
          <w:color w:val="auto"/>
        </w:rPr>
        <w:t xml:space="preserve">Under planprocessens inledande skede tas ett planförslag fram över ett område. Planförslaget redovisas på en plankarta med tillhörande planbeskrivning. För att samla information i ett tidigt skede om vad berörda sakägare, myndigheter och andra som berörs anser om planförslaget genomförs ett samråd. Under </w:t>
      </w:r>
      <w:r>
        <w:t xml:space="preserve">samrådet kan ett samrådsmöte genomföras och om </w:t>
      </w:r>
      <w:r>
        <w:rPr>
          <w:color w:val="auto"/>
        </w:rPr>
        <w:t xml:space="preserve">man har synpunkter på planförslaget ska man lämna in dem i skriftlig form till kommunen. Samrådet föregås av att kommunen informerar om hur lång samrådstiden är och var planförslaget finns tillgängligt. </w:t>
      </w:r>
      <w:r>
        <w:t>Om samrådskretsen godkänner planförslaget kan ett begränsat förfarande tillämpas och detaljplanen kan därefter antas.</w:t>
      </w:r>
    </w:p>
    <w:p>
      <w:pPr>
        <w:rPr>
          <w:color w:val="auto"/>
        </w:rPr>
      </w:pPr>
    </w:p>
    <w:p>
      <w:r>
        <w:rPr>
          <w:color w:val="auto"/>
        </w:rPr>
        <w:t xml:space="preserve">Beslut om antagande av planförslaget fattas kommunstyrelsen. </w:t>
      </w:r>
      <w:r>
        <w:t xml:space="preserve">Detaljplanen vinner laga kraft tre veckor efter att planförslaget antas, om inte beslutet om antagande överprövas eller överklagas. När detaljplanen vinner laga kraft börjar den gälla som en juridisk handling. </w:t>
      </w:r>
    </w:p>
    <w:p>
      <w:r>
        <w:t xml:space="preserve">               </w:t>
      </w:r>
      <w:r>
        <w:drawing>
          <wp:inline xmlns:wp="http://schemas.openxmlformats.org/drawingml/2006/wordprocessingDrawing" distT="0" distB="0" distL="0" distR="0">
            <wp:extent cx="1362075" cy="1486535"/>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dpi="0">
                    <a:blip xmlns:r="http://schemas.openxmlformats.org/officeDocument/2006/relationships" r:embed="Relimage2"/>
                    <a:srcRect/>
                    <a:stretch>
                      <a:fillRect/>
                    </a:stretch>
                  </pic:blipFill>
                  <pic:spPr>
                    <a:xfrm>
                      <a:off x="0" y="0"/>
                      <a:ext cx="1399920" cy="1528199"/>
                    </a:xfrm>
                    <a:prstGeom prst="rect"/>
                  </pic:spPr>
                </pic:pic>
              </a:graphicData>
            </a:graphic>
          </wp:inline>
        </w:drawing>
      </w:r>
      <w:r>
        <w:drawing>
          <wp:inline xmlns:wp="http://schemas.openxmlformats.org/drawingml/2006/wordprocessingDrawing" distT="0" distB="0" distL="0" distR="0">
            <wp:extent cx="3105150" cy="1485265"/>
            <wp:effectExtent l="0" t="0" r="0" b="63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dpi="0">
                    <a:blip xmlns:r="http://schemas.openxmlformats.org/officeDocument/2006/relationships" r:embed="Relimage3"/>
                    <a:srcRect/>
                    <a:stretch>
                      <a:fillRect/>
                    </a:stretch>
                  </pic:blipFill>
                  <pic:spPr>
                    <a:xfrm>
                      <a:off x="0" y="0"/>
                      <a:ext cx="3145041" cy="1504771"/>
                    </a:xfrm>
                    <a:prstGeom prst="rect"/>
                  </pic:spPr>
                </pic:pic>
              </a:graphicData>
            </a:graphic>
          </wp:inline>
        </w:drawing>
      </w:r>
    </w:p>
    <w:p>
      <w:pPr>
        <w:rPr>
          <w:i w:val="1"/>
        </w:rPr>
      </w:pPr>
      <w:r>
        <w:rPr>
          <w:i w:val="1"/>
        </w:rPr>
        <w:t>Planprocessen vid ett begränsat standardförfarande</w:t>
      </w:r>
    </w:p>
    <w:p>
      <w:pPr>
        <w:pStyle w:val="P2"/>
      </w:pPr>
      <w:bookmarkStart w:id="11" w:name="_Toc136422308"/>
      <w:r>
        <w:t>Planeringsunderlag</w:t>
      </w:r>
      <w:bookmarkEnd w:id="11"/>
      <w:bookmarkStart w:id="12" w:name="_GoBack"/>
      <w:bookmarkEnd w:id="12"/>
    </w:p>
    <w:p>
      <w:r>
        <w:t>Nedan följer en sammanställning av de dokument som planhandlingarna består av samt de planeringsunderlag som legat till grund för detaljplanens omfattning och utformning.</w:t>
      </w:r>
    </w:p>
    <w:p>
      <w:pPr>
        <w:pStyle w:val="P3"/>
      </w:pPr>
      <w:bookmarkStart w:id="13" w:name="_Toc132893699"/>
      <w:r>
        <w:t>P</w:t>
      </w:r>
      <w:bookmarkEnd w:id="13"/>
      <w:r>
        <w:t>lanhandlingar</w:t>
      </w:r>
    </w:p>
    <w:p>
      <w:pPr>
        <w:pStyle w:val="P17"/>
        <w:numPr>
          <w:ilvl w:val="0"/>
          <w:numId w:val="29"/>
        </w:numPr>
        <w:spacing w:lineRule="auto" w:line="256" w:after="257" w:beforeAutospacing="0" w:afterAutospacing="0"/>
        <w:contextualSpacing w:val="1"/>
        <w:jc w:val="left"/>
      </w:pPr>
      <w:r>
        <w:t xml:space="preserve">Plankarta upprättad på grundkarta med planbestämmelser </w:t>
      </w:r>
    </w:p>
    <w:p>
      <w:pPr>
        <w:pStyle w:val="P17"/>
        <w:numPr>
          <w:ilvl w:val="0"/>
          <w:numId w:val="29"/>
        </w:numPr>
        <w:spacing w:lineRule="auto" w:line="256" w:after="257" w:beforeAutospacing="0" w:afterAutospacing="0"/>
        <w:contextualSpacing w:val="1"/>
        <w:jc w:val="left"/>
      </w:pPr>
      <w:r>
        <w:t xml:space="preserve">planbeskrivning </w:t>
      </w:r>
    </w:p>
    <w:p>
      <w:pPr>
        <w:pStyle w:val="P17"/>
        <w:numPr>
          <w:ilvl w:val="0"/>
          <w:numId w:val="29"/>
        </w:numPr>
        <w:spacing w:lineRule="auto" w:line="256" w:after="257" w:beforeAutospacing="0" w:afterAutospacing="0"/>
        <w:contextualSpacing w:val="1"/>
        <w:jc w:val="left"/>
      </w:pPr>
      <w:r>
        <w:t xml:space="preserve">fastighetsförteckning </w:t>
      </w:r>
    </w:p>
    <w:p>
      <w:pPr>
        <w:pStyle w:val="P17"/>
        <w:numPr>
          <w:ilvl w:val="0"/>
          <w:numId w:val="29"/>
        </w:numPr>
        <w:spacing w:lineRule="auto" w:line="256" w:after="257" w:beforeAutospacing="0" w:afterAutospacing="0"/>
        <w:contextualSpacing w:val="1"/>
        <w:jc w:val="left"/>
      </w:pPr>
      <w:r>
        <w:t>undersökning enligt 6 kap. 6 § miljöbalken (1998:808)</w:t>
      </w:r>
    </w:p>
    <w:p>
      <w:pPr>
        <w:rPr>
          <w:shd w:val="clear" w:color="auto" w:fill="FFFFFF"/>
        </w:rPr>
      </w:pPr>
      <w:r>
        <w:rPr>
          <w:shd w:val="clear" w:color="auto" w:fill="FFFFFF"/>
        </w:rPr>
        <w:t>Plankartan är den juridiskt bindande planhandlingen. Planbeskrivningen ska användas för att underlätta förståelsen av detaljplanen och vara vägledande vid tolkningen av den, men planbeskrivningen har ingen rättsverkan.</w:t>
      </w:r>
    </w:p>
    <w:p>
      <w:pPr>
        <w:pStyle w:val="P1"/>
      </w:pPr>
      <w:bookmarkStart w:id="14" w:name="_Toc136422309"/>
      <w:r>
        <w:t>Detaljplanens syfte</w:t>
      </w:r>
      <w:bookmarkEnd w:id="14"/>
      <w:r>
        <w:t xml:space="preserve"> </w:t>
      </w:r>
    </w:p>
    <w:p>
      <w:pPr>
        <w:rPr>
          <w:szCs w:val="20"/>
        </w:rPr>
      </w:pPr>
      <w:bookmarkStart w:id="15" w:name="sy_syfte01"/>
      <w:r>
        <w:rPr>
          <w:szCs w:val="20"/>
        </w:rPr>
        <w:t xml:space="preserve">Syftet med detaljplanen är att möjliggöra utökad byggrätt för befintlig komplementbyggnad och medföra ett planenligt utgångsläge för komplementbyggnaden. </w:t>
      </w:r>
    </w:p>
    <w:p>
      <w:pPr>
        <w:pStyle w:val="P2"/>
      </w:pPr>
      <w:bookmarkEnd w:id="15"/>
      <w:bookmarkStart w:id="16" w:name="_Toc132893721"/>
      <w:bookmarkStart w:id="17" w:name="_Toc136422310"/>
      <w:r>
        <w:t>Varför ändring av planen valts</w:t>
      </w:r>
      <w:bookmarkEnd w:id="16"/>
      <w:bookmarkEnd w:id="17"/>
    </w:p>
    <w:p>
      <w:pPr>
        <w:rPr>
          <w:rFonts w:cs="HelveticaNeueLT Std Lt"/>
          <w:color w:val="221E1F"/>
          <w:szCs w:val="24"/>
        </w:rPr>
      </w:pPr>
      <w:bookmarkStart w:id="18" w:name="be_varförändringavdetaljplanvalts01"/>
      <w:r>
        <w:rPr>
          <w:szCs w:val="20"/>
        </w:rPr>
        <w:t xml:space="preserve">Ändring i befintlig detaljplan sker då avsedd ändring överrensstämmer med ursprunglig detaljplans syfte. Gällande detaljplan gäller för ett stort antal fastigheter och genom att ändra detaljplanen så undviks frimärksplaner. </w:t>
      </w:r>
      <w:r>
        <w:rPr>
          <w:rFonts w:cs="HelveticaNeueLT Std Lt"/>
          <w:color w:val="221E1F"/>
          <w:szCs w:val="24"/>
        </w:rPr>
        <w:t xml:space="preserve">Vid ändring av detaljplan görs ändringar i den ursprungliga planen och de ursprungliga planhandlingarna. När ändringen har vunnit laga kraft så är det planen i sin ändrade form som gäller. </w:t>
      </w:r>
    </w:p>
    <w:p>
      <w:pPr>
        <w:pStyle w:val="P1"/>
      </w:pPr>
      <w:bookmarkEnd w:id="18"/>
      <w:bookmarkStart w:id="19" w:name="_Toc136422311"/>
      <w:r>
        <w:t>Beskrivning av detaljplanen</w:t>
      </w:r>
      <w:bookmarkEnd w:id="19"/>
    </w:p>
    <w:p>
      <w:pPr>
        <w:pStyle w:val="P2"/>
      </w:pPr>
      <w:bookmarkStart w:id="20" w:name="_Toc136422312"/>
      <w:r>
        <w:t>Läge och omfattning</w:t>
      </w:r>
      <w:bookmarkEnd w:id="20"/>
    </w:p>
    <w:p>
      <w:pPr>
        <w:rPr>
          <w:lang w:eastAsia="sv-SE"/>
        </w:rPr>
      </w:pPr>
      <w:r>
        <w:rPr>
          <w:shd w:val="clear" w:color="auto" w:fill="FFFFFF"/>
          <w:lang w:val="en-US"/>
        </w:rPr>
        <w:t xml:space="preserve">Planområdet ligger i centrala Sollebrunn och utgörs av 1237 kvadratmeter mark. Fastigheten ägs av privatperson. Planområdet avgränsas i norr av fastigheten Sollebrunn 19:55, i öster av Timotejgatan, i söder av Gärdesgatan och i </w:t>
      </w:r>
      <w:r>
        <w:rPr>
          <w:shd w:val="clear" w:color="auto" w:fill="FFFFFF"/>
        </w:rPr>
        <w:t>väster</w:t>
      </w:r>
      <w:r>
        <w:rPr>
          <w:shd w:val="clear" w:color="auto" w:fill="FFFFFF"/>
          <w:lang w:val="en-US"/>
        </w:rPr>
        <w:t xml:space="preserve"> av fastigheterna Sollebrunn 19:57 och Sollebrunn 19:58.</w:t>
      </w:r>
    </w:p>
    <w:p>
      <w:pPr>
        <w:rPr>
          <w:color w:val="FF0000"/>
          <w:shd w:val="clear" w:color="auto" w:fill="FFFFFF"/>
          <w:lang w:val="en-US"/>
        </w:rPr>
      </w:pPr>
      <w:r>
        <w:drawing>
          <wp:inline xmlns:wp="http://schemas.openxmlformats.org/drawingml/2006/wordprocessingDrawing" distT="0" distB="0" distL="0" distR="0">
            <wp:extent cx="5616575" cy="3223260"/>
            <wp:effectExtent l="0" t="0" r="3175"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pic:nvPicPr>
                  <pic:blipFill dpi="0">
                    <a:blip xmlns:r="http://schemas.openxmlformats.org/officeDocument/2006/relationships" r:embed="Relimage4"/>
                    <a:srcRect/>
                    <a:stretch>
                      <a:fillRect/>
                    </a:stretch>
                  </pic:blipFill>
                  <pic:spPr>
                    <a:xfrm>
                      <a:off x="0" y="0"/>
                      <a:ext cx="5616575" cy="3223260"/>
                    </a:xfrm>
                    <a:prstGeom prst="rect"/>
                  </pic:spPr>
                </pic:pic>
              </a:graphicData>
            </a:graphic>
          </wp:inline>
        </w:drawing>
      </w:r>
      <w:r>
        <w:rPr>
          <w:shd w:val="clear" w:color="auto" w:fill="FFFFFF"/>
          <w:lang w:val="en-US"/>
        </w:rPr>
        <w:t xml:space="preserve"> </w:t>
      </w:r>
    </w:p>
    <w:p>
      <w:pPr>
        <w:spacing w:before="120" w:beforeAutospacing="0" w:afterAutospacing="0"/>
        <w:rPr>
          <w:color w:val="auto"/>
          <w:sz w:val="28"/>
          <w:lang w:val="en-US"/>
        </w:rPr>
      </w:pPr>
      <w:r>
        <w:rPr>
          <w:i w:val="1"/>
          <w:color w:val="auto"/>
          <w:lang w:val="en-US"/>
        </w:rPr>
        <w:t>Orienteringskarta</w:t>
      </w:r>
      <w:r>
        <w:rPr>
          <w:color w:val="auto"/>
          <w:lang w:val="en-US"/>
        </w:rPr>
        <w:t xml:space="preserve"> </w:t>
      </w:r>
    </w:p>
    <w:p>
      <w:pPr>
        <w:pStyle w:val="P2"/>
      </w:pPr>
      <w:bookmarkStart w:id="21" w:name="_Toc136422313"/>
      <w:r>
        <w:t>Planförslag</w:t>
      </w:r>
      <w:bookmarkEnd w:id="21"/>
      <w:r>
        <w:t xml:space="preserve"> </w:t>
      </w:r>
    </w:p>
    <w:p>
      <w:pPr>
        <w:rPr>
          <w:color w:val="auto"/>
        </w:rPr>
      </w:pPr>
      <w:r>
        <w:rPr>
          <w:color w:val="auto"/>
        </w:rPr>
        <w:t xml:space="preserve">Planförslaget innebär att fastighetens byggrätt utökas så att befintlig bebyggelse inom fastigheten får ett planenligt utgångsläge. Gällande detaljplan reglerar att endast 200 kvadratmeter byggnadsarea får uppföras inom fastigheten samt att garage högst får uppgå till 40 kvadratmeter. </w:t>
      </w:r>
    </w:p>
    <w:p>
      <w:pPr>
        <w:pStyle w:val="P3"/>
        <w:rPr>
          <w:lang w:eastAsia="sv-SE"/>
        </w:rPr>
      </w:pPr>
      <w:r>
        <w:rPr>
          <w:lang w:eastAsia="sv-SE"/>
        </w:rPr>
        <w:t xml:space="preserve">Kvartersmark </w:t>
      </w:r>
    </w:p>
    <w:p>
      <w:pPr>
        <w:rPr>
          <w:color w:val="auto"/>
        </w:rPr>
      </w:pPr>
      <w:bookmarkStart w:id="22" w:name="_Toc89445976"/>
      <w:bookmarkStart w:id="23" w:name="be_kvartersmark01"/>
      <w:r>
        <w:rPr>
          <w:color w:val="auto"/>
        </w:rPr>
        <w:t>Planförslaget innebär att fastigheten planläggs för bostäder med en största byggnadsarea om 235 kvadratmeter</w:t>
      </w:r>
      <w:bookmarkEnd w:id="22"/>
      <w:r>
        <w:rPr>
          <w:color w:val="auto"/>
        </w:rPr>
        <w:t>. Planändringen berör endast fastigheten Sollebrunn 19:56</w:t>
      </w:r>
    </w:p>
    <w:p>
      <w:pPr>
        <w:pStyle w:val="P4"/>
        <w:rPr>
          <w:lang w:val="en-US"/>
        </w:rPr>
      </w:pPr>
      <w:bookmarkStart w:id="24" w:name="_Toc132893711"/>
      <w:r>
        <w:rPr>
          <w:lang w:val="en-US"/>
        </w:rPr>
        <w:t>Bebyggelse</w:t>
      </w:r>
      <w:bookmarkEnd w:id="24"/>
      <w:r>
        <w:rPr>
          <w:lang w:val="en-US"/>
        </w:rPr>
        <w:t xml:space="preserve"> </w:t>
      </w:r>
    </w:p>
    <w:p>
      <w:pPr>
        <w:rPr>
          <w:color w:val="auto"/>
          <w:lang w:val="en-US"/>
        </w:rPr>
      </w:pPr>
      <w:r>
        <w:rPr>
          <w:color w:val="auto"/>
          <w:lang w:val="en-US"/>
        </w:rPr>
        <w:t xml:space="preserve">Kvartersmarken inom detaljplanen ges användningen </w:t>
      </w:r>
      <w:r>
        <w:rPr>
          <w:b w:val="1"/>
          <w:color w:val="auto"/>
          <w:lang w:val="en-US"/>
        </w:rPr>
        <w:t xml:space="preserve">Bostad. </w:t>
      </w:r>
      <w:r>
        <w:rPr>
          <w:color w:val="auto"/>
          <w:lang w:val="en-US"/>
        </w:rPr>
        <w:t>Regleringen med bostad</w:t>
      </w:r>
      <w:r>
        <w:rPr>
          <w:b w:val="1"/>
          <w:color w:val="auto"/>
          <w:lang w:val="en-US"/>
        </w:rPr>
        <w:t xml:space="preserve"> </w:t>
      </w:r>
      <w:r>
        <w:rPr>
          <w:color w:val="auto"/>
          <w:lang w:val="en-US"/>
        </w:rPr>
        <w:t xml:space="preserve">innebär inte att någon ny bostadsbebyggelse kan tillkomma, utan användningen bostad är  en planteknisk reglering för att möjliggöra ett planenligt utgångsläge för befintlig bebyggelse inom fastigheten.  </w:t>
      </w:r>
    </w:p>
    <w:p>
      <w:pPr>
        <w:pStyle w:val="P3"/>
      </w:pPr>
      <w:r>
        <w:t>Egenskapsbestämmelser</w:t>
      </w:r>
    </w:p>
    <w:p>
      <w:pPr>
        <w:rPr>
          <w:color w:val="auto"/>
          <w:lang w:val="en-US"/>
        </w:rPr>
      </w:pPr>
      <w:r>
        <w:rPr>
          <w:color w:val="auto"/>
          <w:lang w:val="en-US"/>
        </w:rPr>
        <w:t>Egenskapsbestämmelser innebär en precisering av vad som får göras inom kvartersmarken. De egenskapsbestämmelser som gäller inom denna planändring är:</w:t>
      </w:r>
    </w:p>
    <w:p>
      <w:pPr>
        <w:pStyle w:val="P17"/>
        <w:numPr>
          <w:ilvl w:val="0"/>
          <w:numId w:val="40"/>
        </w:numPr>
        <w:rPr>
          <w:color w:val="auto"/>
          <w:lang w:val="en-US"/>
        </w:rPr>
      </w:pPr>
      <w:r>
        <w:rPr>
          <w:color w:val="auto"/>
          <w:lang w:val="en-US"/>
        </w:rPr>
        <w:t xml:space="preserve">största byggnadsarean får uppgå till 235 kvadratmeter inom fastigheten ( </w:t>
      </w:r>
      <w:r>
        <w:rPr>
          <w:b w:val="1"/>
          <w:color w:val="auto"/>
        </w:rPr>
        <w:t>e</w:t>
      </w:r>
      <w:r>
        <w:rPr>
          <w:b w:val="1"/>
          <w:color w:val="auto"/>
          <w:vertAlign w:val="subscript"/>
        </w:rPr>
        <w:t>1</w:t>
      </w:r>
      <w:r>
        <w:rPr>
          <w:b w:val="1"/>
          <w:color w:val="FF0000"/>
          <w:vertAlign w:val="subscript"/>
        </w:rPr>
        <w:t xml:space="preserve"> </w:t>
      </w:r>
      <w:r>
        <w:rPr>
          <w:color w:val="auto"/>
          <w:lang w:val="en-US"/>
        </w:rPr>
        <w:t>)</w:t>
      </w:r>
    </w:p>
    <w:p>
      <w:pPr>
        <w:pStyle w:val="P17"/>
        <w:numPr>
          <w:ilvl w:val="0"/>
          <w:numId w:val="40"/>
        </w:numPr>
        <w:rPr>
          <w:bCs w:val="1"/>
          <w:color w:val="auto"/>
        </w:rPr>
      </w:pPr>
      <w:r>
        <w:rPr>
          <w:bCs w:val="1"/>
          <w:color w:val="auto"/>
          <w:sz w:val="23"/>
          <w:szCs w:val="23"/>
        </w:rPr>
        <w:t xml:space="preserve">Högsta nockhöjd är 84,5 meter över angivet nollplan ( </w:t>
      </w:r>
      <w:r>
        <w:rPr>
          <w:b w:val="1"/>
          <w:color w:val="auto"/>
        </w:rPr>
        <w:t>h</w:t>
      </w:r>
      <w:r>
        <w:rPr>
          <w:b w:val="1"/>
          <w:color w:val="auto"/>
          <w:vertAlign w:val="subscript"/>
        </w:rPr>
        <w:t>1</w:t>
      </w:r>
      <w:r>
        <w:rPr>
          <w:bCs w:val="1"/>
          <w:color w:val="auto"/>
          <w:sz w:val="23"/>
          <w:szCs w:val="23"/>
        </w:rPr>
        <w:t xml:space="preserve"> ) </w:t>
      </w:r>
    </w:p>
    <w:p>
      <w:pPr>
        <w:pStyle w:val="P17"/>
        <w:numPr>
          <w:ilvl w:val="0"/>
          <w:numId w:val="40"/>
        </w:numPr>
        <w:rPr>
          <w:color w:val="auto"/>
          <w:lang w:val="en-US"/>
        </w:rPr>
      </w:pPr>
      <w:r>
        <w:rPr>
          <w:color w:val="auto"/>
          <w:lang w:val="en-US"/>
        </w:rPr>
        <w:t>Prickmark sex meter från fastighetsgräns mot Timotejgatan. På mark som omfattas av prickmark får marken inte bebyggas med byggnad</w:t>
      </w:r>
    </w:p>
    <w:p>
      <w:pPr>
        <w:pStyle w:val="P3"/>
      </w:pPr>
      <w:bookmarkEnd w:id="23"/>
      <w:bookmarkStart w:id="25" w:name="_Toc132893719"/>
      <w:r>
        <w:t>Genomförandetid</w:t>
      </w:r>
      <w:bookmarkEnd w:id="25"/>
    </w:p>
    <w:p>
      <w:pPr>
        <w:rPr>
          <w:rFonts w:ascii="Open Sans" w:hAnsi="Open Sans"/>
          <w:color w:val="auto"/>
          <w:sz w:val="20"/>
          <w:lang w:bidi="sv-SE"/>
        </w:rPr>
      </w:pPr>
      <w:r>
        <w:rPr>
          <w:lang w:bidi="sv-SE"/>
        </w:rPr>
        <w:t>Genomförandetiden för detaljpla</w:t>
      </w:r>
      <w:r>
        <w:rPr>
          <w:color w:val="auto"/>
          <w:lang w:bidi="sv-SE"/>
        </w:rPr>
        <w:t xml:space="preserve">nen är 5 år. Innan </w:t>
      </w:r>
      <w:r>
        <w:rPr>
          <w:lang w:bidi="sv-SE"/>
        </w:rPr>
        <w:t>genomförandetiden gått ut får detaljplanen inte ändras, ersättas eller upphävas mot berörda fastighetsägares vilja.</w:t>
      </w:r>
    </w:p>
    <w:p>
      <w:pPr>
        <w:pStyle w:val="P1"/>
      </w:pPr>
      <w:bookmarkStart w:id="26" w:name="_Toc136422314"/>
      <w:r>
        <w:t>Motiv till detaljplanens regleringar</w:t>
      </w:r>
      <w:bookmarkEnd w:id="26"/>
      <w:r>
        <w:t xml:space="preserve"> </w:t>
      </w:r>
    </w:p>
    <w:p>
      <w:bookmarkStart w:id="27" w:name="mo_motivtillreglering01"/>
      <w:r>
        <w:t>Detaljplanen innehåller regleringar för att uppnå detaljplanens syfte. I planbeskrivningen ska kommunen redovisa motiven till de enskilda regleringarna i detaljplanen. Redovisningen ska göras utifrån detaljplanens syfte och andra kapitlet plan- och bygglagen.</w:t>
      </w:r>
    </w:p>
    <w:p>
      <w:pPr>
        <w:pStyle w:val="P2"/>
      </w:pPr>
      <w:bookmarkStart w:id="28" w:name="_Toc133394365"/>
      <w:bookmarkStart w:id="29" w:name="_Toc136422315"/>
      <w:r>
        <w:t>Användning av kvartersmark</w:t>
      </w:r>
      <w:bookmarkEnd w:id="28"/>
      <w:bookmarkEnd w:id="29"/>
    </w:p>
    <w:tbl>
      <w:tblPr>
        <w:tblStyle w:val="T5"/>
        <w:tblW w:w="0" w:type="auto"/>
        <w:tblLook w:val="04A0"/>
      </w:tblPr>
      <w:tblGrid/>
      <w:tr>
        <w:trPr>
          <w:trHeight w:hRule="atLeast" w:val="606"/>
        </w:trPr>
        <w:tc>
          <w:tcPr>
            <w:tcW w:w="3261" w:type="dxa"/>
          </w:tcPr>
          <w:p>
            <w:pPr>
              <w:pStyle w:val="P4"/>
            </w:pPr>
            <w:r>
              <w:t>Planbestämmelse</w:t>
            </w:r>
          </w:p>
        </w:tc>
        <w:tc>
          <w:tcPr>
            <w:tcW w:w="5523" w:type="dxa"/>
          </w:tcPr>
          <w:p>
            <w:pPr>
              <w:pStyle w:val="P4"/>
            </w:pPr>
            <w:r>
              <w:t>Beskrivning och motiv</w:t>
            </w:r>
          </w:p>
        </w:tc>
      </w:tr>
      <w:tr>
        <w:tc>
          <w:tcPr>
            <w:tcW w:w="3261" w:type="dxa"/>
          </w:tcPr>
          <w:p>
            <w:pPr>
              <w:rPr>
                <w:b w:val="1"/>
              </w:rPr>
            </w:pPr>
            <w:r>
              <w:rPr>
                <w:b w:val="1"/>
                <w:color w:val="auto"/>
              </w:rPr>
              <w:t>B</w:t>
            </w:r>
          </w:p>
        </w:tc>
        <w:tc>
          <w:tcPr>
            <w:tcW w:w="5523" w:type="dxa"/>
          </w:tcPr>
          <w:p>
            <w:pPr>
              <w:rPr>
                <w:b w:val="1"/>
                <w:color w:val="auto"/>
                <w:lang w:val="en-US"/>
              </w:rPr>
            </w:pPr>
            <w:r>
              <w:rPr>
                <w:b w:val="1"/>
                <w:color w:val="auto"/>
                <w:lang w:val="en-US"/>
              </w:rPr>
              <w:t>Bostäder</w:t>
            </w:r>
          </w:p>
          <w:p>
            <w:r>
              <w:rPr>
                <w:color w:val="auto"/>
                <w:lang w:val="en-US"/>
              </w:rPr>
              <w:t xml:space="preserve">Kvartersmarken inom detaljplanen planläggs med planbestämmelsen </w:t>
            </w:r>
            <w:r>
              <w:rPr>
                <w:b w:val="1"/>
                <w:color w:val="auto"/>
                <w:lang w:val="en-US"/>
              </w:rPr>
              <w:t>B</w:t>
            </w:r>
            <w:r>
              <w:rPr>
                <w:color w:val="auto"/>
                <w:lang w:val="en-US"/>
              </w:rPr>
              <w:t xml:space="preserve"> – bostad. Regleringen med bostad</w:t>
            </w:r>
            <w:r>
              <w:rPr>
                <w:b w:val="1"/>
                <w:color w:val="auto"/>
                <w:lang w:val="en-US"/>
              </w:rPr>
              <w:t xml:space="preserve"> </w:t>
            </w:r>
            <w:r>
              <w:rPr>
                <w:color w:val="auto"/>
                <w:lang w:val="en-US"/>
              </w:rPr>
              <w:t xml:space="preserve">innebär inte att någon ny bostadsbebyggelse kan tillkomma, utan användningen bostad är  en planteknisk reglering för att möjliggöra ett planenligt utgångsläge för befintligt enbostadshus.  </w:t>
            </w:r>
          </w:p>
        </w:tc>
      </w:tr>
    </w:tbl>
    <w:p>
      <w:pPr>
        <w:pStyle w:val="P2"/>
      </w:pPr>
      <w:bookmarkStart w:id="30" w:name="_Toc133394368"/>
      <w:bookmarkStart w:id="31" w:name="_Toc136422316"/>
      <w:r>
        <w:t>Egenskapsbestämmelser för kvartersmark</w:t>
      </w:r>
      <w:bookmarkEnd w:id="30"/>
      <w:bookmarkEnd w:id="31"/>
    </w:p>
    <w:tbl>
      <w:tblPr>
        <w:tblStyle w:val="T5"/>
        <w:tblW w:w="0" w:type="auto"/>
        <w:tblLook w:val="04A0"/>
      </w:tblPr>
      <w:tblGrid/>
      <w:tr>
        <w:trPr>
          <w:trHeight w:hRule="atLeast" w:val="606"/>
        </w:trPr>
        <w:tc>
          <w:tcPr>
            <w:tcW w:w="3261" w:type="dxa"/>
          </w:tcPr>
          <w:p>
            <w:pPr>
              <w:pStyle w:val="P4"/>
            </w:pPr>
            <w:r>
              <w:t>Planbestämmelse</w:t>
            </w:r>
          </w:p>
        </w:tc>
        <w:tc>
          <w:tcPr>
            <w:tcW w:w="5523" w:type="dxa"/>
          </w:tcPr>
          <w:p>
            <w:pPr>
              <w:pStyle w:val="P4"/>
            </w:pPr>
            <w:r>
              <w:t>Beskrivning och motiv</w:t>
            </w:r>
          </w:p>
        </w:tc>
      </w:tr>
      <w:tr>
        <w:tc>
          <w:tcPr>
            <w:tcW w:w="3261" w:type="dxa"/>
          </w:tcPr>
          <w:p>
            <w:pPr>
              <w:rPr>
                <w:b w:val="1"/>
                <w:color w:val="auto"/>
              </w:rPr>
            </w:pPr>
            <w:r>
              <w:rPr>
                <w:b w:val="1"/>
                <w:color w:val="auto"/>
              </w:rPr>
              <w:t>e</w:t>
            </w:r>
            <w:r>
              <w:rPr>
                <w:b w:val="1"/>
                <w:color w:val="auto"/>
                <w:vertAlign w:val="subscript"/>
              </w:rPr>
              <w:t>1</w:t>
            </w:r>
          </w:p>
        </w:tc>
        <w:tc>
          <w:tcPr>
            <w:tcW w:w="5523" w:type="dxa"/>
          </w:tcPr>
          <w:p>
            <w:pPr>
              <w:rPr>
                <w:b w:val="1"/>
                <w:color w:val="auto"/>
                <w:vertAlign w:val="superscript"/>
              </w:rPr>
            </w:pPr>
            <w:r>
              <w:rPr>
                <w:b w:val="1"/>
                <w:color w:val="auto"/>
              </w:rPr>
              <w:t>Största byggnadsarea är 235 m</w:t>
            </w:r>
            <w:r>
              <w:rPr>
                <w:b w:val="1"/>
                <w:color w:val="auto"/>
                <w:vertAlign w:val="superscript"/>
              </w:rPr>
              <w:t>2</w:t>
            </w:r>
          </w:p>
          <w:p>
            <w:pPr>
              <w:rPr>
                <w:color w:val="auto"/>
              </w:rPr>
            </w:pPr>
            <w:r>
              <w:rPr>
                <w:color w:val="auto"/>
              </w:rPr>
              <w:t>Bestämmelsen syftar till att den bebyggelse som i dagsläget finns uppförd inom fastigheten överensstämmer i detaljplan. Befintlig bebyggelse inom fastigheten har följts upp genom givna bygglov och detta utgör underlag inför bestämmelsen.</w:t>
            </w:r>
          </w:p>
        </w:tc>
      </w:tr>
      <w:tr>
        <w:tc>
          <w:tcPr>
            <w:tcW w:w="3261" w:type="dxa"/>
          </w:tcPr>
          <w:p>
            <w:pPr>
              <w:rPr>
                <w:b w:val="1"/>
                <w:color w:val="auto"/>
              </w:rPr>
            </w:pPr>
            <w:r>
              <w:rPr>
                <w:b w:val="1"/>
                <w:color w:val="auto"/>
              </w:rPr>
              <w:drawing>
                <wp:anchor xmlns:wp="http://schemas.openxmlformats.org/drawingml/2006/wordprocessingDrawing" distT="0" distB="0" distL="114300" distR="114300" simplePos="0" relativeHeight="251659264" behindDoc="1" locked="0" layoutInCell="1" allowOverlap="1">
                  <wp:simplePos x="0" y="0"/>
                  <wp:positionH relativeFrom="column">
                    <wp:posOffset>20955</wp:posOffset>
                  </wp:positionH>
                  <wp:positionV relativeFrom="paragraph">
                    <wp:posOffset>58420</wp:posOffset>
                  </wp:positionV>
                  <wp:extent cx="946150" cy="417195"/>
                  <wp:effectExtent l="0" t="0" r="6350" b="1905"/>
                  <wp:wrapTight wrapText="bothSides">
                    <wp:wrapPolygon edited="0">
                      <wp:start x="0" y="0"/>
                      <wp:lineTo x="0" y="20712"/>
                      <wp:lineTo x="21310" y="20712"/>
                      <wp:lineTo x="21310" y="0"/>
                      <wp:lineTo x="0" y="0"/>
                    </wp:wrapPolygon>
                  </wp:wrapTight>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ick.jpg"/>
                          <pic:cNvPicPr/>
                        </pic:nvPicPr>
                        <pic:blipFill dpi="0">
                          <a:blip xmlns:r="http://schemas.openxmlformats.org/officeDocument/2006/relationships" r:embed="Relimage5"/>
                          <a:srcRect/>
                          <a:stretch>
                            <a:fillRect/>
                          </a:stretch>
                        </pic:blipFill>
                        <pic:spPr>
                          <a:xfrm>
                            <a:off x="0" y="0"/>
                            <a:ext cx="946150" cy="417195"/>
                          </a:xfrm>
                          <a:prstGeom prst="rect"/>
                        </pic:spPr>
                      </pic:pic>
                    </a:graphicData>
                  </a:graphic>
                </wp:anchor>
              </w:drawing>
            </w:r>
          </w:p>
          <w:p>
            <w:pPr>
              <w:rPr>
                <w:b w:val="1"/>
                <w:color w:val="auto"/>
              </w:rPr>
            </w:pPr>
          </w:p>
        </w:tc>
        <w:tc>
          <w:tcPr>
            <w:tcW w:w="5523" w:type="dxa"/>
          </w:tcPr>
          <w:p>
            <w:pPr>
              <w:rPr>
                <w:b w:val="1"/>
                <w:bCs w:val="1"/>
                <w:color w:val="auto"/>
                <w:sz w:val="23"/>
                <w:szCs w:val="23"/>
              </w:rPr>
            </w:pPr>
            <w:r>
              <w:rPr>
                <w:b w:val="1"/>
                <w:bCs w:val="1"/>
                <w:color w:val="auto"/>
                <w:sz w:val="23"/>
                <w:szCs w:val="23"/>
              </w:rPr>
              <w:t>Marken får inte förses med byggnad</w:t>
            </w:r>
          </w:p>
          <w:p>
            <w:pPr>
              <w:rPr>
                <w:color w:val="auto"/>
              </w:rPr>
            </w:pPr>
            <w:r>
              <w:rPr>
                <w:bCs w:val="1"/>
                <w:color w:val="auto"/>
              </w:rPr>
              <w:t>Inom planområdet regleras mark som prickmark, vilket betyder att byggnad inte får uppföras. Det gemensamma motivet är att det inte är lämpligt att bebygga marken mot Timotejgatan, då den behöver vara öppen och byggnadsfri.</w:t>
            </w:r>
          </w:p>
          <w:p>
            <w:pPr>
              <w:rPr>
                <w:bCs w:val="1"/>
                <w:color w:val="auto"/>
                <w:sz w:val="23"/>
                <w:szCs w:val="23"/>
              </w:rPr>
            </w:pPr>
          </w:p>
        </w:tc>
      </w:tr>
      <w:tr>
        <w:tc>
          <w:tcPr>
            <w:tcW w:w="3261" w:type="dxa"/>
          </w:tcPr>
          <w:p>
            <w:pPr>
              <w:rPr>
                <w:b w:val="1"/>
                <w:color w:val="auto"/>
              </w:rPr>
            </w:pPr>
            <w:r>
              <w:rPr>
                <w:b w:val="1"/>
                <w:color w:val="auto"/>
              </w:rPr>
              <w:t>h</w:t>
            </w:r>
            <w:r>
              <w:rPr>
                <w:b w:val="1"/>
                <w:color w:val="auto"/>
                <w:vertAlign w:val="subscript"/>
              </w:rPr>
              <w:t>1</w:t>
            </w:r>
          </w:p>
        </w:tc>
        <w:tc>
          <w:tcPr>
            <w:tcW w:w="5523" w:type="dxa"/>
          </w:tcPr>
          <w:p>
            <w:pPr>
              <w:rPr>
                <w:b w:val="1"/>
                <w:bCs w:val="1"/>
                <w:color w:val="auto"/>
              </w:rPr>
            </w:pPr>
            <w:r>
              <w:rPr>
                <w:b w:val="1"/>
                <w:bCs w:val="1"/>
                <w:color w:val="auto"/>
                <w:sz w:val="23"/>
                <w:szCs w:val="23"/>
              </w:rPr>
              <w:t>Högsta nockhöjd är 84,5 meter över angivet nollplan</w:t>
            </w:r>
          </w:p>
          <w:p>
            <w:pPr>
              <w:rPr>
                <w:bCs w:val="1"/>
                <w:color w:val="auto"/>
              </w:rPr>
            </w:pPr>
            <w:r>
              <w:rPr>
                <w:color w:val="auto"/>
              </w:rPr>
              <w:t>Motivet till bestämmelsen är att begränsa huvudbyggnads höjd utifrån befintlig bebyggelse. Befintlig huvudbyggnads nockhöjd har mätts in och utgör underlag inför bestämmelse om högsta nockhöjd.</w:t>
            </w:r>
          </w:p>
        </w:tc>
      </w:tr>
    </w:tbl>
    <w:p>
      <w:bookmarkEnd w:id="27"/>
    </w:p>
    <w:p>
      <w:pPr>
        <w:pStyle w:val="P1"/>
        <w:rPr>
          <w:sz w:val="54"/>
          <w:szCs w:val="54"/>
        </w:rPr>
      </w:pPr>
      <w:bookmarkStart w:id="32" w:name="_Toc136422317"/>
      <w:r>
        <w:rPr>
          <w:sz w:val="54"/>
          <w:szCs w:val="54"/>
        </w:rPr>
        <w:t>Planeringsförutsättningar och konsekvenser</w:t>
      </w:r>
      <w:bookmarkEnd w:id="32"/>
      <w:r>
        <w:rPr>
          <w:sz w:val="54"/>
          <w:szCs w:val="54"/>
        </w:rPr>
        <w:t xml:space="preserve"> </w:t>
      </w:r>
    </w:p>
    <w:p>
      <w:pPr>
        <w:pStyle w:val="P2"/>
      </w:pPr>
      <w:bookmarkStart w:id="33" w:name="_Toc89445992"/>
      <w:bookmarkStart w:id="34" w:name="_Toc136422318"/>
      <w:bookmarkStart w:id="35" w:name="_Toc132893730"/>
      <w:r>
        <w:t>Kommunala</w:t>
      </w:r>
      <w:bookmarkEnd w:id="33"/>
      <w:bookmarkEnd w:id="34"/>
      <w:bookmarkEnd w:id="35"/>
    </w:p>
    <w:p>
      <w:pPr>
        <w:pStyle w:val="P3"/>
      </w:pPr>
      <w:bookmarkStart w:id="36" w:name="_Toc89445999"/>
      <w:bookmarkStart w:id="37" w:name="_Toc132893733"/>
      <w:r>
        <w:t>Översiktsplan</w:t>
      </w:r>
      <w:bookmarkEnd w:id="36"/>
      <w:bookmarkEnd w:id="37"/>
    </w:p>
    <w:p>
      <w:bookmarkStart w:id="38" w:name="_Hlk134084460"/>
      <w:bookmarkStart w:id="39" w:name="pf_kommunala01"/>
      <w:bookmarkStart w:id="40" w:name="_Toc89445993"/>
      <w:bookmarkStart w:id="41" w:name="_Toc132893736"/>
      <w:r>
        <w:t>I översiktsplan för Alingsås kommun antagen av Kommunfullmäktige 2018-10-31, § 182 pekas planområdet inte specifikt ut. För Sollebrunn anges att nya bostäder ska komplettera befintligt bostadsutbud med olika typer av bostäder. Detaljplanen bedöms förhålla sig till översiktsplanens riktlinjer.</w:t>
      </w:r>
    </w:p>
    <w:p>
      <w:pPr>
        <w:pStyle w:val="P3"/>
      </w:pPr>
      <w:bookmarkEnd w:id="38"/>
      <w:bookmarkEnd w:id="39"/>
      <w:r>
        <w:t>Detaljplan</w:t>
      </w:r>
      <w:bookmarkEnd w:id="40"/>
      <w:bookmarkEnd w:id="41"/>
      <w:r>
        <w:t xml:space="preserve"> </w:t>
      </w:r>
    </w:p>
    <w:p>
      <w:pPr>
        <w:rPr>
          <w:lang w:val="en-US"/>
        </w:rPr>
      </w:pPr>
      <w:bookmarkStart w:id="42" w:name="_Toc101363498"/>
      <w:bookmarkStart w:id="43" w:name="_Toc132893737"/>
      <w:r>
        <w:t>Planområdet omfattas av detaljplan B176, lagakraft 1973-02-23. Gällande detaljplan reglerar att det inom fastigheten får uppföras bostäder uppförd som fristående hus (</w:t>
      </w:r>
      <w:r>
        <w:rPr>
          <w:b w:val="1"/>
        </w:rPr>
        <w:t>F</w:t>
      </w:r>
      <w:r>
        <w:t>). Huvudbyggnad får uppföras i högst ett plan. Endast en huvudbyggnad samt en garage-/uthusbyggnad får uppföras per tomt. Största byggnadsarea per tomt är 200 m². Garage-/uthusbyggnad får inte vara större än 40 m². Garage får inte utföras i källarvåning. Detaljplanen reglerar en sex meter bred remsa med prickmark mot allmän plats gata och prickmarken innebär att marken inte får bebyggas.</w:t>
      </w:r>
      <w:r>
        <w:drawing>
          <wp:inline xmlns:wp="http://schemas.openxmlformats.org/drawingml/2006/wordprocessingDrawing" distT="0" distB="0" distL="0" distR="0">
            <wp:extent cx="5505450" cy="2962275"/>
            <wp:effectExtent l="0" t="0" r="0" b="9525"/>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6"/>
                    <a:srcRect/>
                    <a:stretch>
                      <a:fillRect/>
                    </a:stretch>
                  </pic:blipFill>
                  <pic:spPr bwMode="auto">
                    <a:xfrm>
                      <a:off x="0" y="0"/>
                      <a:ext cx="5522262" cy="2971454"/>
                    </a:xfrm>
                    <a:prstGeom prst="rect"/>
                    <a:noFill/>
                    <a:ln>
                      <a:noFill/>
                    </a:ln>
                  </pic:spPr>
                </pic:pic>
              </a:graphicData>
            </a:graphic>
          </wp:inline>
        </w:drawing>
      </w:r>
      <w:r>
        <w:rPr>
          <w:i w:val="1"/>
          <w:lang w:val="en-US"/>
        </w:rPr>
        <w:t>Utsnitt över detaljplan B176</w:t>
      </w:r>
    </w:p>
    <w:p>
      <w:bookmarkStart w:id="44" w:name="_Toc129703195"/>
      <w:bookmarkStart w:id="45" w:name="_Toc129703261"/>
      <w:r>
        <w:rPr>
          <w:lang w:val="en-US"/>
        </w:rPr>
        <w:drawing>
          <wp:inline xmlns:wp="http://schemas.openxmlformats.org/drawingml/2006/wordprocessingDrawing" distT="0" distB="0" distL="0" distR="0">
            <wp:extent cx="5772150" cy="2186305"/>
            <wp:effectExtent l="0" t="0" r="0" b="4445"/>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7"/>
                    <a:srcRect/>
                    <a:stretch>
                      <a:fillRect/>
                    </a:stretch>
                  </pic:blipFill>
                  <pic:spPr bwMode="auto">
                    <a:xfrm>
                      <a:off x="0" y="0"/>
                      <a:ext cx="5819387" cy="2204314"/>
                    </a:xfrm>
                    <a:prstGeom prst="rect"/>
                    <a:noFill/>
                    <a:ln>
                      <a:noFill/>
                    </a:ln>
                  </pic:spPr>
                </pic:pic>
              </a:graphicData>
            </a:graphic>
          </wp:inline>
        </w:drawing>
      </w:r>
      <w:bookmarkEnd w:id="44"/>
      <w:bookmarkEnd w:id="45"/>
    </w:p>
    <w:p>
      <w:pPr>
        <w:rPr>
          <w:i w:val="1"/>
        </w:rPr>
      </w:pPr>
      <w:r>
        <w:rPr>
          <w:i w:val="1"/>
        </w:rPr>
        <w:t>Inzoomat utsnitt över fastigheten Sollebrunn 19:56 med planområde markerat i rött</w:t>
      </w:r>
      <w:bookmarkEnd w:id="42"/>
      <w:bookmarkEnd w:id="43"/>
      <w:bookmarkStart w:id="46" w:name="_Toc136422319"/>
    </w:p>
    <w:p>
      <w:pPr>
        <w:rPr>
          <w:lang w:eastAsia="sv-SE"/>
        </w:rPr>
      </w:pPr>
      <w:r>
        <w:rPr>
          <w:rStyle w:val="C5"/>
        </w:rPr>
        <w:t>Planbesked</w:t>
      </w:r>
      <w:r>
        <w:br w:type="textWrapping"/>
      </w:r>
      <w:r>
        <w:rPr>
          <w:lang w:eastAsia="sv-SE"/>
        </w:rPr>
        <w:t xml:space="preserve">Fastighetsägaren ansökte om planbesked den 31 augusti 2020 och ett positivt beslut meddelades av samhällsbyggnadsnämnden den 22 mars 2021, § 36. </w:t>
        <w:br w:type="textWrapping"/>
        <w:t>Syftet med planändringen är att utöka fastighetens byggrätt så att fastighetsägaren kan ansöka om bygglov i efterhand för olovligt uppförd bebyggelse.</w:t>
      </w:r>
    </w:p>
    <w:p>
      <w:pPr>
        <w:pStyle w:val="P2"/>
      </w:pPr>
      <w:r>
        <w:t>Stadsmiljö och bebyggelse</w:t>
      </w:r>
      <w:bookmarkEnd w:id="46"/>
    </w:p>
    <w:p>
      <w:r>
        <w:t>På fastigheten finns ett enbostadshus i ett plan med valmat tak uppfört. Enbostadshuset är sammanbyggt med garage och huset är uppfört år 1973. Fasaden utgörs av mexitegel i vit kulör. Garaget är upppfört med platt tak och fasadbeklädnad utgörs av stående panel. Till fastigheten finns en tomt som utgörs av gräsmatta, uppvuxen vegetation i form av mindre träd och häckar samt en komplementbyggnad.</w:t>
      </w:r>
    </w:p>
    <w:p>
      <w:pPr>
        <w:jc w:val="left"/>
      </w:pPr>
      <w:bookmarkStart w:id="47" w:name="_Hlk134094056"/>
      <w:r>
        <w:rPr>
          <w:sz w:val="28"/>
          <w:lang w:val="en-US"/>
        </w:rPr>
        <w:drawing>
          <wp:inline xmlns:wp="http://schemas.openxmlformats.org/drawingml/2006/wordprocessingDrawing" distT="0" distB="0" distL="0" distR="0">
            <wp:extent cx="4648200" cy="3486150"/>
            <wp:effectExtent l="0" t="0" r="0" b="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2-12-07 platsb 4.jpg"/>
                    <pic:cNvPicPr/>
                  </pic:nvPicPr>
                  <pic:blipFill dpi="0">
                    <a:blip xmlns:r="http://schemas.openxmlformats.org/officeDocument/2006/relationships" r:embed="Relimage8" cstate="print"/>
                    <a:srcRect/>
                    <a:stretch>
                      <a:fillRect/>
                    </a:stretch>
                  </pic:blipFill>
                  <pic:spPr>
                    <a:xfrm>
                      <a:off x="0" y="0"/>
                      <a:ext cx="4674912" cy="3506061"/>
                    </a:xfrm>
                    <a:prstGeom prst="rect"/>
                  </pic:spPr>
                </pic:pic>
              </a:graphicData>
            </a:graphic>
          </wp:inline>
        </w:drawing>
      </w:r>
      <w:bookmarkEnd w:id="47"/>
      <w:r>
        <w:br w:type="textWrapping"/>
      </w:r>
      <w:r>
        <w:rPr>
          <w:i w:val="1"/>
          <w:color w:val="auto"/>
          <w:lang w:val="en-US"/>
        </w:rPr>
        <w:t>Bebyggelse inom fastigheten med garage i framkant</w:t>
      </w:r>
    </w:p>
    <w:p>
      <w:bookmarkStart w:id="48" w:name="_Toc136422320"/>
      <w:bookmarkStart w:id="49" w:name="_Toc101363595"/>
      <w:bookmarkStart w:id="50" w:name="_Toc132893767"/>
      <w:bookmarkStart w:id="51" w:name="_Toc89446088"/>
      <w:r>
        <w:t>Kommunens bygglovsenhet har initierat ett tillsynsärende på fastigheten för olovligt uppförd bebyggelse.</w:t>
      </w:r>
    </w:p>
    <w:p>
      <w:r>
        <w:t>När enbostadshuset uppfördes i början av 60-talet uppgick arean till 173,27 kvadratmeter byggnadsarea för huvudbyggnad och garage. Enbart garagets byggnadsarea uppgick till 44,19 kvadratmeter. Sökanden har ett bygglov för uterum med en byggnadsarea om 21,76 kvm, varav total byggnadsarea inom fastigheten uppgick till 195,03 kvadratmeter.</w:t>
      </w:r>
    </w:p>
    <w:p>
      <w:r>
        <w:t>Den 19 januari 2015 ansökte fastighetsägaren om bygglov för tillbyggnad av garage med 25 kvadratmeter (dnr 2014.0494). Ansökan beviljades som en liten avvikelse från detaljplan och byggnadsarean inom fastigheten uppgick till 220,03 kvadratmeter.</w:t>
      </w:r>
    </w:p>
    <w:p>
      <w:r>
        <w:t xml:space="preserve">Den 1 december 2015 ansökte fastighetsägaren om  startbesked för en Attefalls-åtgärd där garaget föreslogs byggas till med en area om 15 kvadratmeter. Startbesked för åtgärden beviljades (diarienummer 2015.0727). Bebyggelsens area uppgick i och med Attefalls-åtgärden till 235,03 kvadratmeter, men då det rör sig om en Attefalls-åtgärd skall de 15 kvadratmetrarna inte räknas in i fastighetens byggrätt. </w:t>
      </w:r>
    </w:p>
    <w:p>
      <w:r>
        <w:t>År 2017 ansökt fastighetsägaren på nytt om bygglov för tillbyggnad med 7,5 kvadratmeter men negativt beslut meddelades genom samhällsbyggnadsnämnden den 14 maj 2018, § 87. (dnr 2018.077 SBN). 15 kvadratmeter av denna ansökan är redan bebyggt och detta hanteras som ett tillsynsärende av kommunen. Detaljplanen bör reglera 235 kvadratmeter för att möjliggöra ett planenligt utgångsläge för den tillbyggda garagedelen.</w:t>
      </w:r>
    </w:p>
    <w:p>
      <w:r>
        <w:t xml:space="preserve">Utöver de lov och startbesked som medgivits på fastigheten finns en komplementbyggnad uppförd med en area om 23,2 kvadratmeter samt ett uterum med en area om 20 kvadratmeter. Komplementbyggnaden kan ansökas om startbesked i efterhand som en Attefalls-åtgärd enligt 9 kap. § 4a plan- och bygglagen under förutsättning att granne lämnar sitt godkännande för åtgärden då komplementbyggnaden är placerad närmare grannes tomtgräns än 4,5 meter. </w:t>
      </w:r>
    </w:p>
    <w:p>
      <w:pPr>
        <w:rPr>
          <w:color w:val="FF0000"/>
        </w:rPr>
      </w:pPr>
      <w:r>
        <w:rPr>
          <w:color w:val="auto"/>
        </w:rPr>
        <w:t>Inom fastigheten är totalt 255 kvadratmeter uppfört enligt åtgärder som ianspråktar fastighetens byggrätt. Denna area inkluderar uterummet om 20 kvadratmeter, som fastighetsägaren behöver ansöka om bygglov i efterhand för</w:t>
      </w:r>
      <w:r>
        <w:rPr>
          <w:color w:val="FF0000"/>
        </w:rPr>
        <w:t xml:space="preserve">. </w:t>
      </w:r>
    </w:p>
    <w:p>
      <w:r>
        <w:t xml:space="preserve">Bebyggelsen inom fastigheten uppgår dock till 270 kvadratmeter då Attefalls-åtgärd medgivits inom fastigheten.  </w:t>
      </w:r>
    </w:p>
    <w:p>
      <w:pPr>
        <w:pStyle w:val="P2"/>
      </w:pPr>
      <w:r>
        <w:t>Teknisk försörjning</w:t>
      </w:r>
      <w:bookmarkEnd w:id="48"/>
    </w:p>
    <w:p>
      <w:pPr>
        <w:rPr>
          <w:caps w:val="1"/>
        </w:rPr>
      </w:pPr>
      <w:bookmarkStart w:id="52" w:name="_Toc132893789"/>
      <w:bookmarkStart w:id="53" w:name="pf_teknik01"/>
      <w:r>
        <w:rPr>
          <w:lang w:val="en-US"/>
        </w:rPr>
        <w:t xml:space="preserve">Planförslaget innebär ingen ny bebyggelse för bostäder och medför inga förändringar för avfallshämtning eller anslutning till el- och kommunalt VA. </w:t>
        <w:br w:type="textWrapping"/>
      </w:r>
      <w:r>
        <w:t>Dagvatten ska alltid tas om hand lokalt där så är möjligt och lämpligt samt om det behöver genomgå rening innan det avleds till recipient. Alingsås kommuns dagvattenstrategi, antagen 2020-09-02, utgör ett gemensamt styrande dokument gällande dagvattenhanteringen i Alingsås kommun. Enligt dagvattenstrategin ska fastighetsägare ansvara för att fördröja dagvatten inom fastigheten vid ny- och ombyggnationer. Genom att fördröja dagvattnet kan bland annat grundvattennivån upprätthållas och översvämningsrisken minska. Dagvattenflödet och möjligheten till att fördröja dagvatten inom fastigheten bedöms inte förändras med hänsyn till vad detaljplanen medger för utökad byggrätt då andelen hårdgjord yta ökar med cirka 35 kvadratmeter.</w:t>
      </w:r>
    </w:p>
    <w:p>
      <w:pPr>
        <w:pStyle w:val="P3"/>
      </w:pPr>
      <w:bookmarkEnd w:id="52"/>
      <w:bookmarkEnd w:id="53"/>
      <w:r>
        <w:t>Ställningstagande 4 kap. 33 b § plan- och bygglagen (2010:900)</w:t>
      </w:r>
      <w:bookmarkEnd w:id="49"/>
      <w:bookmarkEnd w:id="50"/>
      <w:bookmarkEnd w:id="51"/>
    </w:p>
    <w:p>
      <w:pPr>
        <w:rPr>
          <w:color w:val="auto"/>
          <w:sz w:val="23"/>
          <w:szCs w:val="23"/>
        </w:rPr>
      </w:pPr>
      <w:r>
        <w:rPr>
          <w:color w:val="auto"/>
          <w:sz w:val="23"/>
          <w:szCs w:val="23"/>
        </w:rPr>
        <w:t xml:space="preserve">En undersökning av betydande miljöpåverkan har genomförts enligt 6 kap 6 § miljöbalken. Kommunen bedömer att detaljplanen inte medför en betydande miljöpåverkan. </w:t>
      </w:r>
    </w:p>
    <w:p>
      <w:pPr>
        <w:rPr>
          <w:color w:val="auto"/>
          <w:sz w:val="23"/>
          <w:szCs w:val="23"/>
        </w:rPr>
      </w:pPr>
      <w:r>
        <w:rPr>
          <w:color w:val="auto"/>
          <w:sz w:val="23"/>
          <w:szCs w:val="23"/>
        </w:rPr>
        <w:t>Detaljplanens karaktäristiska egenskaper bedöms inte ställa krav på en miljökonsekvensbeskrivning (MKB). Platsens förutsättningar bedöms inte vara sådana att en MKB krävs utifrån det som föreslås i detaljplanen och effekterna av det som föreslås i detaljplanen bedöms inte vara betydande. Miljöeffekterna av detaljplanen skadar inte människors hälsa och säkerhet, varken direkt eller indirekt.</w:t>
      </w:r>
    </w:p>
    <w:p>
      <w:pPr>
        <w:rPr>
          <w:color w:val="auto"/>
          <w:sz w:val="23"/>
          <w:szCs w:val="23"/>
        </w:rPr>
      </w:pPr>
      <w:r>
        <w:rPr>
          <w:color w:val="auto"/>
          <w:sz w:val="23"/>
          <w:szCs w:val="23"/>
        </w:rPr>
        <w:t>Vid undersökningen har miljöbedömningsförordningen särskilt beaktats och kommunen har bedömt att en strategisk miljöbedömning inte behövs för aktuellt planområde.</w:t>
      </w:r>
    </w:p>
    <w:p>
      <w:pPr>
        <w:rPr>
          <w:color w:val="auto"/>
          <w:sz w:val="23"/>
          <w:szCs w:val="23"/>
        </w:rPr>
      </w:pPr>
      <w:r>
        <w:rPr>
          <w:color w:val="auto"/>
          <w:sz w:val="23"/>
          <w:szCs w:val="23"/>
        </w:rPr>
        <w:t>Omgivningsförutsättningarna och den påverkan detaljplanen innebär för miljön, hälsan och hushållningen redovisas i denna planbeskrivning.</w:t>
      </w:r>
    </w:p>
    <w:p>
      <w:pPr>
        <w:pStyle w:val="P2"/>
      </w:pPr>
      <w:bookmarkStart w:id="54" w:name="_Toc136422321"/>
      <w:r>
        <w:t>Hälsa, störningar och risker</w:t>
      </w:r>
      <w:bookmarkEnd w:id="54"/>
    </w:p>
    <w:p>
      <w:pPr>
        <w:pStyle w:val="P3"/>
        <w:rPr>
          <w:lang w:val="en-US"/>
        </w:rPr>
      </w:pPr>
      <w:bookmarkStart w:id="55" w:name="_Toc132893771"/>
      <w:bookmarkStart w:id="56" w:name="pf_hälsaochsäkerhet01"/>
      <w:r>
        <w:t>Förorenad mark</w:t>
      </w:r>
      <w:bookmarkEnd w:id="55"/>
    </w:p>
    <w:p>
      <w:r>
        <w:t xml:space="preserve">Fastigheten finns inte med i Länsstyrelsernas databas för förorenade områden (EBH-stödet) och ändringen av detaljplan medger inte för någon verksamhet med påverkan på människors hälsa eller säkerhet. </w:t>
      </w:r>
    </w:p>
    <w:p>
      <w:pPr>
        <w:pStyle w:val="P3"/>
        <w:rPr>
          <w:lang w:val="en-US"/>
        </w:rPr>
      </w:pPr>
      <w:bookmarkStart w:id="57" w:name="_Toc89446041"/>
      <w:bookmarkStart w:id="58" w:name="_Toc132893772"/>
      <w:r>
        <w:t>Risk för översvämning</w:t>
      </w:r>
      <w:bookmarkEnd w:id="57"/>
      <w:bookmarkEnd w:id="58"/>
      <w:r>
        <w:t xml:space="preserve"> </w:t>
      </w:r>
    </w:p>
    <w:p>
      <w:r>
        <w:rPr>
          <w:lang w:val="en-US"/>
        </w:rPr>
        <w:t>Vid ett 100-årsregn med anpassad klimatfaktor finns lågpunkter inom delar av fastigheten, dock ej där befintlig huvudbyggnad är uppförd. Då detaljplanen möjliggör en ökad byggrätt för befintlig komplementbyggnad bedöms inte ny bebyggelse påverkas.</w:t>
      </w:r>
    </w:p>
    <w:p>
      <w:pPr>
        <w:pStyle w:val="P3"/>
        <w:rPr>
          <w:lang w:val="en-US"/>
        </w:rPr>
      </w:pPr>
      <w:bookmarkStart w:id="59" w:name="_Toc101363543"/>
      <w:bookmarkStart w:id="60" w:name="_Toc132893776"/>
      <w:bookmarkStart w:id="61" w:name="_Toc89446039"/>
      <w:r>
        <w:t>Omgivningsbuller</w:t>
      </w:r>
      <w:bookmarkEnd w:id="59"/>
      <w:bookmarkEnd w:id="60"/>
      <w:bookmarkEnd w:id="61"/>
      <w:r>
        <w:t xml:space="preserve"> </w:t>
      </w:r>
    </w:p>
    <w:p>
      <w:bookmarkStart w:id="62" w:name="_Toc101363544"/>
      <w:bookmarkStart w:id="63" w:name="_Toc132893777"/>
      <w:bookmarkStart w:id="64" w:name="_Toc89446040"/>
      <w:r>
        <w:t xml:space="preserve">Planområdet ligger med avstånd om 250 meter fågelvägen från Trollhättevägen. Trollhättevägen har i dagsläget trafikalstringar om 4225 fordonsrörelser i medeldygnstrafik. Planförslaget innebär inte någon ny bebyggelse för permanent vistelse och trafikbullerförordningens riktlinjer behöver därav inte uppnås. </w:t>
      </w:r>
    </w:p>
    <w:p>
      <w:pPr>
        <w:pStyle w:val="P3"/>
        <w:rPr>
          <w:lang w:val="en-US"/>
        </w:rPr>
      </w:pPr>
      <w:bookmarkEnd w:id="62"/>
      <w:bookmarkEnd w:id="63"/>
      <w:bookmarkEnd w:id="64"/>
      <w:bookmarkStart w:id="65" w:name="_Toc132893778"/>
      <w:r>
        <w:t>Räddningsvägar</w:t>
      </w:r>
      <w:bookmarkEnd w:id="65"/>
    </w:p>
    <w:p>
      <w:r>
        <w:t xml:space="preserve">Planförslaget medför inga ändringar i in- och utfartsväg till fastigheten och åtkomst finns. </w:t>
      </w:r>
    </w:p>
    <w:p>
      <w:pPr>
        <w:pStyle w:val="P3"/>
        <w:rPr>
          <w:lang w:val="en-US"/>
        </w:rPr>
      </w:pPr>
      <w:r>
        <w:t>Skydd mot spridning av brand</w:t>
      </w:r>
    </w:p>
    <w:p>
      <w:r>
        <w:rPr>
          <w:lang w:val="en-US"/>
        </w:rPr>
        <w:t>Komplementbyggnad inom Sollebrunn 19:56 är placerad på ett avstånd mellan 3,2 – 6,4 meter till närmast anslutande bebyggelse inom fastigheten Sollebrunn 19:55. I samband med ansökan om bygglov I efterhand behöver skydd mot brandspridning mellan byggnader säkerställas enligt Boverkets byggregler, BBR 5:6.</w:t>
      </w:r>
    </w:p>
    <w:p>
      <w:pPr>
        <w:pStyle w:val="P2"/>
      </w:pPr>
      <w:bookmarkEnd w:id="56"/>
      <w:bookmarkStart w:id="66" w:name="_Toc136422322"/>
      <w:r>
        <w:t>Geotekniska förhållanden</w:t>
      </w:r>
      <w:bookmarkEnd w:id="66"/>
      <w:r>
        <w:t xml:space="preserve">                                                         </w:t>
      </w:r>
    </w:p>
    <w:p>
      <w:pPr>
        <w:rPr>
          <w:lang w:val="en-US"/>
        </w:rPr>
      </w:pPr>
      <w:bookmarkStart w:id="67" w:name="pf_geotekniskaförhållanden01"/>
      <w:r>
        <w:rPr>
          <w:lang w:val="en-US"/>
        </w:rPr>
        <w:t xml:space="preserve">Planområdet utgörs av glacial lera. De geotekniska förhållandena inom planområdet bedöms inte förändras nämnvärt då detaljplanen möjliggör för en mindre utökning av byggrätten.  </w:t>
      </w:r>
    </w:p>
    <w:p>
      <w:pPr>
        <w:pStyle w:val="P2"/>
      </w:pPr>
      <w:bookmarkEnd w:id="67"/>
      <w:bookmarkStart w:id="68" w:name="_Toc136422323"/>
      <w:r>
        <w:t>Hydrologiska förhållanden</w:t>
      </w:r>
      <w:bookmarkEnd w:id="68"/>
    </w:p>
    <w:p>
      <w:pPr>
        <w:rPr>
          <w:lang w:val="en-US"/>
        </w:rPr>
      </w:pPr>
      <w:bookmarkStart w:id="69" w:name="pf_hydrologiskaförhållanden01"/>
      <w:r>
        <w:rPr>
          <w:lang w:val="en-US"/>
        </w:rPr>
        <w:t>Den tillkommande bebyggelse som planförslaget medger för bedöms inte medföra påverkan på infiltration eller grundvatten De hydrologiska förhållandena inom planområdet förändras i liten omfattning till följd av ett genomförande av detaljplanen.</w:t>
      </w:r>
    </w:p>
    <w:p>
      <w:pPr>
        <w:pStyle w:val="P2"/>
      </w:pPr>
      <w:bookmarkEnd w:id="69"/>
      <w:bookmarkStart w:id="70" w:name="_Toc136422324"/>
      <w:r>
        <w:t>Miljökvalitetsnormer</w:t>
      </w:r>
      <w:bookmarkEnd w:id="70"/>
      <w:r>
        <w:t xml:space="preserve"> </w:t>
      </w:r>
    </w:p>
    <w:p>
      <w:pPr>
        <w:rPr>
          <w:color w:val="auto"/>
          <w:shd w:val="clear" w:color="auto" w:fill="FFFFFF"/>
        </w:rPr>
      </w:pPr>
      <w:bookmarkStart w:id="71" w:name="pf_miljökvalitetsnormer01"/>
      <w:r>
        <w:rPr>
          <w:color w:val="auto"/>
          <w:shd w:val="clear" w:color="auto" w:fill="FFFFFF"/>
        </w:rPr>
        <w:t>Miljökvalitetsnormer, MKN, är regler om kvaliteten på mark, vatten, luft eller miljön i övrigt. Normerna beslutas för att varaktigt skydda människors hälsa eller miljön eller för att avhjälpa skador på eller olägenheter för människors hälsa eller miljön.</w:t>
      </w:r>
    </w:p>
    <w:p>
      <w:pPr>
        <w:rPr>
          <w:color w:val="auto"/>
          <w:lang w:val="en-US"/>
        </w:rPr>
      </w:pPr>
      <w:r>
        <w:rPr>
          <w:szCs w:val="16"/>
        </w:rPr>
        <w:t xml:space="preserve">Planområdet ligger i centrala Sollebrunn och miljökvalitetsnormen för luft överskrids inte i nuläget. </w:t>
      </w:r>
    </w:p>
    <w:p>
      <w:r>
        <w:t>Miljökvaklitetsnormer för vatten berör recipienten Mellbyån (SE643462-130128). Mellbyån statusklassning uppgår till måttlig ekologisk status, med kvalitetskrav om att uppnå god ekologisk status till år 2039.</w:t>
      </w:r>
    </w:p>
    <w:p>
      <w:r>
        <w:t>Kemisk status uppnår ej god inom förvaltningscykel 2017-2021 med avseende på bromerad difenyleter samt kvicksilver och kvicksilverföreningar. Kemiska källor såsom dioxiner, pentaklorfenol, perflouroktansulfonsyra (PFOS) samt polyaromatiska kolväten (PAH)) är ej statusklassad.</w:t>
      </w:r>
    </w:p>
    <w:p>
      <w:pPr>
        <w:jc w:val="left"/>
      </w:pPr>
      <w:r>
        <w:t xml:space="preserve">Mellbyån avrinner till Anten, vars slutrecipient är Göta älv. Miljökvalitetsnomrer för buller </w:t>
      </w:r>
      <w:r>
        <w:rPr>
          <w:szCs w:val="16"/>
        </w:rPr>
        <w:t xml:space="preserve">överskrids inte i nuläget. </w:t>
      </w:r>
    </w:p>
    <w:p>
      <w:pPr>
        <w:pStyle w:val="P1"/>
      </w:pPr>
      <w:bookmarkEnd w:id="71"/>
      <w:bookmarkStart w:id="72" w:name="_Toc136422325"/>
      <w:r>
        <w:t>Genomförandefrågor</w:t>
      </w:r>
      <w:bookmarkEnd w:id="72"/>
    </w:p>
    <w:p>
      <w:pPr>
        <w:pStyle w:val="P2"/>
      </w:pPr>
      <w:bookmarkStart w:id="73" w:name="_Toc136422326"/>
      <w:r>
        <w:t>Organisatoriska frågor</w:t>
      </w:r>
      <w:bookmarkEnd w:id="73"/>
    </w:p>
    <w:p>
      <w:pPr>
        <w:pStyle w:val="P3"/>
        <w:rPr>
          <w:lang w:val="en-US"/>
        </w:rPr>
      </w:pPr>
      <w:bookmarkStart w:id="74" w:name="_Toc132893803"/>
      <w:r>
        <w:rPr>
          <w:lang w:val="en-US"/>
        </w:rPr>
        <w:t>Ansvarsfördelning</w:t>
      </w:r>
      <w:bookmarkEnd w:id="74"/>
    </w:p>
    <w:p>
      <w:pPr>
        <w:shd w:val="clear" w:fill="FFFFFF"/>
        <w:spacing w:lineRule="auto" w:line="240" w:beforeAutospacing="0" w:afterAutospacing="0"/>
        <w:rPr>
          <w:color w:val="auto"/>
          <w:szCs w:val="34"/>
        </w:rPr>
      </w:pPr>
      <w:r>
        <w:rPr>
          <w:color w:val="auto"/>
          <w:szCs w:val="34"/>
        </w:rPr>
        <w:t xml:space="preserve">Fastighetsägaren projekterar, utför och bekostar samtliga åtgärder i enlighet med detaljplanens bestämmelser inom kvartersmark. </w:t>
      </w:r>
    </w:p>
    <w:p>
      <w:pPr>
        <w:pStyle w:val="P3"/>
        <w:rPr>
          <w:lang w:val="en-US"/>
        </w:rPr>
      </w:pPr>
      <w:bookmarkStart w:id="75" w:name="_Toc132893804"/>
      <w:r>
        <w:rPr>
          <w:lang w:val="en-US"/>
        </w:rPr>
        <w:t>Huvudmannaskap</w:t>
      </w:r>
      <w:bookmarkEnd w:id="75"/>
    </w:p>
    <w:p>
      <w:pPr>
        <w:rPr>
          <w:lang w:val="en-US"/>
        </w:rPr>
      </w:pPr>
      <w:r>
        <w:rPr>
          <w:rFonts w:eastAsiaTheme="minorHAnsi"/>
          <w:lang w:val="en-US"/>
        </w:rPr>
        <w:t>Detaljplanen omfattar ingen allmän plats. För de till fastigheten omgivande gatorna gäller enskilt huvudmannaskap.</w:t>
      </w:r>
    </w:p>
    <w:p>
      <w:pPr>
        <w:pStyle w:val="P3"/>
      </w:pPr>
      <w:bookmarkStart w:id="76" w:name="_Toc101363671"/>
      <w:bookmarkStart w:id="77" w:name="_Toc132893807"/>
      <w:bookmarkStart w:id="78" w:name="_Toc89446164"/>
      <w:bookmarkStart w:id="79" w:name="_Hlk121733575"/>
      <w:r>
        <w:t>Tidplan</w:t>
      </w:r>
      <w:bookmarkEnd w:id="76"/>
      <w:bookmarkEnd w:id="77"/>
      <w:bookmarkEnd w:id="78"/>
    </w:p>
    <w:p>
      <w:pPr>
        <w:spacing w:lineRule="auto" w:line="240" w:after="0" w:beforeAutospacing="0" w:afterAutospacing="0"/>
        <w:rPr>
          <w:lang w:val="en-US"/>
        </w:rPr>
      </w:pPr>
      <w:r>
        <w:rPr>
          <w:lang w:val="en-US"/>
        </w:rPr>
        <w:t>Samråd</w:t>
        <w:tab/>
        <w:t>Q3 2023</w:t>
      </w:r>
    </w:p>
    <w:p>
      <w:pPr>
        <w:spacing w:lineRule="auto" w:line="240" w:after="0" w:beforeAutospacing="0" w:afterAutospacing="0"/>
        <w:rPr>
          <w:lang w:val="en-US"/>
        </w:rPr>
      </w:pPr>
      <w:r>
        <w:rPr>
          <w:lang w:val="en-US"/>
        </w:rPr>
        <w:t>Granskning</w:t>
        <w:tab/>
        <w:t>Q4 2023</w:t>
      </w:r>
    </w:p>
    <w:p>
      <w:pPr>
        <w:spacing w:lineRule="auto" w:line="240" w:after="0" w:beforeAutospacing="0" w:afterAutospacing="0"/>
        <w:rPr>
          <w:lang w:val="en-US"/>
        </w:rPr>
      </w:pPr>
      <w:r>
        <w:rPr>
          <w:lang w:val="en-US"/>
        </w:rPr>
        <w:t xml:space="preserve">Antagande </w:t>
        <w:tab/>
        <w:t>Q1 2024</w:t>
      </w:r>
    </w:p>
    <w:p>
      <w:pPr>
        <w:spacing w:lineRule="auto" w:line="240" w:after="0" w:beforeAutospacing="0" w:afterAutospacing="0"/>
        <w:rPr>
          <w:lang w:val="en-US"/>
        </w:rPr>
      </w:pPr>
      <w:r>
        <w:rPr>
          <w:lang w:val="en-US"/>
        </w:rPr>
        <w:t>Laga kraft</w:t>
        <w:tab/>
        <w:t>Q1 2024</w:t>
      </w:r>
    </w:p>
    <w:p>
      <w:pPr>
        <w:pStyle w:val="P2"/>
      </w:pPr>
      <w:bookmarkEnd w:id="79"/>
      <w:bookmarkStart w:id="80" w:name="_Toc136422327"/>
      <w:r>
        <w:t>Fastighetsrättsliga frågor</w:t>
      </w:r>
      <w:bookmarkEnd w:id="80"/>
      <w:r>
        <w:t xml:space="preserve"> </w:t>
      </w:r>
    </w:p>
    <w:p>
      <w:pPr>
        <w:pStyle w:val="P3"/>
      </w:pPr>
      <w:bookmarkStart w:id="81" w:name="_Toc101363653"/>
      <w:bookmarkStart w:id="82" w:name="_Toc132893815"/>
      <w:bookmarkStart w:id="83" w:name="_Toc89446146"/>
      <w:bookmarkStart w:id="84" w:name="gf_fastighetsrättsligafrågor01"/>
      <w:r>
        <w:t>F</w:t>
      </w:r>
      <w:bookmarkEnd w:id="81"/>
      <w:bookmarkEnd w:id="82"/>
      <w:bookmarkEnd w:id="83"/>
      <w:r>
        <w:t>astighetsägande</w:t>
      </w:r>
      <w:bookmarkStart w:id="85" w:name="_Toc132893816"/>
    </w:p>
    <w:p>
      <w:r>
        <w:t>Fastigheten Sollebrunn 19:56 ägs av privat fastighetsägare.</w:t>
      </w:r>
    </w:p>
    <w:p>
      <w:pPr>
        <w:pStyle w:val="P3"/>
      </w:pPr>
      <w:r>
        <w:t>Rättigheter</w:t>
      </w:r>
      <w:bookmarkEnd w:id="85"/>
    </w:p>
    <w:p>
      <w:pPr>
        <w:rPr>
          <w:lang w:val="en-US"/>
        </w:rPr>
      </w:pPr>
      <w:r>
        <w:rPr>
          <w:lang w:val="en-US"/>
        </w:rPr>
        <w:t>Ändringen av detaljplan medför inga fastighetsrättsliga förändringar.</w:t>
      </w:r>
    </w:p>
    <w:p>
      <w:pPr>
        <w:pStyle w:val="P2"/>
      </w:pPr>
      <w:bookmarkEnd w:id="84"/>
      <w:bookmarkStart w:id="86" w:name="_Toc136422328"/>
      <w:bookmarkStart w:id="87" w:name="gf_planekonomiskbedömning01"/>
      <w:r>
        <w:t>Ekonomiska frågor</w:t>
      </w:r>
      <w:bookmarkEnd w:id="86"/>
      <w:r>
        <w:t xml:space="preserve"> </w:t>
      </w:r>
    </w:p>
    <w:p>
      <w:pPr>
        <w:pStyle w:val="P3"/>
      </w:pPr>
      <w:bookmarkStart w:id="88" w:name="_Toc101363660"/>
      <w:bookmarkStart w:id="89" w:name="_Toc132893825"/>
      <w:bookmarkStart w:id="90" w:name="_Toc89446153"/>
      <w:r>
        <w:t>Planekonomisk bedömning</w:t>
      </w:r>
      <w:bookmarkEnd w:id="88"/>
      <w:bookmarkEnd w:id="89"/>
      <w:bookmarkEnd w:id="90"/>
    </w:p>
    <w:p>
      <w:r>
        <w:t>Fastighetsägaren bekostar detaljplanens genomförande och ansökan om bygglov i efterhand samt eventuella sanktionsavgifter.</w:t>
      </w:r>
    </w:p>
    <w:p>
      <w:pPr>
        <w:pStyle w:val="P3"/>
      </w:pPr>
      <w:bookmarkStart w:id="91" w:name="_Toc132893826"/>
      <w:r>
        <w:t>Planavgift</w:t>
      </w:r>
      <w:bookmarkEnd w:id="91"/>
    </w:p>
    <w:p>
      <w:pPr>
        <w:shd w:val="clear" w:fill="FFFFFF"/>
        <w:spacing w:lineRule="auto" w:line="240" w:beforeAutospacing="0" w:afterAutospacing="0"/>
        <w:rPr>
          <w:color w:val="auto"/>
          <w:szCs w:val="34"/>
        </w:rPr>
      </w:pPr>
      <w:r>
        <w:rPr>
          <w:color w:val="auto"/>
          <w:szCs w:val="34"/>
        </w:rPr>
        <w:t>Kostnaden för framtagandet av detaljplan samt tillhörande handlingar tas ut enligt undertecknat planavtal. Planavgift avses inte tas ut i samband med bygglov.</w:t>
      </w:r>
    </w:p>
    <w:p>
      <w:pPr>
        <w:pStyle w:val="P2"/>
      </w:pPr>
      <w:bookmarkEnd w:id="87"/>
      <w:bookmarkStart w:id="92" w:name="_Toc136422329"/>
      <w:r>
        <w:t>Tekniska frågor</w:t>
      </w:r>
      <w:bookmarkEnd w:id="92"/>
    </w:p>
    <w:p>
      <w:pPr>
        <w:shd w:val="clear" w:fill="FFFFFF"/>
        <w:spacing w:lineRule="auto" w:line="240" w:beforeAutospacing="0" w:afterAutospacing="0"/>
        <w:rPr>
          <w:color w:val="auto"/>
          <w:szCs w:val="34"/>
        </w:rPr>
      </w:pPr>
      <w:r>
        <w:rPr>
          <w:color w:val="auto"/>
          <w:szCs w:val="34"/>
        </w:rPr>
        <w:t>Fastigheten är redan bebyggd och ansluten till erforderliga ledningar. Inga förändringar förväntas medföras med anledning av planändringen.</w:t>
      </w:r>
    </w:p>
    <w:p>
      <w:pPr>
        <w:pStyle w:val="P119"/>
        <w:jc w:val="left"/>
        <w:rPr>
          <w:b w:val="1"/>
        </w:rPr>
      </w:pPr>
      <w:bookmarkStart w:id="93" w:name="_Toc136422330"/>
      <w:r>
        <w:rPr>
          <w:b w:val="1"/>
        </w:rPr>
        <w:t>Medverkande tjänstepersoner</w:t>
      </w:r>
      <w:bookmarkEnd w:id="93"/>
    </w:p>
    <w:p>
      <w:pPr>
        <w:rPr>
          <w:lang w:eastAsia="sv-SE"/>
        </w:rPr>
      </w:pPr>
    </w:p>
    <w:p>
      <w:pPr>
        <w:rPr>
          <w:lang w:eastAsia="sv-SE"/>
        </w:rPr>
      </w:pPr>
      <w:r>
        <w:rPr>
          <w:lang w:eastAsia="sv-SE"/>
        </w:rPr>
        <w:t>Detaljplanen har utarbetats under medverkan av en plangrupp med representanter från samhällsbyggnadsförvaltningen och kommunledningskontoret.</w:t>
      </w:r>
    </w:p>
    <w:p>
      <w:pPr>
        <w:rPr>
          <w:color w:val="auto"/>
          <w:lang w:eastAsia="sv-SE"/>
        </w:rPr>
      </w:pPr>
      <w:r>
        <w:rPr>
          <w:color w:val="auto"/>
          <w:lang w:eastAsia="sv-SE"/>
        </w:rPr>
        <w:t>Handläggare från Alingsås kommun har varit planarkitekter Emelie Aspeheim-Spreizer och Elisa Johansson.</w:t>
      </w:r>
    </w:p>
    <w:p>
      <w:r>
        <w:rPr>
          <w:color w:val="auto"/>
          <w:lang w:eastAsia="sv-SE"/>
        </w:rPr>
        <w:t>Avsnittet om genomförande har tagits fram av Rebecca Wedberg, exploateringsenheten.</w:t>
      </w:r>
    </w:p>
    <w:sectPr>
      <w:headerReference xmlns:r="http://schemas.openxmlformats.org/officeDocument/2006/relationships" w:type="first" r:id="RelHdr1"/>
      <w:footerReference xmlns:r="http://schemas.openxmlformats.org/officeDocument/2006/relationships" w:type="first" r:id="RelFtr1"/>
      <w:footnotePr/>
      <w:endnotePr/>
      <w:type w:val="nextPage"/>
      <w:pgSz w:w="11907" w:h="16840" w:code="0"/>
      <w:pgMar w:left="1531" w:right="1531" w:top="2268" w:bottom="2268" w:header="680" w:footer="624"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pStyle w:val="P3"/>
        <w:rPr>
          <w:rFonts w:ascii="Times New Roman" w:hAnsi="Times New Roman" w:cs="Times New Roman"/>
        </w:rPr>
      </w:pPr>
      <w:r>
        <w:separator/>
      </w:r>
    </w:p>
  </w:endnote>
  <w:endnote w:type="continuationSeparator" w:id="0">
    <w:p>
      <w:pPr>
        <w:pStyle w:val="P3"/>
        <w:rPr>
          <w:rFonts w:ascii="Times New Roman" w:hAnsi="Times New Roman" w:cs="Times New Roman"/>
        </w:rPr>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2"/>
      <w:jc w:val="right"/>
      <w:rPr>
        <w:sz w:val="2"/>
        <w:szCs w:val="2"/>
      </w:rPr>
    </w:pPr>
  </w:p>
  <w:p>
    <w:pPr>
      <w:pStyle w:val="P12"/>
      <w:rPr>
        <w:sz w:val="2"/>
        <w:szCs w:val="2"/>
      </w:rPr>
    </w:pPr>
  </w:p>
  <w:p>
    <w:pPr>
      <w:spacing w:lineRule="auto" w:line="240" w:after="0" w:beforeAutospacing="0" w:afterAutospacing="0"/>
      <w:rPr>
        <w:sz w:val="2"/>
        <w:szCs w:val="2"/>
      </w:rPr>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pStyle w:val="P3"/>
        <w:rPr>
          <w:rFonts w:ascii="Times New Roman" w:hAnsi="Times New Roman" w:cs="Times New Roman"/>
        </w:rPr>
      </w:pPr>
      <w:r>
        <w:separator/>
      </w:r>
    </w:p>
  </w:footnote>
  <w:footnote w:type="continuationSeparator" w:id="0">
    <w:p>
      <w:pPr>
        <w:pStyle w:val="P3"/>
        <w:rPr>
          <w:rFonts w:ascii="Times New Roman" w:hAnsi="Times New Roman" w:cs="Times New Roman"/>
        </w:rPr>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spacing w:after="0" w:beforeAutospacing="0" w:afterAutospacing="0"/>
      <w:rPr>
        <w:sz w:val="2"/>
        <w:szCs w:val="2"/>
      </w:rPr>
    </w:pPr>
  </w:p>
</w:hdr>
</file>

<file path=word/numbering.xml><?xml version="1.0" encoding="utf-8"?>
<w:numbering xmlns:w="http://schemas.openxmlformats.org/wordprocessingml/2006/main">
  <w:abstractNum w:abstractNumId="0">
    <w:nsid w:val="FFFFFF7C"/>
    <w:multiLevelType w:val="hybridMultilevel"/>
    <w:lvl w:ilvl="0">
      <w:start w:val="1"/>
      <w:numFmt w:val="decimal"/>
      <w:pStyle w:val="P103"/>
      <w:suff w:val="tab"/>
      <w:lvlText w:val="%1."/>
      <w:lvlJc w:val="left"/>
      <w:pPr>
        <w:ind w:hanging="360" w:left="1492"/>
        <w:tabs>
          <w:tab w:val="num" w:pos="1492" w:leader="none"/>
        </w:tabs>
      </w:pPr>
      <w:rPr/>
    </w:lvl>
    <w:lvl w:ilvl="1" w:tplc="0AA77EB0">
      <w:start w:val="1"/>
      <w:numFmt w:val="decimal"/>
      <w:suff w:val="tab"/>
      <w:lvlText w:val="%1."/>
      <w:lvlJc w:val="left"/>
      <w:pPr/>
      <w:rPr/>
    </w:lvl>
    <w:lvl w:ilvl="2" w:tplc="5D1F4CDC">
      <w:start w:val="1"/>
      <w:numFmt w:val="decimal"/>
      <w:suff w:val="tab"/>
      <w:lvlText w:val="%1."/>
      <w:lvlJc w:val="left"/>
      <w:pPr/>
      <w:rPr/>
    </w:lvl>
    <w:lvl w:ilvl="3" w:tplc="0A61855E">
      <w:start w:val="1"/>
      <w:numFmt w:val="decimal"/>
      <w:suff w:val="tab"/>
      <w:lvlText w:val="%1."/>
      <w:lvlJc w:val="left"/>
      <w:pPr/>
      <w:rPr/>
    </w:lvl>
    <w:lvl w:ilvl="4" w:tplc="0F6D54D5">
      <w:start w:val="1"/>
      <w:numFmt w:val="decimal"/>
      <w:suff w:val="tab"/>
      <w:lvlText w:val="%1."/>
      <w:lvlJc w:val="left"/>
      <w:pPr/>
      <w:rPr/>
    </w:lvl>
    <w:lvl w:ilvl="5" w:tplc="10C10427">
      <w:start w:val="1"/>
      <w:numFmt w:val="decimal"/>
      <w:suff w:val="tab"/>
      <w:lvlText w:val="%1."/>
      <w:lvlJc w:val="left"/>
      <w:pPr/>
      <w:rPr/>
    </w:lvl>
    <w:lvl w:ilvl="6" w:tplc="460FA154">
      <w:start w:val="1"/>
      <w:numFmt w:val="decimal"/>
      <w:suff w:val="tab"/>
      <w:lvlText w:val="%1."/>
      <w:lvlJc w:val="left"/>
      <w:pPr/>
      <w:rPr/>
    </w:lvl>
    <w:lvl w:ilvl="7" w:tplc="2E39D8A2">
      <w:start w:val="1"/>
      <w:numFmt w:val="decimal"/>
      <w:suff w:val="tab"/>
      <w:lvlText w:val="%1."/>
      <w:lvlJc w:val="left"/>
      <w:pPr/>
      <w:rPr/>
    </w:lvl>
    <w:lvl w:ilvl="8" w:tplc="7A1E34FC">
      <w:start w:val="1"/>
      <w:numFmt w:val="decimal"/>
      <w:suff w:val="tab"/>
      <w:lvlText w:val="%1."/>
      <w:lvlJc w:val="left"/>
      <w:pPr/>
      <w:rPr/>
    </w:lvl>
  </w:abstractNum>
  <w:abstractNum w:abstractNumId="1">
    <w:nsid w:val="FFFFFF7D"/>
    <w:multiLevelType w:val="hybridMultilevel"/>
    <w:lvl w:ilvl="0">
      <w:start w:val="1"/>
      <w:numFmt w:val="decimal"/>
      <w:pStyle w:val="P102"/>
      <w:suff w:val="tab"/>
      <w:lvlText w:val="%1."/>
      <w:lvlJc w:val="left"/>
      <w:pPr>
        <w:ind w:hanging="360" w:left="1209"/>
        <w:tabs>
          <w:tab w:val="num" w:pos="1209" w:leader="none"/>
        </w:tabs>
      </w:pPr>
      <w:rPr/>
    </w:lvl>
    <w:lvl w:ilvl="1" w:tplc="6C707070">
      <w:start w:val="1"/>
      <w:numFmt w:val="decimal"/>
      <w:suff w:val="tab"/>
      <w:lvlText w:val="%1."/>
      <w:lvlJc w:val="left"/>
      <w:pPr/>
      <w:rPr/>
    </w:lvl>
    <w:lvl w:ilvl="2" w:tplc="708FCCFD">
      <w:start w:val="1"/>
      <w:numFmt w:val="decimal"/>
      <w:suff w:val="tab"/>
      <w:lvlText w:val="%1."/>
      <w:lvlJc w:val="left"/>
      <w:pPr/>
      <w:rPr/>
    </w:lvl>
    <w:lvl w:ilvl="3" w:tplc="2FE6BD9B">
      <w:start w:val="1"/>
      <w:numFmt w:val="decimal"/>
      <w:suff w:val="tab"/>
      <w:lvlText w:val="%1."/>
      <w:lvlJc w:val="left"/>
      <w:pPr/>
      <w:rPr/>
    </w:lvl>
    <w:lvl w:ilvl="4" w:tplc="768B7778">
      <w:start w:val="1"/>
      <w:numFmt w:val="decimal"/>
      <w:suff w:val="tab"/>
      <w:lvlText w:val="%1."/>
      <w:lvlJc w:val="left"/>
      <w:pPr/>
      <w:rPr/>
    </w:lvl>
    <w:lvl w:ilvl="5" w:tplc="388ABDDB">
      <w:start w:val="1"/>
      <w:numFmt w:val="decimal"/>
      <w:suff w:val="tab"/>
      <w:lvlText w:val="%1."/>
      <w:lvlJc w:val="left"/>
      <w:pPr/>
      <w:rPr/>
    </w:lvl>
    <w:lvl w:ilvl="6" w:tplc="28B1E21A">
      <w:start w:val="1"/>
      <w:numFmt w:val="decimal"/>
      <w:suff w:val="tab"/>
      <w:lvlText w:val="%1."/>
      <w:lvlJc w:val="left"/>
      <w:pPr/>
      <w:rPr/>
    </w:lvl>
    <w:lvl w:ilvl="7" w:tplc="475EF917">
      <w:start w:val="1"/>
      <w:numFmt w:val="decimal"/>
      <w:suff w:val="tab"/>
      <w:lvlText w:val="%1."/>
      <w:lvlJc w:val="left"/>
      <w:pPr/>
      <w:rPr/>
    </w:lvl>
    <w:lvl w:ilvl="8" w:tplc="64D255FB">
      <w:start w:val="1"/>
      <w:numFmt w:val="decimal"/>
      <w:suff w:val="tab"/>
      <w:lvlText w:val="%1."/>
      <w:lvlJc w:val="left"/>
      <w:pPr/>
      <w:rPr/>
    </w:lvl>
  </w:abstractNum>
  <w:abstractNum w:abstractNumId="2">
    <w:nsid w:val="FFFFFF7E"/>
    <w:multiLevelType w:val="hybridMultilevel"/>
    <w:lvl w:ilvl="0">
      <w:start w:val="1"/>
      <w:numFmt w:val="decimal"/>
      <w:pStyle w:val="P101"/>
      <w:suff w:val="tab"/>
      <w:lvlText w:val="%1."/>
      <w:lvlJc w:val="left"/>
      <w:pPr>
        <w:ind w:hanging="360" w:left="926"/>
        <w:tabs>
          <w:tab w:val="num" w:pos="926" w:leader="none"/>
        </w:tabs>
      </w:pPr>
      <w:rPr/>
    </w:lvl>
    <w:lvl w:ilvl="1" w:tplc="7B6248B8">
      <w:start w:val="1"/>
      <w:numFmt w:val="decimal"/>
      <w:suff w:val="tab"/>
      <w:lvlText w:val="%1."/>
      <w:lvlJc w:val="left"/>
      <w:pPr/>
      <w:rPr/>
    </w:lvl>
    <w:lvl w:ilvl="2" w:tplc="46FA680A">
      <w:start w:val="1"/>
      <w:numFmt w:val="decimal"/>
      <w:suff w:val="tab"/>
      <w:lvlText w:val="%1."/>
      <w:lvlJc w:val="left"/>
      <w:pPr/>
      <w:rPr/>
    </w:lvl>
    <w:lvl w:ilvl="3" w:tplc="356B8F2B">
      <w:start w:val="1"/>
      <w:numFmt w:val="decimal"/>
      <w:suff w:val="tab"/>
      <w:lvlText w:val="%1."/>
      <w:lvlJc w:val="left"/>
      <w:pPr/>
      <w:rPr/>
    </w:lvl>
    <w:lvl w:ilvl="4" w:tplc="2EA1F874">
      <w:start w:val="1"/>
      <w:numFmt w:val="decimal"/>
      <w:suff w:val="tab"/>
      <w:lvlText w:val="%1."/>
      <w:lvlJc w:val="left"/>
      <w:pPr/>
      <w:rPr/>
    </w:lvl>
    <w:lvl w:ilvl="5" w:tplc="2DDA588A">
      <w:start w:val="1"/>
      <w:numFmt w:val="decimal"/>
      <w:suff w:val="tab"/>
      <w:lvlText w:val="%1."/>
      <w:lvlJc w:val="left"/>
      <w:pPr/>
      <w:rPr/>
    </w:lvl>
    <w:lvl w:ilvl="6" w:tplc="17A6770E">
      <w:start w:val="1"/>
      <w:numFmt w:val="decimal"/>
      <w:suff w:val="tab"/>
      <w:lvlText w:val="%1."/>
      <w:lvlJc w:val="left"/>
      <w:pPr/>
      <w:rPr/>
    </w:lvl>
    <w:lvl w:ilvl="7" w:tplc="51C56F0F">
      <w:start w:val="1"/>
      <w:numFmt w:val="decimal"/>
      <w:suff w:val="tab"/>
      <w:lvlText w:val="%1."/>
      <w:lvlJc w:val="left"/>
      <w:pPr/>
      <w:rPr/>
    </w:lvl>
    <w:lvl w:ilvl="8" w:tplc="037BE49C">
      <w:start w:val="1"/>
      <w:numFmt w:val="decimal"/>
      <w:suff w:val="tab"/>
      <w:lvlText w:val="%1."/>
      <w:lvlJc w:val="left"/>
      <w:pPr/>
      <w:rPr/>
    </w:lvl>
  </w:abstractNum>
  <w:abstractNum w:abstractNumId="3">
    <w:nsid w:val="FFFFFF7F"/>
    <w:multiLevelType w:val="hybridMultilevel"/>
    <w:lvl w:ilvl="0">
      <w:start w:val="1"/>
      <w:numFmt w:val="decimal"/>
      <w:pStyle w:val="P100"/>
      <w:suff w:val="tab"/>
      <w:lvlText w:val="%1."/>
      <w:lvlJc w:val="left"/>
      <w:pPr>
        <w:ind w:hanging="360" w:left="643"/>
        <w:tabs>
          <w:tab w:val="num" w:pos="643" w:leader="none"/>
        </w:tabs>
      </w:pPr>
      <w:rPr/>
    </w:lvl>
    <w:lvl w:ilvl="1" w:tplc="17E6CFE3">
      <w:start w:val="1"/>
      <w:numFmt w:val="decimal"/>
      <w:suff w:val="tab"/>
      <w:lvlText w:val="%1."/>
      <w:lvlJc w:val="left"/>
      <w:pPr/>
      <w:rPr/>
    </w:lvl>
    <w:lvl w:ilvl="2" w:tplc="49527961">
      <w:start w:val="1"/>
      <w:numFmt w:val="decimal"/>
      <w:suff w:val="tab"/>
      <w:lvlText w:val="%1."/>
      <w:lvlJc w:val="left"/>
      <w:pPr/>
      <w:rPr/>
    </w:lvl>
    <w:lvl w:ilvl="3" w:tplc="272B0A06">
      <w:start w:val="1"/>
      <w:numFmt w:val="decimal"/>
      <w:suff w:val="tab"/>
      <w:lvlText w:val="%1."/>
      <w:lvlJc w:val="left"/>
      <w:pPr/>
      <w:rPr/>
    </w:lvl>
    <w:lvl w:ilvl="4" w:tplc="271394A5">
      <w:start w:val="1"/>
      <w:numFmt w:val="decimal"/>
      <w:suff w:val="tab"/>
      <w:lvlText w:val="%1."/>
      <w:lvlJc w:val="left"/>
      <w:pPr/>
      <w:rPr/>
    </w:lvl>
    <w:lvl w:ilvl="5" w:tplc="622EA169">
      <w:start w:val="1"/>
      <w:numFmt w:val="decimal"/>
      <w:suff w:val="tab"/>
      <w:lvlText w:val="%1."/>
      <w:lvlJc w:val="left"/>
      <w:pPr/>
      <w:rPr/>
    </w:lvl>
    <w:lvl w:ilvl="6" w:tplc="355F310F">
      <w:start w:val="1"/>
      <w:numFmt w:val="decimal"/>
      <w:suff w:val="tab"/>
      <w:lvlText w:val="%1."/>
      <w:lvlJc w:val="left"/>
      <w:pPr/>
      <w:rPr/>
    </w:lvl>
    <w:lvl w:ilvl="7" w:tplc="145F688C">
      <w:start w:val="1"/>
      <w:numFmt w:val="decimal"/>
      <w:suff w:val="tab"/>
      <w:lvlText w:val="%1."/>
      <w:lvlJc w:val="left"/>
      <w:pPr/>
      <w:rPr/>
    </w:lvl>
    <w:lvl w:ilvl="8" w:tplc="35602F2B">
      <w:start w:val="1"/>
      <w:numFmt w:val="decimal"/>
      <w:suff w:val="tab"/>
      <w:lvlText w:val="%1."/>
      <w:lvlJc w:val="left"/>
      <w:pPr/>
      <w:rPr/>
    </w:lvl>
  </w:abstractNum>
  <w:abstractNum w:abstractNumId="4">
    <w:nsid w:val="FFFFFF80"/>
    <w:multiLevelType w:val="hybridMultilevel"/>
    <w:lvl w:ilvl="0">
      <w:start w:val="1"/>
      <w:numFmt w:val="bullet"/>
      <w:pStyle w:val="P108"/>
      <w:suff w:val="tab"/>
      <w:lvlText w:val=""/>
      <w:lvlJc w:val="left"/>
      <w:pPr>
        <w:ind w:hanging="360" w:left="1492"/>
        <w:tabs>
          <w:tab w:val="num" w:pos="1492" w:leader="none"/>
        </w:tabs>
      </w:pPr>
      <w:rPr>
        <w:rFonts w:ascii="Symbol" w:hAnsi="Symbol" w:hint="default"/>
      </w:rPr>
    </w:lvl>
    <w:lvl w:ilvl="1" w:tplc="54F847BD">
      <w:start w:val="1"/>
      <w:numFmt w:val="decimal"/>
      <w:suff w:val="tab"/>
      <w:lvlText w:val="%1."/>
      <w:lvlJc w:val="left"/>
      <w:pPr/>
      <w:rPr/>
    </w:lvl>
    <w:lvl w:ilvl="2" w:tplc="59A8E9A0">
      <w:start w:val="1"/>
      <w:numFmt w:val="decimal"/>
      <w:suff w:val="tab"/>
      <w:lvlText w:val="%1."/>
      <w:lvlJc w:val="left"/>
      <w:pPr/>
      <w:rPr/>
    </w:lvl>
    <w:lvl w:ilvl="3" w:tplc="632AE3DF">
      <w:start w:val="1"/>
      <w:numFmt w:val="decimal"/>
      <w:suff w:val="tab"/>
      <w:lvlText w:val="%1."/>
      <w:lvlJc w:val="left"/>
      <w:pPr/>
      <w:rPr/>
    </w:lvl>
    <w:lvl w:ilvl="4" w:tplc="00EFC915">
      <w:start w:val="1"/>
      <w:numFmt w:val="decimal"/>
      <w:suff w:val="tab"/>
      <w:lvlText w:val="%1."/>
      <w:lvlJc w:val="left"/>
      <w:pPr/>
      <w:rPr/>
    </w:lvl>
    <w:lvl w:ilvl="5" w:tplc="4ADA0432">
      <w:start w:val="1"/>
      <w:numFmt w:val="decimal"/>
      <w:suff w:val="tab"/>
      <w:lvlText w:val="%1."/>
      <w:lvlJc w:val="left"/>
      <w:pPr/>
      <w:rPr/>
    </w:lvl>
    <w:lvl w:ilvl="6" w:tplc="7A3F286C">
      <w:start w:val="1"/>
      <w:numFmt w:val="decimal"/>
      <w:suff w:val="tab"/>
      <w:lvlText w:val="%1."/>
      <w:lvlJc w:val="left"/>
      <w:pPr/>
      <w:rPr/>
    </w:lvl>
    <w:lvl w:ilvl="7" w:tplc="78C77E66">
      <w:start w:val="1"/>
      <w:numFmt w:val="decimal"/>
      <w:suff w:val="tab"/>
      <w:lvlText w:val="%1."/>
      <w:lvlJc w:val="left"/>
      <w:pPr/>
      <w:rPr/>
    </w:lvl>
    <w:lvl w:ilvl="8" w:tplc="1C7D93C1">
      <w:start w:val="1"/>
      <w:numFmt w:val="decimal"/>
      <w:suff w:val="tab"/>
      <w:lvlText w:val="%1."/>
      <w:lvlJc w:val="left"/>
      <w:pPr/>
      <w:rPr/>
    </w:lvl>
  </w:abstractNum>
  <w:abstractNum w:abstractNumId="5">
    <w:nsid w:val="FFFFFF81"/>
    <w:multiLevelType w:val="hybridMultilevel"/>
    <w:lvl w:ilvl="0">
      <w:start w:val="1"/>
      <w:numFmt w:val="bullet"/>
      <w:pStyle w:val="P107"/>
      <w:suff w:val="tab"/>
      <w:lvlText w:val=""/>
      <w:lvlJc w:val="left"/>
      <w:pPr>
        <w:ind w:hanging="360" w:left="1209"/>
        <w:tabs>
          <w:tab w:val="num" w:pos="1209" w:leader="none"/>
        </w:tabs>
      </w:pPr>
      <w:rPr>
        <w:rFonts w:ascii="Symbol" w:hAnsi="Symbol" w:hint="default"/>
      </w:rPr>
    </w:lvl>
    <w:lvl w:ilvl="1" w:tplc="4F605C31">
      <w:start w:val="1"/>
      <w:numFmt w:val="decimal"/>
      <w:suff w:val="tab"/>
      <w:lvlText w:val="%1."/>
      <w:lvlJc w:val="left"/>
      <w:pPr/>
      <w:rPr/>
    </w:lvl>
    <w:lvl w:ilvl="2" w:tplc="60A2DC38">
      <w:start w:val="1"/>
      <w:numFmt w:val="decimal"/>
      <w:suff w:val="tab"/>
      <w:lvlText w:val="%1."/>
      <w:lvlJc w:val="left"/>
      <w:pPr/>
      <w:rPr/>
    </w:lvl>
    <w:lvl w:ilvl="3" w:tplc="137A59A9">
      <w:start w:val="1"/>
      <w:numFmt w:val="decimal"/>
      <w:suff w:val="tab"/>
      <w:lvlText w:val="%1."/>
      <w:lvlJc w:val="left"/>
      <w:pPr/>
      <w:rPr/>
    </w:lvl>
    <w:lvl w:ilvl="4" w:tplc="763A1764">
      <w:start w:val="1"/>
      <w:numFmt w:val="decimal"/>
      <w:suff w:val="tab"/>
      <w:lvlText w:val="%1."/>
      <w:lvlJc w:val="left"/>
      <w:pPr/>
      <w:rPr/>
    </w:lvl>
    <w:lvl w:ilvl="5" w:tplc="301F9291">
      <w:start w:val="1"/>
      <w:numFmt w:val="decimal"/>
      <w:suff w:val="tab"/>
      <w:lvlText w:val="%1."/>
      <w:lvlJc w:val="left"/>
      <w:pPr/>
      <w:rPr/>
    </w:lvl>
    <w:lvl w:ilvl="6" w:tplc="0EFA58FA">
      <w:start w:val="1"/>
      <w:numFmt w:val="decimal"/>
      <w:suff w:val="tab"/>
      <w:lvlText w:val="%1."/>
      <w:lvlJc w:val="left"/>
      <w:pPr/>
      <w:rPr/>
    </w:lvl>
    <w:lvl w:ilvl="7" w:tplc="5E833C2E">
      <w:start w:val="1"/>
      <w:numFmt w:val="decimal"/>
      <w:suff w:val="tab"/>
      <w:lvlText w:val="%1."/>
      <w:lvlJc w:val="left"/>
      <w:pPr/>
      <w:rPr/>
    </w:lvl>
    <w:lvl w:ilvl="8" w:tplc="2777D8BC">
      <w:start w:val="1"/>
      <w:numFmt w:val="decimal"/>
      <w:suff w:val="tab"/>
      <w:lvlText w:val="%1."/>
      <w:lvlJc w:val="left"/>
      <w:pPr/>
      <w:rPr/>
    </w:lvl>
  </w:abstractNum>
  <w:abstractNum w:abstractNumId="6">
    <w:nsid w:val="FFFFFF82"/>
    <w:multiLevelType w:val="hybridMultilevel"/>
    <w:lvl w:ilvl="0">
      <w:start w:val="1"/>
      <w:numFmt w:val="bullet"/>
      <w:pStyle w:val="P106"/>
      <w:suff w:val="tab"/>
      <w:lvlText w:val=""/>
      <w:lvlJc w:val="left"/>
      <w:pPr>
        <w:ind w:hanging="360" w:left="926"/>
        <w:tabs>
          <w:tab w:val="num" w:pos="926" w:leader="none"/>
        </w:tabs>
      </w:pPr>
      <w:rPr>
        <w:rFonts w:ascii="Symbol" w:hAnsi="Symbol" w:hint="default"/>
      </w:rPr>
    </w:lvl>
    <w:lvl w:ilvl="1" w:tplc="31C6FAC4">
      <w:start w:val="1"/>
      <w:numFmt w:val="decimal"/>
      <w:suff w:val="tab"/>
      <w:lvlText w:val="%1."/>
      <w:lvlJc w:val="left"/>
      <w:pPr/>
      <w:rPr/>
    </w:lvl>
    <w:lvl w:ilvl="2" w:tplc="5C05863A">
      <w:start w:val="1"/>
      <w:numFmt w:val="decimal"/>
      <w:suff w:val="tab"/>
      <w:lvlText w:val="%1."/>
      <w:lvlJc w:val="left"/>
      <w:pPr/>
      <w:rPr/>
    </w:lvl>
    <w:lvl w:ilvl="3" w:tplc="2F44F552">
      <w:start w:val="1"/>
      <w:numFmt w:val="decimal"/>
      <w:suff w:val="tab"/>
      <w:lvlText w:val="%1."/>
      <w:lvlJc w:val="left"/>
      <w:pPr/>
      <w:rPr/>
    </w:lvl>
    <w:lvl w:ilvl="4" w:tplc="72BB0E4E">
      <w:start w:val="1"/>
      <w:numFmt w:val="decimal"/>
      <w:suff w:val="tab"/>
      <w:lvlText w:val="%1."/>
      <w:lvlJc w:val="left"/>
      <w:pPr/>
      <w:rPr/>
    </w:lvl>
    <w:lvl w:ilvl="5" w:tplc="3DA7E5C4">
      <w:start w:val="1"/>
      <w:numFmt w:val="decimal"/>
      <w:suff w:val="tab"/>
      <w:lvlText w:val="%1."/>
      <w:lvlJc w:val="left"/>
      <w:pPr/>
      <w:rPr/>
    </w:lvl>
    <w:lvl w:ilvl="6" w:tplc="0D45208B">
      <w:start w:val="1"/>
      <w:numFmt w:val="decimal"/>
      <w:suff w:val="tab"/>
      <w:lvlText w:val="%1."/>
      <w:lvlJc w:val="left"/>
      <w:pPr/>
      <w:rPr/>
    </w:lvl>
    <w:lvl w:ilvl="7" w:tplc="7731E333">
      <w:start w:val="1"/>
      <w:numFmt w:val="decimal"/>
      <w:suff w:val="tab"/>
      <w:lvlText w:val="%1."/>
      <w:lvlJc w:val="left"/>
      <w:pPr/>
      <w:rPr/>
    </w:lvl>
    <w:lvl w:ilvl="8" w:tplc="165309BF">
      <w:start w:val="1"/>
      <w:numFmt w:val="decimal"/>
      <w:suff w:val="tab"/>
      <w:lvlText w:val="%1."/>
      <w:lvlJc w:val="left"/>
      <w:pPr/>
      <w:rPr/>
    </w:lvl>
  </w:abstractNum>
  <w:abstractNum w:abstractNumId="7">
    <w:nsid w:val="FFFFFF83"/>
    <w:multiLevelType w:val="hybridMultilevel"/>
    <w:lvl w:ilvl="0">
      <w:start w:val="1"/>
      <w:numFmt w:val="bullet"/>
      <w:pStyle w:val="P105"/>
      <w:suff w:val="tab"/>
      <w:lvlText w:val=""/>
      <w:lvlJc w:val="left"/>
      <w:pPr>
        <w:ind w:hanging="360" w:left="643"/>
        <w:tabs>
          <w:tab w:val="num" w:pos="643" w:leader="none"/>
        </w:tabs>
      </w:pPr>
      <w:rPr>
        <w:rFonts w:ascii="Symbol" w:hAnsi="Symbol" w:hint="default"/>
      </w:rPr>
    </w:lvl>
    <w:lvl w:ilvl="1" w:tplc="64BB69A5">
      <w:start w:val="1"/>
      <w:numFmt w:val="decimal"/>
      <w:suff w:val="tab"/>
      <w:lvlText w:val="%1."/>
      <w:lvlJc w:val="left"/>
      <w:pPr/>
      <w:rPr/>
    </w:lvl>
    <w:lvl w:ilvl="2" w:tplc="455CDCCA">
      <w:start w:val="1"/>
      <w:numFmt w:val="decimal"/>
      <w:suff w:val="tab"/>
      <w:lvlText w:val="%1."/>
      <w:lvlJc w:val="left"/>
      <w:pPr/>
      <w:rPr/>
    </w:lvl>
    <w:lvl w:ilvl="3" w:tplc="0E612C94">
      <w:start w:val="1"/>
      <w:numFmt w:val="decimal"/>
      <w:suff w:val="tab"/>
      <w:lvlText w:val="%1."/>
      <w:lvlJc w:val="left"/>
      <w:pPr/>
      <w:rPr/>
    </w:lvl>
    <w:lvl w:ilvl="4" w:tplc="7A878C8A">
      <w:start w:val="1"/>
      <w:numFmt w:val="decimal"/>
      <w:suff w:val="tab"/>
      <w:lvlText w:val="%1."/>
      <w:lvlJc w:val="left"/>
      <w:pPr/>
      <w:rPr/>
    </w:lvl>
    <w:lvl w:ilvl="5" w:tplc="622C0FEC">
      <w:start w:val="1"/>
      <w:numFmt w:val="decimal"/>
      <w:suff w:val="tab"/>
      <w:lvlText w:val="%1."/>
      <w:lvlJc w:val="left"/>
      <w:pPr/>
      <w:rPr/>
    </w:lvl>
    <w:lvl w:ilvl="6" w:tplc="032A8FB0">
      <w:start w:val="1"/>
      <w:numFmt w:val="decimal"/>
      <w:suff w:val="tab"/>
      <w:lvlText w:val="%1."/>
      <w:lvlJc w:val="left"/>
      <w:pPr/>
      <w:rPr/>
    </w:lvl>
    <w:lvl w:ilvl="7" w:tplc="40D7DD4F">
      <w:start w:val="1"/>
      <w:numFmt w:val="decimal"/>
      <w:suff w:val="tab"/>
      <w:lvlText w:val="%1."/>
      <w:lvlJc w:val="left"/>
      <w:pPr/>
      <w:rPr/>
    </w:lvl>
    <w:lvl w:ilvl="8" w:tplc="7266B159">
      <w:start w:val="1"/>
      <w:numFmt w:val="decimal"/>
      <w:suff w:val="tab"/>
      <w:lvlText w:val="%1."/>
      <w:lvlJc w:val="left"/>
      <w:pPr/>
      <w:rPr/>
    </w:lvl>
  </w:abstractNum>
  <w:abstractNum w:abstractNumId="8">
    <w:nsid w:val="FFFFFF88"/>
    <w:multiLevelType w:val="hybridMultilevel"/>
    <w:lvl w:ilvl="0">
      <w:start w:val="1"/>
      <w:numFmt w:val="decimal"/>
      <w:suff w:val="tab"/>
      <w:lvlText w:val="%1."/>
      <w:lvlJc w:val="left"/>
      <w:pPr>
        <w:ind w:hanging="360" w:left="360"/>
        <w:tabs>
          <w:tab w:val="num" w:pos="360" w:leader="none"/>
        </w:tabs>
      </w:pPr>
      <w:rPr/>
    </w:lvl>
    <w:lvl w:ilvl="1" w:tplc="13E07EA3">
      <w:start w:val="1"/>
      <w:numFmt w:val="decimal"/>
      <w:suff w:val="tab"/>
      <w:lvlText w:val="%1."/>
      <w:lvlJc w:val="left"/>
      <w:pPr/>
      <w:rPr/>
    </w:lvl>
    <w:lvl w:ilvl="2" w:tplc="7A7280A3">
      <w:start w:val="1"/>
      <w:numFmt w:val="decimal"/>
      <w:suff w:val="tab"/>
      <w:lvlText w:val="%1."/>
      <w:lvlJc w:val="left"/>
      <w:pPr/>
      <w:rPr/>
    </w:lvl>
    <w:lvl w:ilvl="3" w:tplc="7C2063D6">
      <w:start w:val="1"/>
      <w:numFmt w:val="decimal"/>
      <w:suff w:val="tab"/>
      <w:lvlText w:val="%1."/>
      <w:lvlJc w:val="left"/>
      <w:pPr/>
      <w:rPr/>
    </w:lvl>
    <w:lvl w:ilvl="4" w:tplc="3B2C66BD">
      <w:start w:val="1"/>
      <w:numFmt w:val="decimal"/>
      <w:suff w:val="tab"/>
      <w:lvlText w:val="%1."/>
      <w:lvlJc w:val="left"/>
      <w:pPr/>
      <w:rPr/>
    </w:lvl>
    <w:lvl w:ilvl="5" w:tplc="35DA7A0D">
      <w:start w:val="1"/>
      <w:numFmt w:val="decimal"/>
      <w:suff w:val="tab"/>
      <w:lvlText w:val="%1."/>
      <w:lvlJc w:val="left"/>
      <w:pPr/>
      <w:rPr/>
    </w:lvl>
    <w:lvl w:ilvl="6" w:tplc="115CC5C9">
      <w:start w:val="1"/>
      <w:numFmt w:val="decimal"/>
      <w:suff w:val="tab"/>
      <w:lvlText w:val="%1."/>
      <w:lvlJc w:val="left"/>
      <w:pPr/>
      <w:rPr/>
    </w:lvl>
    <w:lvl w:ilvl="7" w:tplc="4A94F5D8">
      <w:start w:val="1"/>
      <w:numFmt w:val="decimal"/>
      <w:suff w:val="tab"/>
      <w:lvlText w:val="%1."/>
      <w:lvlJc w:val="left"/>
      <w:pPr/>
      <w:rPr/>
    </w:lvl>
    <w:lvl w:ilvl="8" w:tplc="026513DE">
      <w:start w:val="1"/>
      <w:numFmt w:val="decimal"/>
      <w:suff w:val="tab"/>
      <w:lvlText w:val="%1."/>
      <w:lvlJc w:val="left"/>
      <w:pPr/>
      <w:rPr/>
    </w:lvl>
  </w:abstractNum>
  <w:abstractNum w:abstractNumId="9">
    <w:nsid w:val="FFFFFF89"/>
    <w:multiLevelType w:val="hybridMultilevel"/>
    <w:lvl w:ilvl="0">
      <w:start w:val="1"/>
      <w:numFmt w:val="bullet"/>
      <w:suff w:val="tab"/>
      <w:lvlText w:val=""/>
      <w:lvlJc w:val="left"/>
      <w:pPr>
        <w:ind w:hanging="360" w:left="360"/>
        <w:tabs>
          <w:tab w:val="num" w:pos="360" w:leader="none"/>
        </w:tabs>
      </w:pPr>
      <w:rPr>
        <w:rFonts w:ascii="Symbol" w:hAnsi="Symbol" w:hint="default"/>
      </w:rPr>
    </w:lvl>
    <w:lvl w:ilvl="1" w:tplc="3B636577">
      <w:start w:val="1"/>
      <w:numFmt w:val="decimal"/>
      <w:suff w:val="tab"/>
      <w:lvlText w:val="%1."/>
      <w:lvlJc w:val="left"/>
      <w:pPr/>
      <w:rPr/>
    </w:lvl>
    <w:lvl w:ilvl="2" w:tplc="21ACB87D">
      <w:start w:val="1"/>
      <w:numFmt w:val="decimal"/>
      <w:suff w:val="tab"/>
      <w:lvlText w:val="%1."/>
      <w:lvlJc w:val="left"/>
      <w:pPr/>
      <w:rPr/>
    </w:lvl>
    <w:lvl w:ilvl="3" w:tplc="1932E7CF">
      <w:start w:val="1"/>
      <w:numFmt w:val="decimal"/>
      <w:suff w:val="tab"/>
      <w:lvlText w:val="%1."/>
      <w:lvlJc w:val="left"/>
      <w:pPr/>
      <w:rPr/>
    </w:lvl>
    <w:lvl w:ilvl="4" w:tplc="1830B20C">
      <w:start w:val="1"/>
      <w:numFmt w:val="decimal"/>
      <w:suff w:val="tab"/>
      <w:lvlText w:val="%1."/>
      <w:lvlJc w:val="left"/>
      <w:pPr/>
      <w:rPr/>
    </w:lvl>
    <w:lvl w:ilvl="5" w:tplc="48905875">
      <w:start w:val="1"/>
      <w:numFmt w:val="decimal"/>
      <w:suff w:val="tab"/>
      <w:lvlText w:val="%1."/>
      <w:lvlJc w:val="left"/>
      <w:pPr/>
      <w:rPr/>
    </w:lvl>
    <w:lvl w:ilvl="6" w:tplc="3AB6C9AD">
      <w:start w:val="1"/>
      <w:numFmt w:val="decimal"/>
      <w:suff w:val="tab"/>
      <w:lvlText w:val="%1."/>
      <w:lvlJc w:val="left"/>
      <w:pPr/>
      <w:rPr/>
    </w:lvl>
    <w:lvl w:ilvl="7" w:tplc="2AA342E3">
      <w:start w:val="1"/>
      <w:numFmt w:val="decimal"/>
      <w:suff w:val="tab"/>
      <w:lvlText w:val="%1."/>
      <w:lvlJc w:val="left"/>
      <w:pPr/>
      <w:rPr/>
    </w:lvl>
    <w:lvl w:ilvl="8" w:tplc="62986DC6">
      <w:start w:val="1"/>
      <w:numFmt w:val="decimal"/>
      <w:suff w:val="tab"/>
      <w:lvlText w:val="%1."/>
      <w:lvlJc w:val="left"/>
      <w:pPr/>
      <w:rPr/>
    </w:lvl>
  </w:abstractNum>
  <w:abstractNum w:abstractNumId="10">
    <w:nsid w:val="06615F1F"/>
    <w:multiLevelType w:val="multilevel"/>
    <w:lvl w:ilvl="0">
      <w:start w:val="1"/>
      <w:numFmt w:val="decimal"/>
      <w:suff w:val="tab"/>
      <w:lvlText w:val="%1"/>
      <w:lvlJc w:val="left"/>
      <w:pPr>
        <w:ind w:hanging="432" w:left="432"/>
      </w:pPr>
      <w:rPr>
        <w:rFonts w:hint="default"/>
      </w:rPr>
    </w:lvl>
    <w:lvl w:ilvl="1">
      <w:start w:val="1"/>
      <w:numFmt w:val="decimal"/>
      <w:suff w:val="space"/>
      <w:lvlText w:val="%1.%2"/>
      <w:lvlJc w:val="left"/>
      <w:pPr>
        <w:ind w:hanging="463" w:left="576"/>
      </w:pPr>
      <w:rPr>
        <w:rFonts w:hint="default"/>
      </w:rPr>
    </w:lvl>
    <w:lvl w:ilvl="2">
      <w:start w:val="1"/>
      <w:numFmt w:val="decimal"/>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11">
    <w:nsid w:val="07E225BC"/>
    <w:multiLevelType w:val="hybridMultilevel"/>
    <w:lvl w:ilvl="0" w:tplc="8E96756C">
      <w:start w:val="0"/>
      <w:numFmt w:val="bullet"/>
      <w:suff w:val="tab"/>
      <w:lvlText w:val="-"/>
      <w:lvlJc w:val="left"/>
      <w:pPr>
        <w:ind w:hanging="360" w:left="720"/>
      </w:pPr>
      <w:rPr>
        <w:rFonts w:ascii="Arial" w:hAnsi="Arial" w:cs="Arial"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2">
    <w:nsid w:val="09ED7A5A"/>
    <w:multiLevelType w:val="multilevel"/>
    <w:tmpl w:val="0409001D"/>
    <w:numStyleLink w:val="N1"/>
  </w:abstractNum>
  <w:abstractNum w:abstractNumId="13">
    <w:nsid w:val="0FBB1C4A"/>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14">
    <w:nsid w:val="11C26EF4"/>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15">
    <w:nsid w:val="12BF53A8"/>
    <w:multiLevelType w:val="hybridMultilevel"/>
    <w:lvl w:ilvl="0" w:tplc="AD0423AC">
      <w:start w:val="1"/>
      <w:numFmt w:val="bullet"/>
      <w:suff w:val="tab"/>
      <w:lvlText w:val="•"/>
      <w:lvlJc w:val="left"/>
      <w:pPr>
        <w:ind w:left="651"/>
      </w:pPr>
      <w:rPr>
        <w:rFonts w:ascii="Arial" w:hAnsi="Arial" w:cs="Arial" w:eastAsia="Arial"/>
        <w:b w:val="0"/>
        <w:i w:val="0"/>
        <w:color w:val="000000"/>
        <w:sz w:val="22"/>
        <w:szCs w:val="22"/>
        <w:u w:val="none" w:color="000000"/>
        <w:shd w:val="clear" w:color="auto" w:fill="auto"/>
        <w:vertAlign w:val="baseline"/>
      </w:rPr>
    </w:lvl>
    <w:lvl w:ilvl="1" w:tplc="D1763E0C">
      <w:start w:val="1"/>
      <w:numFmt w:val="bullet"/>
      <w:suff w:val="tab"/>
      <w:lvlText w:val="o"/>
      <w:lvlJc w:val="left"/>
      <w:pPr>
        <w:ind w:left="1080"/>
      </w:pPr>
      <w:rPr>
        <w:rFonts w:ascii="Arial" w:hAnsi="Arial" w:cs="Arial" w:eastAsia="Arial"/>
        <w:b w:val="0"/>
        <w:i w:val="0"/>
        <w:color w:val="000000"/>
        <w:sz w:val="22"/>
        <w:szCs w:val="22"/>
        <w:u w:val="none" w:color="000000"/>
        <w:shd w:val="clear" w:color="auto" w:fill="auto"/>
        <w:vertAlign w:val="baseline"/>
      </w:rPr>
    </w:lvl>
    <w:lvl w:ilvl="2" w:tplc="C01C8D4A">
      <w:start w:val="1"/>
      <w:numFmt w:val="bullet"/>
      <w:suff w:val="tab"/>
      <w:lvlText w:val="▪"/>
      <w:lvlJc w:val="left"/>
      <w:pPr>
        <w:ind w:left="1800"/>
      </w:pPr>
      <w:rPr>
        <w:rFonts w:ascii="Arial" w:hAnsi="Arial" w:cs="Arial" w:eastAsia="Arial"/>
        <w:b w:val="0"/>
        <w:i w:val="0"/>
        <w:color w:val="000000"/>
        <w:sz w:val="22"/>
        <w:szCs w:val="22"/>
        <w:u w:val="none" w:color="000000"/>
        <w:shd w:val="clear" w:color="auto" w:fill="auto"/>
        <w:vertAlign w:val="baseline"/>
      </w:rPr>
    </w:lvl>
    <w:lvl w:ilvl="3" w:tplc="B2260E8E">
      <w:start w:val="1"/>
      <w:numFmt w:val="bullet"/>
      <w:suff w:val="tab"/>
      <w:lvlText w:val="•"/>
      <w:lvlJc w:val="left"/>
      <w:pPr>
        <w:ind w:left="2520"/>
      </w:pPr>
      <w:rPr>
        <w:rFonts w:ascii="Arial" w:hAnsi="Arial" w:cs="Arial" w:eastAsia="Arial"/>
        <w:b w:val="0"/>
        <w:i w:val="0"/>
        <w:color w:val="000000"/>
        <w:sz w:val="22"/>
        <w:szCs w:val="22"/>
        <w:u w:val="none" w:color="000000"/>
        <w:shd w:val="clear" w:color="auto" w:fill="auto"/>
        <w:vertAlign w:val="baseline"/>
      </w:rPr>
    </w:lvl>
    <w:lvl w:ilvl="4" w:tplc="E0F49962">
      <w:start w:val="1"/>
      <w:numFmt w:val="bullet"/>
      <w:suff w:val="tab"/>
      <w:lvlText w:val="o"/>
      <w:lvlJc w:val="left"/>
      <w:pPr>
        <w:ind w:left="3240"/>
      </w:pPr>
      <w:rPr>
        <w:rFonts w:ascii="Arial" w:hAnsi="Arial" w:cs="Arial" w:eastAsia="Arial"/>
        <w:b w:val="0"/>
        <w:i w:val="0"/>
        <w:color w:val="000000"/>
        <w:sz w:val="22"/>
        <w:szCs w:val="22"/>
        <w:u w:val="none" w:color="000000"/>
        <w:shd w:val="clear" w:color="auto" w:fill="auto"/>
        <w:vertAlign w:val="baseline"/>
      </w:rPr>
    </w:lvl>
    <w:lvl w:ilvl="5" w:tplc="C2D4DD7E">
      <w:start w:val="1"/>
      <w:numFmt w:val="bullet"/>
      <w:suff w:val="tab"/>
      <w:lvlText w:val="▪"/>
      <w:lvlJc w:val="left"/>
      <w:pPr>
        <w:ind w:left="3960"/>
      </w:pPr>
      <w:rPr>
        <w:rFonts w:ascii="Arial" w:hAnsi="Arial" w:cs="Arial" w:eastAsia="Arial"/>
        <w:b w:val="0"/>
        <w:i w:val="0"/>
        <w:color w:val="000000"/>
        <w:sz w:val="22"/>
        <w:szCs w:val="22"/>
        <w:u w:val="none" w:color="000000"/>
        <w:shd w:val="clear" w:color="auto" w:fill="auto"/>
        <w:vertAlign w:val="baseline"/>
      </w:rPr>
    </w:lvl>
    <w:lvl w:ilvl="6" w:tplc="CA70B28A">
      <w:start w:val="1"/>
      <w:numFmt w:val="bullet"/>
      <w:suff w:val="tab"/>
      <w:lvlText w:val="•"/>
      <w:lvlJc w:val="left"/>
      <w:pPr>
        <w:ind w:left="4680"/>
      </w:pPr>
      <w:rPr>
        <w:rFonts w:ascii="Arial" w:hAnsi="Arial" w:cs="Arial" w:eastAsia="Arial"/>
        <w:b w:val="0"/>
        <w:i w:val="0"/>
        <w:color w:val="000000"/>
        <w:sz w:val="22"/>
        <w:szCs w:val="22"/>
        <w:u w:val="none" w:color="000000"/>
        <w:shd w:val="clear" w:color="auto" w:fill="auto"/>
        <w:vertAlign w:val="baseline"/>
      </w:rPr>
    </w:lvl>
    <w:lvl w:ilvl="7" w:tplc="F7BEC436">
      <w:start w:val="1"/>
      <w:numFmt w:val="bullet"/>
      <w:suff w:val="tab"/>
      <w:lvlText w:val="o"/>
      <w:lvlJc w:val="left"/>
      <w:pPr>
        <w:ind w:left="5400"/>
      </w:pPr>
      <w:rPr>
        <w:rFonts w:ascii="Arial" w:hAnsi="Arial" w:cs="Arial" w:eastAsia="Arial"/>
        <w:b w:val="0"/>
        <w:i w:val="0"/>
        <w:color w:val="000000"/>
        <w:sz w:val="22"/>
        <w:szCs w:val="22"/>
        <w:u w:val="none" w:color="000000"/>
        <w:shd w:val="clear" w:color="auto" w:fill="auto"/>
        <w:vertAlign w:val="baseline"/>
      </w:rPr>
    </w:lvl>
    <w:lvl w:ilvl="8" w:tplc="ECB2FF02">
      <w:start w:val="1"/>
      <w:numFmt w:val="bullet"/>
      <w:suff w:val="tab"/>
      <w:lvlText w:val="▪"/>
      <w:lvlJc w:val="left"/>
      <w:pPr>
        <w:ind w:left="6120"/>
      </w:pPr>
      <w:rPr>
        <w:rFonts w:ascii="Arial" w:hAnsi="Arial" w:cs="Arial" w:eastAsia="Arial"/>
        <w:b w:val="0"/>
        <w:i w:val="0"/>
        <w:color w:val="000000"/>
        <w:sz w:val="22"/>
        <w:szCs w:val="22"/>
        <w:u w:val="none" w:color="000000"/>
        <w:shd w:val="clear" w:color="auto" w:fill="auto"/>
        <w:vertAlign w:val="baseline"/>
      </w:rPr>
    </w:lvl>
  </w:abstractNum>
  <w:abstractNum w:abstractNumId="16">
    <w:nsid w:val="15186B8B"/>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17">
    <w:nsid w:val="1FC46503"/>
    <w:multiLevelType w:val="multilevel"/>
    <w:tmpl w:val="0409001D"/>
    <w:numStyleLink w:val="N2"/>
  </w:abstractNum>
  <w:abstractNum w:abstractNumId="18">
    <w:nsid w:val="2D3F7E49"/>
    <w:multiLevelType w:val="hybridMultilevel"/>
    <w:lvl w:ilvl="0" w:tplc="91EA4E98">
      <w:start w:val="0"/>
      <w:numFmt w:val="bullet"/>
      <w:suff w:val="tab"/>
      <w:lvlText w:val="-"/>
      <w:lvlJc w:val="left"/>
      <w:pPr>
        <w:ind w:hanging="360" w:left="720"/>
      </w:pPr>
      <w:rPr>
        <w:rFonts w:ascii="Arial" w:hAnsi="Arial" w:cs="Arial" w:eastAsia="Times New Roman" w:hint="default"/>
        <w:vertAlign w:val="baseline"/>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9">
    <w:nsid w:val="2E2B54F5"/>
    <w:multiLevelType w:val="multilevel"/>
    <w:tmpl w:val="0409001D"/>
    <w:numStyleLink w:val="N2"/>
  </w:abstractNum>
  <w:abstractNum w:abstractNumId="20">
    <w:nsid w:val="31A42D75"/>
    <w:multiLevelType w:val="multilevel"/>
    <w:lvl w:ilvl="0">
      <w:start w:val="1"/>
      <w:numFmt w:val="decimal"/>
      <w:suff w:val="tab"/>
      <w:lvlText w:val="%1"/>
      <w:lvlJc w:val="left"/>
      <w:pPr>
        <w:ind w:hanging="432" w:left="432"/>
      </w:pPr>
      <w:rPr>
        <w:rFonts w:hint="default"/>
      </w:rPr>
    </w:lvl>
    <w:lvl w:ilvl="1">
      <w:start w:val="1"/>
      <w:numFmt w:val="decimal"/>
      <w:suff w:val="space"/>
      <w:lvlText w:val="%1.%2"/>
      <w:lvlJc w:val="left"/>
      <w:pPr>
        <w:ind w:hanging="463" w:left="576"/>
      </w:pPr>
      <w:rPr>
        <w:rFonts w:hint="default"/>
      </w:rPr>
    </w:lvl>
    <w:lvl w:ilvl="2">
      <w:start w:val="1"/>
      <w:numFmt w:val="decimal"/>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1">
    <w:nsid w:val="33562309"/>
    <w:multiLevelType w:val="multilevel"/>
    <w:tmpl w:val="0409001D"/>
    <w:styleLink w:val="N2"/>
    <w:lvl w:ilvl="0">
      <w:start w:val="1"/>
      <w:numFmt w:val="bullet"/>
      <w:pStyle w:val="P10"/>
      <w:suff w:val="tab"/>
      <w:lvlText w:val="•"/>
      <w:lvlJc w:val="left"/>
      <w:pPr>
        <w:ind w:hanging="340" w:left="340"/>
        <w:tabs>
          <w:tab w:val="num" w:pos="340" w:leader="none"/>
        </w:tabs>
      </w:pPr>
      <w:rPr>
        <w:rFonts w:ascii="Calibri" w:hAnsi="Calibri" w:hint="default"/>
      </w:rPr>
    </w:lvl>
    <w:lvl w:ilvl="1">
      <w:start w:val="1"/>
      <w:numFmt w:val="bullet"/>
      <w:suff w:val="tab"/>
      <w:lvlText w:val="˗"/>
      <w:lvlJc w:val="left"/>
      <w:pPr>
        <w:ind w:hanging="340" w:left="680"/>
        <w:tabs>
          <w:tab w:val="num" w:pos="680" w:leader="none"/>
        </w:tabs>
      </w:pPr>
      <w:rPr>
        <w:rFonts w:ascii="Calibri" w:hAnsi="Calibri" w:hint="default"/>
        <w:sz w:val="24"/>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22">
    <w:nsid w:val="38706D8D"/>
    <w:multiLevelType w:val="multilevel"/>
    <w:tmpl w:val="0409001D"/>
    <w:numStyleLink w:val="N1"/>
  </w:abstractNum>
  <w:abstractNum w:abstractNumId="23">
    <w:nsid w:val="3BD81B03"/>
    <w:multiLevelType w:val="multilevel"/>
    <w:lvl w:ilvl="0">
      <w:start w:val="1"/>
      <w:numFmt w:val="decimal"/>
      <w:pStyle w:val="P26"/>
      <w:suff w:val="tab"/>
      <w:lvlText w:val="%1."/>
      <w:lvlJc w:val="left"/>
      <w:pPr>
        <w:ind w:hanging="851" w:left="851"/>
        <w:tabs>
          <w:tab w:val="num" w:pos="851" w:leader="none"/>
        </w:tabs>
      </w:pPr>
      <w:rPr>
        <w:rFonts w:hint="default"/>
      </w:rPr>
    </w:lvl>
    <w:lvl w:ilvl="1">
      <w:start w:val="1"/>
      <w:numFmt w:val="decimal"/>
      <w:pStyle w:val="P27"/>
      <w:suff w:val="tab"/>
      <w:lvlText w:val="%1.%2."/>
      <w:lvlJc w:val="left"/>
      <w:pPr>
        <w:ind w:hanging="851" w:left="851"/>
        <w:tabs>
          <w:tab w:val="num" w:pos="851" w:leader="none"/>
        </w:tabs>
      </w:pPr>
      <w:rPr>
        <w:rFonts w:hint="default"/>
      </w:rPr>
    </w:lvl>
    <w:lvl w:ilvl="2">
      <w:start w:val="1"/>
      <w:numFmt w:val="decimal"/>
      <w:pStyle w:val="P28"/>
      <w:suff w:val="tab"/>
      <w:lvlText w:val="%1.%2.%3"/>
      <w:lvlJc w:val="left"/>
      <w:pPr>
        <w:ind w:hanging="851" w:left="851"/>
        <w:tabs>
          <w:tab w:val="num" w:pos="851" w:leader="none"/>
        </w:tabs>
      </w:pPr>
      <w:rPr>
        <w:rFonts w:hint="default"/>
      </w:rPr>
    </w:lvl>
    <w:lvl w:ilvl="3">
      <w:start w:val="1"/>
      <w:numFmt w:val="none"/>
      <w:pStyle w:val="P29"/>
      <w:suff w:val="tab"/>
      <w:lvlText w:val="%1.%2.%3.%4"/>
      <w:lvlJc w:val="left"/>
      <w:pPr>
        <w:ind w:hanging="851" w:left="851"/>
        <w:tabs>
          <w:tab w:val="num" w:pos="851" w:leader="none"/>
        </w:tabs>
      </w:pPr>
      <w:rPr>
        <w:rFonts w:hint="default"/>
      </w:rPr>
    </w:lvl>
    <w:lvl w:ilvl="4">
      <w:start w:val="1"/>
      <w:numFmt w:val="none"/>
      <w:lvlRestart w:val="3"/>
      <w:pStyle w:val="P30"/>
      <w:suff w:val="tab"/>
      <w:lvlText w:val="%1.%2.%3.%4.%5"/>
      <w:lvlJc w:val="left"/>
      <w:pPr>
        <w:ind w:hanging="851" w:left="851"/>
        <w:tabs>
          <w:tab w:val="num" w:pos="851" w:leader="none"/>
        </w:tabs>
      </w:pPr>
      <w:rPr>
        <w:rFonts w:hint="default"/>
      </w:rPr>
    </w:lvl>
    <w:lvl w:ilvl="5">
      <w:start w:val="1"/>
      <w:numFmt w:val="none"/>
      <w:suff w:val="tab"/>
      <w:lvlText w:val="%1.%2.%3.%4.%5.%6"/>
      <w:lvlJc w:val="left"/>
      <w:pPr>
        <w:ind w:hanging="851" w:left="851"/>
        <w:tabs>
          <w:tab w:val="num" w:pos="851" w:leader="none"/>
        </w:tabs>
      </w:pPr>
      <w:rPr>
        <w:rFonts w:hint="default"/>
      </w:rPr>
    </w:lvl>
    <w:lvl w:ilvl="6">
      <w:start w:val="1"/>
      <w:numFmt w:val="none"/>
      <w:suff w:val="tab"/>
      <w:lvlText w:val="%1.%2.%3.%4.%5.%6.%7"/>
      <w:lvlJc w:val="left"/>
      <w:pPr>
        <w:ind w:hanging="851" w:left="851"/>
        <w:tabs>
          <w:tab w:val="num" w:pos="851" w:leader="none"/>
        </w:tabs>
      </w:pPr>
      <w:rPr>
        <w:rFonts w:hint="default"/>
      </w:rPr>
    </w:lvl>
    <w:lvl w:ilvl="7">
      <w:start w:val="1"/>
      <w:numFmt w:val="none"/>
      <w:suff w:val="tab"/>
      <w:lvlText w:val="%1.%2.%3.%4.%5.%6.%7.%8"/>
      <w:lvlJc w:val="left"/>
      <w:pPr>
        <w:ind w:hanging="851" w:left="851"/>
        <w:tabs>
          <w:tab w:val="num" w:pos="851" w:leader="none"/>
        </w:tabs>
      </w:pPr>
      <w:rPr>
        <w:rFonts w:hint="default"/>
      </w:rPr>
    </w:lvl>
    <w:lvl w:ilvl="8">
      <w:start w:val="1"/>
      <w:numFmt w:val="none"/>
      <w:suff w:val="tab"/>
      <w:lvlText w:val="%1.%2.%3.%4.%5.%6.%7.%8.%9"/>
      <w:lvlJc w:val="left"/>
      <w:pPr>
        <w:ind w:hanging="851" w:left="851"/>
        <w:tabs>
          <w:tab w:val="num" w:pos="851" w:leader="none"/>
        </w:tabs>
      </w:pPr>
      <w:rPr>
        <w:rFonts w:hint="default"/>
      </w:rPr>
    </w:lvl>
  </w:abstractNum>
  <w:abstractNum w:abstractNumId="24">
    <w:nsid w:val="3D454046"/>
    <w:multiLevelType w:val="multilevel"/>
    <w:tmpl w:val="0409001D"/>
    <w:numStyleLink w:val="N2"/>
  </w:abstractNum>
  <w:abstractNum w:abstractNumId="25">
    <w:nsid w:val="44F8337B"/>
    <w:multiLevelType w:val="hybridMultilevel"/>
    <w:lvl w:ilvl="0" w:tplc="041D0001">
      <w:start w:val="1"/>
      <w:numFmt w:val="bullet"/>
      <w:suff w:val="tab"/>
      <w:lvlText w:val=""/>
      <w:lvlJc w:val="left"/>
      <w:pPr>
        <w:ind w:hanging="360" w:left="1145"/>
      </w:pPr>
      <w:rPr>
        <w:rFonts w:ascii="Symbol" w:hAnsi="Symbol" w:hint="default"/>
      </w:rPr>
    </w:lvl>
    <w:lvl w:ilvl="1" w:tplc="934C3B38">
      <w:start w:val="0"/>
      <w:numFmt w:val="bullet"/>
      <w:suff w:val="tab"/>
      <w:lvlText w:val="•"/>
      <w:lvlJc w:val="left"/>
      <w:pPr>
        <w:ind w:hanging="360" w:left="1865"/>
      </w:pPr>
      <w:rPr>
        <w:rFonts w:ascii="Arial" w:hAnsi="Arial" w:cs="Arial" w:eastAsia="Arial"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26">
    <w:nsid w:val="4F1A6986"/>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27">
    <w:nsid w:val="52A54108"/>
    <w:multiLevelType w:val="multilevel"/>
    <w:tmpl w:val="0409001D"/>
    <w:numStyleLink w:val="N1"/>
  </w:abstractNum>
  <w:abstractNum w:abstractNumId="28">
    <w:nsid w:val="55672A24"/>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29">
    <w:nsid w:val="59DE6383"/>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30">
    <w:nsid w:val="5E93696B"/>
    <w:multiLevelType w:val="multilevel"/>
    <w:tmpl w:val="0409001D"/>
    <w:numStyleLink w:val="N1"/>
  </w:abstractNum>
  <w:abstractNum w:abstractNumId="31">
    <w:nsid w:val="62FE6E00"/>
    <w:multiLevelType w:val="multilevel"/>
    <w:tmpl w:val="0409001D"/>
    <w:numStyleLink w:val="N2"/>
  </w:abstractNum>
  <w:abstractNum w:abstractNumId="32">
    <w:nsid w:val="633D6C51"/>
    <w:multiLevelType w:val="hybridMultilevel"/>
    <w:lvl w:ilvl="0" w:tplc="041D0001">
      <w:start w:val="1"/>
      <w:numFmt w:val="bullet"/>
      <w:suff w:val="tab"/>
      <w:lvlText w:val=""/>
      <w:lvlJc w:val="left"/>
      <w:pPr>
        <w:ind w:hanging="360" w:left="1145"/>
      </w:pPr>
      <w:rPr>
        <w:rFonts w:ascii="Symbol" w:hAnsi="Symbol" w:hint="default"/>
      </w:rPr>
    </w:lvl>
    <w:lvl w:ilvl="1" w:tplc="041D0003">
      <w:start w:val="1"/>
      <w:numFmt w:val="bullet"/>
      <w:suff w:val="tab"/>
      <w:lvlText w:val="o"/>
      <w:lvlJc w:val="left"/>
      <w:pPr>
        <w:ind w:hanging="360" w:left="1865"/>
      </w:pPr>
      <w:rPr>
        <w:rFonts w:ascii="Courier New" w:hAnsi="Courier New" w:cs="Courier New" w:hint="default"/>
      </w:rPr>
    </w:lvl>
    <w:lvl w:ilvl="2" w:tplc="041D0005">
      <w:start w:val="1"/>
      <w:numFmt w:val="bullet"/>
      <w:suff w:val="tab"/>
      <w:lvlText w:val=""/>
      <w:lvlJc w:val="left"/>
      <w:pPr>
        <w:ind w:hanging="360" w:left="2585"/>
      </w:pPr>
      <w:rPr>
        <w:rFonts w:ascii="Wingdings" w:hAnsi="Wingdings" w:hint="default"/>
      </w:rPr>
    </w:lvl>
    <w:lvl w:ilvl="3" w:tplc="041D0001">
      <w:start w:val="1"/>
      <w:numFmt w:val="bullet"/>
      <w:suff w:val="tab"/>
      <w:lvlText w:val=""/>
      <w:lvlJc w:val="left"/>
      <w:pPr>
        <w:ind w:hanging="360" w:left="3305"/>
      </w:pPr>
      <w:rPr>
        <w:rFonts w:ascii="Symbol" w:hAnsi="Symbol" w:hint="default"/>
      </w:rPr>
    </w:lvl>
    <w:lvl w:ilvl="4" w:tplc="041D0003">
      <w:start w:val="1"/>
      <w:numFmt w:val="bullet"/>
      <w:suff w:val="tab"/>
      <w:lvlText w:val="o"/>
      <w:lvlJc w:val="left"/>
      <w:pPr>
        <w:ind w:hanging="360" w:left="4025"/>
      </w:pPr>
      <w:rPr>
        <w:rFonts w:ascii="Courier New" w:hAnsi="Courier New" w:cs="Courier New" w:hint="default"/>
      </w:rPr>
    </w:lvl>
    <w:lvl w:ilvl="5" w:tplc="041D0005">
      <w:start w:val="1"/>
      <w:numFmt w:val="bullet"/>
      <w:suff w:val="tab"/>
      <w:lvlText w:val=""/>
      <w:lvlJc w:val="left"/>
      <w:pPr>
        <w:ind w:hanging="360" w:left="4745"/>
      </w:pPr>
      <w:rPr>
        <w:rFonts w:ascii="Wingdings" w:hAnsi="Wingdings" w:hint="default"/>
      </w:rPr>
    </w:lvl>
    <w:lvl w:ilvl="6" w:tplc="041D0001">
      <w:start w:val="1"/>
      <w:numFmt w:val="bullet"/>
      <w:suff w:val="tab"/>
      <w:lvlText w:val=""/>
      <w:lvlJc w:val="left"/>
      <w:pPr>
        <w:ind w:hanging="360" w:left="5465"/>
      </w:pPr>
      <w:rPr>
        <w:rFonts w:ascii="Symbol" w:hAnsi="Symbol" w:hint="default"/>
      </w:rPr>
    </w:lvl>
    <w:lvl w:ilvl="7" w:tplc="041D0003">
      <w:start w:val="1"/>
      <w:numFmt w:val="bullet"/>
      <w:suff w:val="tab"/>
      <w:lvlText w:val="o"/>
      <w:lvlJc w:val="left"/>
      <w:pPr>
        <w:ind w:hanging="360" w:left="6185"/>
      </w:pPr>
      <w:rPr>
        <w:rFonts w:ascii="Courier New" w:hAnsi="Courier New" w:cs="Courier New" w:hint="default"/>
      </w:rPr>
    </w:lvl>
    <w:lvl w:ilvl="8" w:tplc="041D0005">
      <w:start w:val="1"/>
      <w:numFmt w:val="bullet"/>
      <w:suff w:val="tab"/>
      <w:lvlText w:val=""/>
      <w:lvlJc w:val="left"/>
      <w:pPr>
        <w:ind w:hanging="360" w:left="6905"/>
      </w:pPr>
      <w:rPr>
        <w:rFonts w:ascii="Wingdings" w:hAnsi="Wingdings" w:hint="default"/>
      </w:rPr>
    </w:lvl>
  </w:abstractNum>
  <w:abstractNum w:abstractNumId="33">
    <w:nsid w:val="6A8E227F"/>
    <w:multiLevelType w:val="multilevel"/>
    <w:tmpl w:val="0409001D"/>
    <w:numStyleLink w:val="N2"/>
  </w:abstractNum>
  <w:abstractNum w:abstractNumId="34">
    <w:nsid w:val="6C1354CD"/>
    <w:multiLevelType w:val="multilevel"/>
    <w:tmpl w:val="0409001D"/>
    <w:numStyleLink w:val="N1"/>
  </w:abstractNum>
  <w:abstractNum w:abstractNumId="35">
    <w:nsid w:val="6E1A2E51"/>
    <w:multiLevelType w:val="multilevel"/>
    <w:tmpl w:val="0409001D"/>
    <w:styleLink w:val="N1"/>
    <w:lvl w:ilvl="0">
      <w:start w:val="1"/>
      <w:numFmt w:val="decimal"/>
      <w:pStyle w:val="P99"/>
      <w:suff w:val="tab"/>
      <w:lvlText w:val="%1."/>
      <w:lvlJc w:val="left"/>
      <w:pPr>
        <w:ind w:hanging="340" w:left="340"/>
        <w:tabs>
          <w:tab w:val="num" w:pos="340" w:leader="none"/>
        </w:tabs>
      </w:pPr>
      <w:rPr>
        <w:rFonts w:hint="default"/>
      </w:rPr>
    </w:lvl>
    <w:lvl w:ilvl="1">
      <w:start w:val="1"/>
      <w:numFmt w:val="lowerLetter"/>
      <w:suff w:val="tab"/>
      <w:lvlText w:val="%2."/>
      <w:lvlJc w:val="left"/>
      <w:pPr>
        <w:ind w:hanging="340" w:left="680"/>
        <w:tabs>
          <w:tab w:val="num" w:pos="680" w:leader="none"/>
        </w:tabs>
      </w:pPr>
      <w:rPr>
        <w:rFonts w:hint="default"/>
      </w:rPr>
    </w:lvl>
    <w:lvl w:ilvl="2">
      <w:start w:val="1"/>
      <w:numFmt w:val="lowerRoman"/>
      <w:suff w:val="tab"/>
      <w:lvlText w:val="%3)"/>
      <w:lvlJc w:val="left"/>
      <w:pPr>
        <w:ind w:hanging="340" w:left="1020"/>
        <w:tabs>
          <w:tab w:val="num" w:pos="1020" w:leader="none"/>
        </w:tabs>
      </w:pPr>
      <w:rPr>
        <w:rFonts w:hint="default"/>
      </w:rPr>
    </w:lvl>
    <w:lvl w:ilvl="3">
      <w:start w:val="1"/>
      <w:numFmt w:val="decimal"/>
      <w:suff w:val="tab"/>
      <w:lvlText w:val="%4"/>
      <w:lvlJc w:val="left"/>
      <w:pPr>
        <w:ind w:hanging="340" w:left="1360"/>
        <w:tabs>
          <w:tab w:val="num" w:pos="1360" w:leader="none"/>
        </w:tabs>
      </w:pPr>
      <w:rPr>
        <w:rFonts w:hint="default"/>
      </w:rPr>
    </w:lvl>
    <w:lvl w:ilvl="4">
      <w:start w:val="1"/>
      <w:numFmt w:val="lowerLetter"/>
      <w:suff w:val="tab"/>
      <w:lvlText w:val="(%5)"/>
      <w:lvlJc w:val="left"/>
      <w:pPr>
        <w:ind w:hanging="340" w:left="1700"/>
        <w:tabs>
          <w:tab w:val="num" w:pos="1700" w:leader="none"/>
        </w:tabs>
      </w:pPr>
      <w:rPr>
        <w:rFonts w:hint="default"/>
      </w:rPr>
    </w:lvl>
    <w:lvl w:ilvl="5">
      <w:start w:val="1"/>
      <w:numFmt w:val="lowerRoman"/>
      <w:suff w:val="tab"/>
      <w:lvlText w:val="(%6)"/>
      <w:lvlJc w:val="left"/>
      <w:pPr>
        <w:ind w:hanging="340" w:left="2040"/>
        <w:tabs>
          <w:tab w:val="num" w:pos="2040" w:leader="none"/>
        </w:tabs>
      </w:pPr>
      <w:rPr>
        <w:rFonts w:hint="default"/>
      </w:rPr>
    </w:lvl>
    <w:lvl w:ilvl="6">
      <w:start w:val="1"/>
      <w:numFmt w:val="decimal"/>
      <w:suff w:val="tab"/>
      <w:lvlText w:val="%7."/>
      <w:lvlJc w:val="left"/>
      <w:pPr>
        <w:ind w:hanging="340" w:left="2380"/>
        <w:tabs>
          <w:tab w:val="num" w:pos="2380" w:leader="none"/>
        </w:tabs>
      </w:pPr>
      <w:rPr>
        <w:rFonts w:hint="default"/>
      </w:rPr>
    </w:lvl>
    <w:lvl w:ilvl="7">
      <w:start w:val="1"/>
      <w:numFmt w:val="lowerLetter"/>
      <w:suff w:val="tab"/>
      <w:lvlText w:val="%8."/>
      <w:lvlJc w:val="left"/>
      <w:pPr>
        <w:ind w:hanging="340" w:left="2720"/>
        <w:tabs>
          <w:tab w:val="num" w:pos="2720" w:leader="none"/>
        </w:tabs>
      </w:pPr>
      <w:rPr>
        <w:rFonts w:hint="default"/>
      </w:rPr>
    </w:lvl>
    <w:lvl w:ilvl="8">
      <w:start w:val="1"/>
      <w:numFmt w:val="lowerRoman"/>
      <w:suff w:val="tab"/>
      <w:lvlText w:val="%9."/>
      <w:lvlJc w:val="left"/>
      <w:pPr>
        <w:ind w:hanging="340" w:left="3060"/>
        <w:tabs>
          <w:tab w:val="num" w:pos="3060" w:leader="none"/>
        </w:tabs>
      </w:pPr>
      <w:rPr>
        <w:rFonts w:hint="default"/>
      </w:rPr>
    </w:lvl>
  </w:abstractNum>
  <w:abstractNum w:abstractNumId="36">
    <w:nsid w:val="6E586D49"/>
    <w:multiLevelType w:val="multilevel"/>
    <w:lvl w:ilvl="0">
      <w:start w:val="1"/>
      <w:numFmt w:val="decimal"/>
      <w:pStyle w:val="P33"/>
      <w:suff w:val="tab"/>
      <w:lvlText w:val="%1"/>
      <w:lvlJc w:val="left"/>
      <w:pPr>
        <w:ind w:hanging="432" w:left="432"/>
      </w:pPr>
      <w:rPr/>
    </w:lvl>
    <w:lvl w:ilvl="1">
      <w:start w:val="1"/>
      <w:numFmt w:val="decimal"/>
      <w:pStyle w:val="P34"/>
      <w:suff w:val="tab"/>
      <w:lvlText w:val="%1.%2"/>
      <w:lvlJc w:val="left"/>
      <w:pPr>
        <w:ind w:hanging="576" w:left="576"/>
      </w:pPr>
      <w:rPr/>
    </w:lvl>
    <w:lvl w:ilvl="2">
      <w:start w:val="1"/>
      <w:numFmt w:val="decimal"/>
      <w:pStyle w:val="P35"/>
      <w:suff w:val="tab"/>
      <w:lvlText w:val="%1.%2.%3"/>
      <w:lvlJc w:val="left"/>
      <w:pPr>
        <w:ind w:hanging="720" w:left="720"/>
      </w:pPr>
      <w:rPr/>
    </w:lvl>
    <w:lvl w:ilvl="3">
      <w:start w:val="1"/>
      <w:numFmt w:val="decimal"/>
      <w:pStyle w:val="P36"/>
      <w:suff w:val="tab"/>
      <w:lvlText w:val="%1.%2.%3.%4"/>
      <w:lvlJc w:val="left"/>
      <w:pPr>
        <w:ind w:hanging="864" w:left="864"/>
      </w:pPr>
      <w:rPr/>
    </w:lvl>
    <w:lvl w:ilvl="4">
      <w:start w:val="1"/>
      <w:numFmt w:val="decimal"/>
      <w:pStyle w:val="P37"/>
      <w:suff w:val="tab"/>
      <w:lvlText w:val="%1.%2.%3.%4.%5"/>
      <w:lvlJc w:val="left"/>
      <w:pPr>
        <w:ind w:hanging="1008" w:left="1008"/>
      </w:pPr>
      <w:rPr/>
    </w:lvl>
    <w:lvl w:ilvl="5">
      <w:start w:val="1"/>
      <w:numFmt w:val="decimal"/>
      <w:pStyle w:val="P38"/>
      <w:suff w:val="tab"/>
      <w:lvlText w:val="%1.%2.%3.%4.%5.%6"/>
      <w:lvlJc w:val="left"/>
      <w:pPr>
        <w:ind w:hanging="1152" w:left="1152"/>
      </w:pPr>
      <w:rPr/>
    </w:lvl>
    <w:lvl w:ilvl="6">
      <w:start w:val="1"/>
      <w:numFmt w:val="decimal"/>
      <w:pStyle w:val="P39"/>
      <w:suff w:val="tab"/>
      <w:lvlText w:val="%1.%2.%3.%4.%5.%6.%7"/>
      <w:lvlJc w:val="left"/>
      <w:pPr>
        <w:ind w:hanging="1296" w:left="1296"/>
      </w:pPr>
      <w:rPr/>
    </w:lvl>
    <w:lvl w:ilvl="7">
      <w:start w:val="1"/>
      <w:numFmt w:val="decimal"/>
      <w:pStyle w:val="P40"/>
      <w:suff w:val="tab"/>
      <w:lvlText w:val="%1.%2.%3.%4.%5.%6.%7.%8"/>
      <w:lvlJc w:val="left"/>
      <w:pPr>
        <w:ind w:hanging="1440" w:left="1440"/>
      </w:pPr>
      <w:rPr/>
    </w:lvl>
    <w:lvl w:ilvl="8">
      <w:start w:val="1"/>
      <w:numFmt w:val="decimal"/>
      <w:pStyle w:val="P41"/>
      <w:suff w:val="tab"/>
      <w:lvlText w:val="%1.%2.%3.%4.%5.%6.%7.%8.%9"/>
      <w:lvlJc w:val="left"/>
      <w:pPr>
        <w:ind w:hanging="1584" w:left="1584"/>
      </w:pPr>
      <w:rPr/>
    </w:lvl>
  </w:abstractNum>
  <w:abstractNum w:abstractNumId="37">
    <w:nsid w:val="745F433B"/>
    <w:multiLevelType w:val="multilevel"/>
    <w:tmpl w:val="0409001D"/>
    <w:numStyleLink w:val="N2"/>
  </w:abstractNum>
  <w:num w:numId="1">
    <w:abstractNumId w:val="36"/>
  </w:num>
  <w:num w:numId="2">
    <w:abstractNumId w:val="35"/>
  </w:num>
  <w:num w:numId="3">
    <w:abstractNumId w:val="23"/>
  </w:num>
  <w:num w:numId="4">
    <w:abstractNumId w:val="21"/>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 w:numId="15">
    <w:abstractNumId w:val="24"/>
  </w:num>
  <w:num w:numId="16">
    <w:abstractNumId w:val="27"/>
  </w:num>
  <w:num w:numId="17">
    <w:abstractNumId w:val="19"/>
  </w:num>
  <w:num w:numId="18">
    <w:abstractNumId w:val="34"/>
  </w:num>
  <w:num w:numId="19">
    <w:abstractNumId w:val="31"/>
  </w:num>
  <w:num w:numId="20">
    <w:abstractNumId w:val="30"/>
  </w:num>
  <w:num w:numId="21">
    <w:abstractNumId w:val="37"/>
  </w:num>
  <w:num w:numId="22">
    <w:abstractNumId w:val="33"/>
  </w:num>
  <w:num w:numId="23">
    <w:abstractNumId w:val="22"/>
  </w:num>
  <w:num w:numId="24">
    <w:abstractNumId w:val="17"/>
  </w:num>
  <w:num w:numId="25">
    <w:abstractNumId w:val="12"/>
  </w:num>
  <w:num w:numId="26">
    <w:abstractNumId w:val="11"/>
  </w:num>
  <w:num w:numId="27">
    <w:abstractNumId w:val="15"/>
  </w:num>
  <w:num w:numId="28">
    <w:abstractNumId w:val="10"/>
  </w:num>
  <w:num w:numId="29">
    <w:abstractNumId w:val="25"/>
  </w:num>
  <w:num w:numId="30">
    <w:abstractNumId w:val="29"/>
  </w:num>
  <w:num w:numId="31">
    <w:abstractNumId w:val="10"/>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32">
    <w:abstractNumId w:val="13"/>
  </w:num>
  <w:num w:numId="33">
    <w:abstractNumId w:val="32"/>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 w:numId="36">
    <w:abstractNumId w:val="26"/>
  </w:num>
  <w:num w:numId="37">
    <w:abstractNumId w:val="14"/>
  </w:num>
  <w:num w:numId="38">
    <w:abstractNumId w:val="16"/>
  </w:num>
  <w:num w:numId="39">
    <w:abstractNumId w:val="20"/>
  </w:num>
  <w:num w:numId="40">
    <w:abstractNumId w:val="18"/>
  </w:num>
</w:numbering>
</file>

<file path=word/settings.xml><?xml version="1.0" encoding="utf-8"?>
<w:settings xmlns:w="http://schemas.openxmlformats.org/wordprocessingml/2006/main">
  <w:displayBackgroundShape w:val="0"/>
  <w:defaultTabStop w:val="720"/>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arDekorElement" w:val="Rapport_framsida2.png"/>
    <w:docVar w:name="DVarDocumentPathInserted" w:val="No"/>
    <w:docVar w:name="DVarLanguage" w:val="Sv"/>
    <w:docVar w:name="DVarPageNumberInserted" w:val="Yes"/>
  </w:docVars>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Arial" w:hAnsi="Arial" w:cs="Times New Roman" w:eastAsia="Times New Roman"/>
        <w:color w:val="3C3C3B"/>
        <w:sz w:val="22"/>
        <w:szCs w:val="22"/>
        <w:lang w:val="en-US" w:bidi="ar-SA" w:eastAsia="en-US"/>
      </w:rPr>
    </w:rPrDefault>
    <w:pPrDefault>
      <w:pPr>
        <w:keepNext w:val="0"/>
        <w:keepLines w:val="0"/>
        <w:pageBreakBefore w:val="0"/>
        <w:widowControl w:val="1"/>
        <w:suppressLineNumbers w:val="0"/>
        <w:shd w:val="clear" w:fill="auto"/>
        <w:suppressAutoHyphens w:val="0"/>
        <w:spacing w:lineRule="atLeast" w:line="264" w:before="0" w:after="200" w:beforeAutospacing="0" w:afterAutospacing="0"/>
        <w:ind w:firstLine="0" w:left="0" w:right="0"/>
        <w:contextualSpacing w:val="0"/>
        <w:bidi w:val="0"/>
        <w:jc w:val="both"/>
        <w:outlineLvl w:val="9"/>
      </w:pPr>
    </w:pPrDefault>
  </w:docDefaults>
  <w:style w:type="paragraph" w:styleId="P0" w:default="1">
    <w:name w:val="Normal"/>
    <w:qFormat/>
    <w:pPr/>
    <w:rPr>
      <w:noProof w:val="1"/>
      <w:color w:val="000000" w:themeColor="text1"/>
      <w:lang w:val="sv-SE"/>
    </w:rPr>
  </w:style>
  <w:style w:type="paragraph" w:styleId="P1">
    <w:name w:val="Heading 1"/>
    <w:next w:val="P0"/>
    <w:link w:val="C3"/>
    <w:qFormat/>
    <w:pPr>
      <w:keepNext w:val="1"/>
      <w:keepLines w:val="1"/>
      <w:tabs>
        <w:tab w:val="left" w:pos="567" w:leader="none"/>
      </w:tabs>
      <w:spacing w:lineRule="exact" w:line="672" w:before="720" w:after="120" w:beforeAutospacing="0" w:afterAutospacing="0"/>
      <w:jc w:val="left"/>
      <w:outlineLvl w:val="0"/>
    </w:pPr>
    <w:rPr>
      <w:rFonts w:asciiTheme="majorHAnsi" w:hAnsiTheme="majorHAnsi" w:cs="Arial"/>
      <w:b w:val="1"/>
      <w:bCs w:val="1"/>
      <w:color w:val="000000"/>
      <w:sz w:val="56"/>
      <w:szCs w:val="32"/>
      <w:kern w:val="32"/>
      <w:lang w:val="sv-SE" w:eastAsia="sv-SE"/>
    </w:rPr>
  </w:style>
  <w:style w:type="paragraph" w:styleId="P2">
    <w:name w:val="Heading 2"/>
    <w:basedOn w:val="P1"/>
    <w:next w:val="P0"/>
    <w:link w:val="C4"/>
    <w:qFormat/>
    <w:pPr>
      <w:tabs>
        <w:tab w:val="clear" w:pos="567" w:leader="none"/>
      </w:tabs>
      <w:spacing w:lineRule="exact" w:line="480" w:before="360" w:after="60" w:beforeAutospacing="0" w:afterAutospacing="0"/>
      <w:outlineLvl w:val="1"/>
    </w:pPr>
    <w:rPr>
      <w:bCs w:val="0"/>
      <w:iCs w:val="1"/>
      <w:sz w:val="40"/>
      <w:szCs w:val="28"/>
    </w:rPr>
  </w:style>
  <w:style w:type="paragraph" w:styleId="P3">
    <w:name w:val="Heading 3"/>
    <w:basedOn w:val="P0"/>
    <w:next w:val="P0"/>
    <w:link w:val="C5"/>
    <w:qFormat/>
    <w:pPr>
      <w:keepNext w:val="1"/>
      <w:spacing w:lineRule="atLeast" w:line="336" w:before="360" w:after="60" w:beforeAutospacing="0" w:afterAutospacing="0"/>
      <w:outlineLvl w:val="2"/>
    </w:pPr>
    <w:rPr>
      <w:rFonts w:cs="Arial"/>
      <w:b w:val="1"/>
      <w:bCs w:val="1"/>
      <w:sz w:val="28"/>
      <w:szCs w:val="26"/>
    </w:rPr>
  </w:style>
  <w:style w:type="paragraph" w:styleId="P4">
    <w:name w:val="Heading 4"/>
    <w:basedOn w:val="P0"/>
    <w:next w:val="P0"/>
    <w:link w:val="C6"/>
    <w:qFormat/>
    <w:pPr>
      <w:keepNext w:val="1"/>
      <w:spacing w:before="200" w:after="0" w:beforeAutospacing="0" w:afterAutospacing="0"/>
      <w:outlineLvl w:val="3"/>
    </w:pPr>
    <w:rPr>
      <w:b w:val="1"/>
      <w:bCs w:val="1"/>
      <w:szCs w:val="28"/>
    </w:rPr>
  </w:style>
  <w:style w:type="paragraph" w:styleId="P5">
    <w:name w:val="Heading 5"/>
    <w:basedOn w:val="P0"/>
    <w:next w:val="P0"/>
    <w:link w:val="C7"/>
    <w:qFormat/>
    <w:pPr>
      <w:spacing w:before="240" w:after="60" w:beforeAutospacing="0" w:afterAutospacing="0"/>
      <w:outlineLvl w:val="4"/>
    </w:pPr>
    <w:rPr>
      <w:b w:val="1"/>
      <w:i w:val="1"/>
      <w:bCs w:val="1"/>
      <w:iCs w:val="1"/>
      <w:sz w:val="26"/>
      <w:szCs w:val="26"/>
    </w:rPr>
  </w:style>
  <w:style w:type="paragraph" w:styleId="P6">
    <w:name w:val="Heading 6"/>
    <w:basedOn w:val="P0"/>
    <w:next w:val="P0"/>
    <w:link w:val="C8"/>
    <w:qFormat/>
    <w:pPr>
      <w:spacing w:before="240" w:after="60" w:beforeAutospacing="0" w:afterAutospacing="0"/>
      <w:outlineLvl w:val="5"/>
    </w:pPr>
    <w:rPr>
      <w:b w:val="1"/>
      <w:bCs w:val="1"/>
    </w:rPr>
  </w:style>
  <w:style w:type="paragraph" w:styleId="P7">
    <w:name w:val="Heading 7"/>
    <w:basedOn w:val="P0"/>
    <w:next w:val="P0"/>
    <w:link w:val="C11"/>
    <w:qFormat/>
    <w:pPr>
      <w:spacing w:before="240" w:after="60" w:beforeAutospacing="0" w:afterAutospacing="0"/>
      <w:outlineLvl w:val="6"/>
    </w:pPr>
    <w:rPr/>
  </w:style>
  <w:style w:type="paragraph" w:styleId="P8">
    <w:name w:val="Heading 8"/>
    <w:basedOn w:val="P0"/>
    <w:next w:val="P0"/>
    <w:link w:val="C12"/>
    <w:qFormat/>
    <w:pPr>
      <w:spacing w:before="240" w:after="60" w:beforeAutospacing="0" w:afterAutospacing="0"/>
      <w:outlineLvl w:val="7"/>
    </w:pPr>
    <w:rPr>
      <w:i w:val="1"/>
      <w:iCs w:val="1"/>
    </w:rPr>
  </w:style>
  <w:style w:type="paragraph" w:styleId="P9">
    <w:name w:val="Heading 9"/>
    <w:basedOn w:val="P0"/>
    <w:next w:val="P0"/>
    <w:link w:val="C19"/>
    <w:semiHidden/>
    <w:qFormat/>
    <w:pPr>
      <w:spacing w:before="240" w:after="60" w:beforeAutospacing="0" w:afterAutospacing="0"/>
      <w:outlineLvl w:val="8"/>
    </w:pPr>
    <w:rPr>
      <w:rFonts w:cs="Arial"/>
    </w:rPr>
  </w:style>
  <w:style w:type="paragraph" w:styleId="P10">
    <w:name w:val="List Bullet"/>
    <w:basedOn w:val="P17"/>
    <w:qFormat/>
    <w:pPr>
      <w:numPr>
        <w:numId w:val="24"/>
      </w:numPr>
    </w:pPr>
    <w:rPr/>
  </w:style>
  <w:style w:type="paragraph" w:styleId="P11">
    <w:name w:val="Header"/>
    <w:basedOn w:val="P0"/>
    <w:link w:val="C9"/>
    <w:pPr>
      <w:tabs>
        <w:tab w:val="center" w:pos="4536" w:leader="none"/>
        <w:tab w:val="right" w:pos="9072" w:leader="none"/>
      </w:tabs>
      <w:spacing w:lineRule="auto" w:line="240" w:after="40" w:beforeAutospacing="0" w:afterAutospacing="0"/>
    </w:pPr>
    <w:rPr>
      <w:color w:val="3D3531" w:themeColor="accent1"/>
    </w:rPr>
  </w:style>
  <w:style w:type="paragraph" w:styleId="P12">
    <w:name w:val="Footer"/>
    <w:basedOn w:val="P0"/>
    <w:link w:val="C10"/>
    <w:pPr>
      <w:tabs>
        <w:tab w:val="center" w:pos="4536" w:leader="none"/>
        <w:tab w:val="right" w:pos="9072" w:leader="none"/>
      </w:tabs>
      <w:spacing w:lineRule="auto" w:line="240" w:after="0" w:beforeAutospacing="0" w:afterAutospacing="0"/>
    </w:pPr>
    <w:rPr>
      <w:color w:val="3D3531" w:themeColor="accent1"/>
    </w:rPr>
  </w:style>
  <w:style w:type="paragraph" w:styleId="P13">
    <w:name w:val="TOC 1"/>
    <w:basedOn w:val="P0"/>
    <w:next w:val="P0"/>
    <w:pPr>
      <w:tabs>
        <w:tab w:val="right" w:pos="9071" w:leader="dot"/>
      </w:tabs>
      <w:spacing w:before="120" w:after="0" w:beforeAutospacing="0" w:afterAutospacing="0"/>
    </w:pPr>
    <w:rPr>
      <w:b w:val="1"/>
    </w:rPr>
  </w:style>
  <w:style w:type="paragraph" w:styleId="P14">
    <w:name w:val="TOC 2"/>
    <w:basedOn w:val="P0"/>
    <w:next w:val="P0"/>
    <w:pPr>
      <w:tabs>
        <w:tab w:val="right" w:pos="9071" w:leader="dot"/>
      </w:tabs>
      <w:spacing w:after="0" w:beforeAutospacing="0" w:afterAutospacing="0"/>
      <w:ind w:left="283"/>
    </w:pPr>
    <w:rPr/>
  </w:style>
  <w:style w:type="paragraph" w:styleId="P15">
    <w:name w:val="TOC 3"/>
    <w:basedOn w:val="P0"/>
    <w:next w:val="P0"/>
    <w:pPr>
      <w:tabs>
        <w:tab w:val="right" w:pos="9071" w:leader="dot"/>
      </w:tabs>
      <w:spacing w:after="0" w:beforeAutospacing="0" w:afterAutospacing="0"/>
      <w:ind w:left="567"/>
    </w:pPr>
    <w:rPr/>
  </w:style>
  <w:style w:type="paragraph" w:styleId="P16">
    <w:name w:val="TOC 4"/>
    <w:basedOn w:val="P0"/>
    <w:next w:val="P0"/>
    <w:pPr>
      <w:ind w:left="600"/>
    </w:pPr>
    <w:rPr/>
  </w:style>
  <w:style w:type="paragraph" w:styleId="P17">
    <w:name w:val="List Paragraph"/>
    <w:basedOn w:val="P0"/>
    <w:qFormat/>
    <w:pPr>
      <w:spacing w:after="120" w:beforeAutospacing="0" w:afterAutospacing="0"/>
      <w:ind w:left="720"/>
    </w:pPr>
    <w:rPr/>
  </w:style>
  <w:style w:type="paragraph" w:styleId="P18">
    <w:name w:val="Profile"/>
    <w:basedOn w:val="P0"/>
    <w:semiHidden/>
    <w:pPr/>
    <w:rPr/>
  </w:style>
  <w:style w:type="paragraph" w:styleId="P19">
    <w:name w:val="Tillägg"/>
    <w:basedOn w:val="P12"/>
    <w:semiHidden/>
    <w:pPr/>
    <w:rPr/>
  </w:style>
  <w:style w:type="paragraph" w:styleId="P20">
    <w:name w:val="Normal utan avstånd"/>
    <w:basedOn w:val="P0"/>
    <w:semiHidden/>
    <w:pPr/>
    <w:rPr/>
  </w:style>
  <w:style w:type="paragraph" w:styleId="P21">
    <w:name w:val="Sidhuvud förstasida"/>
    <w:basedOn w:val="P11"/>
    <w:semiHidden/>
    <w:pPr/>
    <w:rPr/>
  </w:style>
  <w:style w:type="paragraph" w:styleId="P22">
    <w:name w:val="Dold rad"/>
    <w:basedOn w:val="P21"/>
    <w:semiHidden/>
    <w:pPr/>
    <w:rPr>
      <w:sz w:val="2"/>
    </w:rPr>
  </w:style>
  <w:style w:type="paragraph" w:styleId="P23">
    <w:name w:val="Dokumentinfo huvud"/>
    <w:basedOn w:val="P0"/>
    <w:semiHidden/>
    <w:pPr>
      <w:spacing w:lineRule="atLeast" w:line="190" w:beforeAutospacing="0" w:afterAutospacing="0"/>
      <w:ind w:left="-765"/>
    </w:pPr>
    <w:rPr>
      <w:rFonts w:ascii="Verdana" w:hAnsi="Verdana"/>
      <w:sz w:val="12"/>
    </w:rPr>
  </w:style>
  <w:style w:type="paragraph" w:styleId="P24">
    <w:name w:val="Balloon Text"/>
    <w:basedOn w:val="P0"/>
    <w:link w:val="C13"/>
    <w:semiHidden/>
    <w:pPr/>
    <w:rPr>
      <w:rFonts w:ascii="Tahoma" w:hAnsi="Tahoma" w:cs="Tahoma"/>
      <w:sz w:val="16"/>
      <w:szCs w:val="16"/>
      <w:lang w:val="en-GB"/>
    </w:rPr>
  </w:style>
  <w:style w:type="paragraph" w:styleId="P25">
    <w:name w:val="Default"/>
    <w:pPr/>
    <w:rPr>
      <w:rFonts w:cs="Arial"/>
      <w:color w:val="000000"/>
      <w:sz w:val="24"/>
      <w:szCs w:val="24"/>
      <w:lang w:val="sv-SE"/>
    </w:rPr>
  </w:style>
  <w:style w:type="paragraph" w:styleId="P26">
    <w:name w:val="Heading_1 No"/>
    <w:basedOn w:val="P0"/>
    <w:next w:val="P0"/>
    <w:link w:val="C14"/>
    <w:pPr>
      <w:keepNext w:val="1"/>
      <w:numPr>
        <w:numId w:val="3"/>
      </w:numPr>
      <w:spacing w:lineRule="exact" w:line="672" w:before="480" w:after="120" w:beforeAutospacing="0" w:afterAutospacing="0"/>
      <w:outlineLvl w:val="0"/>
    </w:pPr>
    <w:rPr>
      <w:rFonts w:asciiTheme="majorHAnsi" w:hAnsiTheme="majorHAnsi" w:cs="Arial"/>
      <w:b w:val="1"/>
      <w:color w:val="000000"/>
      <w:sz w:val="56"/>
      <w:szCs w:val="36"/>
    </w:rPr>
  </w:style>
  <w:style w:type="paragraph" w:styleId="P27">
    <w:name w:val="Heading_2 No"/>
    <w:basedOn w:val="P0"/>
    <w:next w:val="P0"/>
    <w:link w:val="C15"/>
    <w:pPr>
      <w:keepNext w:val="1"/>
      <w:numPr>
        <w:ilvl w:val="1"/>
        <w:numId w:val="3"/>
      </w:numPr>
      <w:spacing w:lineRule="exact" w:line="480" w:before="360" w:after="60" w:beforeAutospacing="0" w:afterAutospacing="0"/>
      <w:outlineLvl w:val="1"/>
    </w:pPr>
    <w:rPr>
      <w:rFonts w:asciiTheme="majorHAnsi" w:hAnsiTheme="majorHAnsi" w:cs="Arial"/>
      <w:b w:val="1"/>
      <w:sz w:val="40"/>
      <w:szCs w:val="24"/>
    </w:rPr>
  </w:style>
  <w:style w:type="paragraph" w:styleId="P28">
    <w:name w:val="Heading_3 No"/>
    <w:basedOn w:val="P3"/>
    <w:next w:val="P0"/>
    <w:link w:val="C16"/>
    <w:pPr>
      <w:numPr>
        <w:ilvl w:val="2"/>
        <w:numId w:val="3"/>
      </w:numPr>
      <w:spacing w:lineRule="exact" w:line="336" w:beforeAutospacing="0" w:afterAutospacing="0"/>
    </w:pPr>
    <w:rPr/>
  </w:style>
  <w:style w:type="paragraph" w:styleId="P29">
    <w:name w:val="Heading_4 No"/>
    <w:basedOn w:val="P0"/>
    <w:next w:val="P0"/>
    <w:link w:val="C17"/>
    <w:semiHidden/>
    <w:pPr>
      <w:keepNext w:val="1"/>
      <w:numPr>
        <w:ilvl w:val="3"/>
        <w:numId w:val="3"/>
      </w:numPr>
      <w:spacing w:before="360" w:beforeAutospacing="0" w:afterAutospacing="0"/>
      <w:outlineLvl w:val="3"/>
    </w:pPr>
    <w:rPr>
      <w:b w:val="1"/>
    </w:rPr>
  </w:style>
  <w:style w:type="paragraph" w:styleId="P30">
    <w:name w:val="Heading_5 No"/>
    <w:basedOn w:val="P0"/>
    <w:next w:val="P0"/>
    <w:link w:val="C18"/>
    <w:semiHidden/>
    <w:pPr>
      <w:keepNext w:val="1"/>
      <w:numPr>
        <w:ilvl w:val="4"/>
        <w:numId w:val="3"/>
      </w:numPr>
      <w:spacing w:before="360" w:beforeAutospacing="0" w:afterAutospacing="0"/>
      <w:outlineLvl w:val="4"/>
    </w:pPr>
    <w:rPr>
      <w:i w:val="1"/>
      <w:sz w:val="24"/>
      <w:lang w:val="en-GB"/>
    </w:rPr>
  </w:style>
  <w:style w:type="paragraph" w:styleId="P31">
    <w:name w:val="Etikett"/>
    <w:basedOn w:val="P0"/>
    <w:semiHidden/>
    <w:pPr/>
    <w:rPr>
      <w:rFonts w:asciiTheme="majorHAnsi" w:hAnsiTheme="majorHAnsi"/>
      <w:b w:val="1"/>
      <w:sz w:val="14"/>
    </w:rPr>
  </w:style>
  <w:style w:type="paragraph" w:styleId="P32">
    <w:name w:val="Logotyp"/>
    <w:semiHidden/>
    <w:pPr/>
    <w:rPr/>
  </w:style>
  <w:style w:type="paragraph" w:styleId="P33">
    <w:name w:val="Rubrik 11"/>
    <w:basedOn w:val="P0"/>
    <w:semiHidden/>
    <w:pPr>
      <w:numPr>
        <w:numId w:val="1"/>
      </w:numPr>
    </w:pPr>
    <w:rPr/>
  </w:style>
  <w:style w:type="paragraph" w:styleId="P34">
    <w:name w:val="Rubrik 21"/>
    <w:basedOn w:val="P0"/>
    <w:semiHidden/>
    <w:pPr>
      <w:numPr>
        <w:ilvl w:val="1"/>
        <w:numId w:val="1"/>
      </w:numPr>
    </w:pPr>
    <w:rPr/>
  </w:style>
  <w:style w:type="paragraph" w:styleId="P35">
    <w:name w:val="Rubrik 31"/>
    <w:basedOn w:val="P0"/>
    <w:semiHidden/>
    <w:pPr>
      <w:numPr>
        <w:ilvl w:val="2"/>
        <w:numId w:val="1"/>
      </w:numPr>
    </w:pPr>
    <w:rPr/>
  </w:style>
  <w:style w:type="paragraph" w:styleId="P36">
    <w:name w:val="Rubrik 41"/>
    <w:basedOn w:val="P0"/>
    <w:semiHidden/>
    <w:pPr>
      <w:numPr>
        <w:ilvl w:val="3"/>
        <w:numId w:val="1"/>
      </w:numPr>
    </w:pPr>
    <w:rPr/>
  </w:style>
  <w:style w:type="paragraph" w:styleId="P37">
    <w:name w:val="Rubrik 51"/>
    <w:basedOn w:val="P0"/>
    <w:semiHidden/>
    <w:pPr>
      <w:numPr>
        <w:ilvl w:val="4"/>
        <w:numId w:val="1"/>
      </w:numPr>
    </w:pPr>
    <w:rPr/>
  </w:style>
  <w:style w:type="paragraph" w:styleId="P38">
    <w:name w:val="Rubrik 61"/>
    <w:basedOn w:val="P0"/>
    <w:semiHidden/>
    <w:pPr>
      <w:numPr>
        <w:ilvl w:val="5"/>
        <w:numId w:val="1"/>
      </w:numPr>
    </w:pPr>
    <w:rPr/>
  </w:style>
  <w:style w:type="paragraph" w:styleId="P39">
    <w:name w:val="Rubrik 71"/>
    <w:basedOn w:val="P0"/>
    <w:semiHidden/>
    <w:pPr>
      <w:numPr>
        <w:ilvl w:val="6"/>
        <w:numId w:val="1"/>
      </w:numPr>
    </w:pPr>
    <w:rPr/>
  </w:style>
  <w:style w:type="paragraph" w:styleId="P40">
    <w:name w:val="Rubrik 81"/>
    <w:basedOn w:val="P0"/>
    <w:semiHidden/>
    <w:pPr>
      <w:numPr>
        <w:ilvl w:val="7"/>
        <w:numId w:val="1"/>
      </w:numPr>
    </w:pPr>
    <w:rPr/>
  </w:style>
  <w:style w:type="paragraph" w:styleId="P41">
    <w:name w:val="Rubrik 91"/>
    <w:basedOn w:val="P0"/>
    <w:semiHidden/>
    <w:pPr>
      <w:numPr>
        <w:ilvl w:val="8"/>
        <w:numId w:val="1"/>
      </w:numPr>
    </w:pPr>
    <w:rPr/>
  </w:style>
  <w:style w:type="paragraph" w:styleId="P42">
    <w:name w:val="TOC Heading"/>
    <w:basedOn w:val="P1"/>
    <w:next w:val="P0"/>
    <w:qFormat/>
    <w:pPr>
      <w:tabs>
        <w:tab w:val="clear" w:pos="567" w:leader="none"/>
      </w:tabs>
      <w:spacing w:before="240" w:after="480" w:beforeAutospacing="0" w:afterAutospacing="0"/>
      <w:outlineLvl w:val="9"/>
    </w:pPr>
    <w:rPr>
      <w:rFonts w:cstheme="majorBidi" w:eastAsiaTheme="majorEastAsia"/>
      <w:bCs w:val="0"/>
    </w:rPr>
  </w:style>
  <w:style w:type="paragraph" w:styleId="P43">
    <w:name w:val="TOC 6"/>
    <w:basedOn w:val="P0"/>
    <w:next w:val="P0"/>
    <w:pPr>
      <w:ind w:left="1000"/>
    </w:pPr>
    <w:rPr>
      <w:lang w:val="en-GB"/>
    </w:rPr>
  </w:style>
  <w:style w:type="paragraph" w:styleId="P44">
    <w:name w:val="TOC 5"/>
    <w:basedOn w:val="P0"/>
    <w:next w:val="P0"/>
    <w:pPr>
      <w:ind w:left="800"/>
    </w:pPr>
    <w:rPr>
      <w:lang w:val="en-GB"/>
    </w:rPr>
  </w:style>
  <w:style w:type="paragraph" w:styleId="P45">
    <w:name w:val="Mottagare"/>
    <w:basedOn w:val="P0"/>
    <w:semiHidden/>
    <w:pPr>
      <w:spacing w:after="0" w:beforeAutospacing="0" w:afterAutospacing="0"/>
    </w:pPr>
    <w:rPr/>
  </w:style>
  <w:style w:type="paragraph" w:styleId="P46">
    <w:name w:val="Footnote Text"/>
    <w:basedOn w:val="P0"/>
    <w:link w:val="C20"/>
    <w:semiHidden/>
    <w:pPr/>
    <w:rPr>
      <w:lang w:val="en-GB"/>
    </w:rPr>
  </w:style>
  <w:style w:type="paragraph" w:styleId="P47">
    <w:name w:val="Envelope Address"/>
    <w:basedOn w:val="P0"/>
    <w:semiHidden/>
    <w:pPr>
      <w:framePr w:w="7938" w:h="1984" w:hRule="exact" w:hSpace="141" w:wrap="auto" w:hAnchor="page" w:x="0" w:xAlign="center" w:y="0" w:yAlign="bottom"/>
      <w:ind w:left="2880"/>
    </w:pPr>
    <w:rPr>
      <w:rFonts w:cs="Arial"/>
      <w:sz w:val="24"/>
      <w:lang w:val="en-GB"/>
    </w:rPr>
  </w:style>
  <w:style w:type="paragraph" w:styleId="P48">
    <w:name w:val="Note Heading"/>
    <w:basedOn w:val="P0"/>
    <w:next w:val="P0"/>
    <w:link w:val="C22"/>
    <w:semiHidden/>
    <w:pPr/>
    <w:rPr>
      <w:lang w:val="en-GB"/>
    </w:rPr>
  </w:style>
  <w:style w:type="paragraph" w:styleId="P49">
    <w:name w:val="Closing"/>
    <w:basedOn w:val="P0"/>
    <w:link w:val="C24"/>
    <w:semiHidden/>
    <w:pPr>
      <w:ind w:left="4252"/>
    </w:pPr>
    <w:rPr>
      <w:lang w:val="en-GB"/>
    </w:rPr>
  </w:style>
  <w:style w:type="paragraph" w:styleId="P50">
    <w:name w:val="Envelope Return"/>
    <w:basedOn w:val="P0"/>
    <w:semiHidden/>
    <w:pPr/>
    <w:rPr>
      <w:rFonts w:cs="Arial"/>
      <w:lang w:val="en-GB"/>
    </w:rPr>
  </w:style>
  <w:style w:type="paragraph" w:styleId="P51">
    <w:name w:val="Body Text"/>
    <w:basedOn w:val="P0"/>
    <w:link w:val="C25"/>
    <w:semiHidden/>
    <w:pPr>
      <w:spacing w:after="120" w:beforeAutospacing="0" w:afterAutospacing="0"/>
    </w:pPr>
    <w:rPr>
      <w:lang w:val="en-GB"/>
    </w:rPr>
  </w:style>
  <w:style w:type="paragraph" w:styleId="P52">
    <w:name w:val="Body Text 2"/>
    <w:basedOn w:val="P0"/>
    <w:link w:val="C26"/>
    <w:semiHidden/>
    <w:pPr>
      <w:spacing w:lineRule="auto" w:line="480" w:after="120" w:beforeAutospacing="0" w:afterAutospacing="0"/>
    </w:pPr>
    <w:rPr>
      <w:lang w:val="en-GB"/>
    </w:rPr>
  </w:style>
  <w:style w:type="paragraph" w:styleId="P53">
    <w:name w:val="Body Text 3"/>
    <w:basedOn w:val="P0"/>
    <w:link w:val="C27"/>
    <w:semiHidden/>
    <w:pPr>
      <w:spacing w:after="120" w:beforeAutospacing="0" w:afterAutospacing="0"/>
    </w:pPr>
    <w:rPr>
      <w:sz w:val="16"/>
      <w:szCs w:val="16"/>
      <w:lang w:val="en-GB"/>
    </w:rPr>
  </w:style>
  <w:style w:type="paragraph" w:styleId="P54">
    <w:name w:val="Body Text First Indent"/>
    <w:basedOn w:val="P51"/>
    <w:link w:val="C28"/>
    <w:semiHidden/>
    <w:pPr>
      <w:ind w:firstLine="210"/>
    </w:pPr>
    <w:rPr/>
  </w:style>
  <w:style w:type="paragraph" w:styleId="P55">
    <w:name w:val="Body Text Indent"/>
    <w:basedOn w:val="P0"/>
    <w:link w:val="C29"/>
    <w:semiHidden/>
    <w:pPr>
      <w:spacing w:after="120" w:beforeAutospacing="0" w:afterAutospacing="0"/>
      <w:ind w:left="283"/>
    </w:pPr>
    <w:rPr>
      <w:lang w:val="en-GB"/>
    </w:rPr>
  </w:style>
  <w:style w:type="paragraph" w:styleId="P56">
    <w:name w:val="Body Text First Indent 2"/>
    <w:basedOn w:val="P55"/>
    <w:link w:val="C30"/>
    <w:semiHidden/>
    <w:pPr>
      <w:ind w:firstLine="210"/>
    </w:pPr>
    <w:rPr/>
  </w:style>
  <w:style w:type="paragraph" w:styleId="P57">
    <w:name w:val="Body Text Indent 2"/>
    <w:basedOn w:val="P0"/>
    <w:link w:val="C31"/>
    <w:semiHidden/>
    <w:pPr>
      <w:spacing w:lineRule="auto" w:line="480" w:after="120" w:beforeAutospacing="0" w:afterAutospacing="0"/>
      <w:ind w:left="283"/>
    </w:pPr>
    <w:rPr>
      <w:lang w:val="en-GB"/>
    </w:rPr>
  </w:style>
  <w:style w:type="paragraph" w:styleId="P58">
    <w:name w:val="Body Text Indent 3"/>
    <w:basedOn w:val="P0"/>
    <w:link w:val="C32"/>
    <w:semiHidden/>
    <w:pPr>
      <w:spacing w:after="120" w:beforeAutospacing="0" w:afterAutospacing="0"/>
      <w:ind w:left="283"/>
    </w:pPr>
    <w:rPr>
      <w:sz w:val="16"/>
      <w:szCs w:val="16"/>
      <w:lang w:val="en-GB"/>
    </w:rPr>
  </w:style>
  <w:style w:type="paragraph" w:styleId="P59">
    <w:name w:val="Table of Authorities"/>
    <w:basedOn w:val="P0"/>
    <w:next w:val="P0"/>
    <w:semiHidden/>
    <w:pPr>
      <w:ind w:hanging="200" w:left="200"/>
    </w:pPr>
    <w:rPr>
      <w:lang w:val="en-GB"/>
    </w:rPr>
  </w:style>
  <w:style w:type="paragraph" w:styleId="P60">
    <w:name w:val="TOA Heading"/>
    <w:basedOn w:val="P0"/>
    <w:next w:val="P0"/>
    <w:semiHidden/>
    <w:pPr>
      <w:spacing w:before="120" w:beforeAutospacing="0" w:afterAutospacing="0"/>
    </w:pPr>
    <w:rPr>
      <w:rFonts w:cs="Arial"/>
      <w:b w:val="1"/>
      <w:bCs w:val="1"/>
      <w:sz w:val="24"/>
      <w:lang w:val="en-GB"/>
    </w:rPr>
  </w:style>
  <w:style w:type="paragraph" w:styleId="P61">
    <w:name w:val="Date"/>
    <w:basedOn w:val="P0"/>
    <w:next w:val="P0"/>
    <w:link w:val="C33"/>
    <w:semiHidden/>
    <w:pPr/>
    <w:rPr>
      <w:lang w:val="en-GB"/>
    </w:rPr>
  </w:style>
  <w:style w:type="paragraph" w:styleId="P62">
    <w:name w:val="Document Map"/>
    <w:basedOn w:val="P0"/>
    <w:link w:val="C34"/>
    <w:semiHidden/>
    <w:pPr>
      <w:shd w:val="clear" w:fill="000080"/>
    </w:pPr>
    <w:rPr>
      <w:rFonts w:ascii="Tahoma" w:hAnsi="Tahoma" w:cs="Tahoma"/>
      <w:lang w:val="en-GB"/>
    </w:rPr>
  </w:style>
  <w:style w:type="paragraph" w:styleId="P63">
    <w:name w:val="E-mail Signature"/>
    <w:basedOn w:val="P0"/>
    <w:link w:val="C35"/>
    <w:semiHidden/>
    <w:pPr/>
    <w:rPr>
      <w:lang w:val="en-GB"/>
    </w:rPr>
  </w:style>
  <w:style w:type="paragraph" w:styleId="P64">
    <w:name w:val="Table of Figures"/>
    <w:basedOn w:val="P0"/>
    <w:next w:val="P0"/>
    <w:semiHidden/>
    <w:pPr/>
    <w:rPr>
      <w:lang w:val="en-GB"/>
    </w:rPr>
  </w:style>
  <w:style w:type="paragraph" w:styleId="P65">
    <w:name w:val="HTML Address"/>
    <w:basedOn w:val="P0"/>
    <w:link w:val="C36"/>
    <w:semiHidden/>
    <w:pPr/>
    <w:rPr>
      <w:i w:val="1"/>
      <w:iCs w:val="1"/>
      <w:lang w:val="en-GB"/>
    </w:rPr>
  </w:style>
  <w:style w:type="paragraph" w:styleId="P66">
    <w:name w:val="HTML Preformatted"/>
    <w:basedOn w:val="P0"/>
    <w:link w:val="C41"/>
    <w:semiHidden/>
    <w:pPr/>
    <w:rPr>
      <w:rFonts w:ascii="Courier New" w:hAnsi="Courier New" w:cs="Courier New"/>
      <w:lang w:val="en-GB"/>
    </w:rPr>
  </w:style>
  <w:style w:type="paragraph" w:styleId="P67">
    <w:name w:val="Framsida - Huvudrubrik"/>
    <w:pPr>
      <w:spacing w:lineRule="atLeast" w:line="640" w:after="80" w:beforeAutospacing="0" w:afterAutospacing="0"/>
      <w:jc w:val="left"/>
    </w:pPr>
    <w:rPr>
      <w:rFonts w:asciiTheme="majorHAnsi" w:hAnsiTheme="majorHAnsi" w:cs="Arial"/>
      <w:b w:val="1"/>
      <w:bCs w:val="1"/>
      <w:color w:val="000000"/>
      <w:sz w:val="100"/>
      <w:szCs w:val="32"/>
      <w:kern w:val="32"/>
      <w:lang w:val="sv-SE" w:eastAsia="sv-SE"/>
    </w:rPr>
  </w:style>
  <w:style w:type="paragraph" w:styleId="P68">
    <w:name w:val="Index 1"/>
    <w:basedOn w:val="P0"/>
    <w:next w:val="P0"/>
    <w:semiHidden/>
    <w:pPr>
      <w:ind w:hanging="200" w:left="200"/>
    </w:pPr>
    <w:rPr>
      <w:lang w:val="en-GB"/>
    </w:rPr>
  </w:style>
  <w:style w:type="paragraph" w:styleId="P69">
    <w:name w:val="Index 2"/>
    <w:basedOn w:val="P0"/>
    <w:next w:val="P0"/>
    <w:semiHidden/>
    <w:pPr>
      <w:ind w:hanging="200" w:left="400"/>
    </w:pPr>
    <w:rPr>
      <w:lang w:val="en-GB"/>
    </w:rPr>
  </w:style>
  <w:style w:type="paragraph" w:styleId="P70">
    <w:name w:val="Index 3"/>
    <w:basedOn w:val="P0"/>
    <w:next w:val="P0"/>
    <w:semiHidden/>
    <w:pPr>
      <w:ind w:hanging="200" w:left="600"/>
    </w:pPr>
    <w:rPr>
      <w:lang w:val="en-GB"/>
    </w:rPr>
  </w:style>
  <w:style w:type="paragraph" w:styleId="P71">
    <w:name w:val="Index 4"/>
    <w:basedOn w:val="P0"/>
    <w:next w:val="P0"/>
    <w:semiHidden/>
    <w:pPr>
      <w:ind w:hanging="200" w:left="800"/>
    </w:pPr>
    <w:rPr>
      <w:lang w:val="en-GB"/>
    </w:rPr>
  </w:style>
  <w:style w:type="paragraph" w:styleId="P72">
    <w:name w:val="Index 5"/>
    <w:basedOn w:val="P0"/>
    <w:next w:val="P0"/>
    <w:semiHidden/>
    <w:pPr>
      <w:ind w:hanging="200" w:left="1000"/>
    </w:pPr>
    <w:rPr>
      <w:lang w:val="en-GB"/>
    </w:rPr>
  </w:style>
  <w:style w:type="paragraph" w:styleId="P73">
    <w:name w:val="Index 6"/>
    <w:basedOn w:val="P0"/>
    <w:next w:val="P0"/>
    <w:semiHidden/>
    <w:pPr>
      <w:ind w:hanging="200" w:left="1200"/>
    </w:pPr>
    <w:rPr>
      <w:lang w:val="en-GB"/>
    </w:rPr>
  </w:style>
  <w:style w:type="paragraph" w:styleId="P74">
    <w:name w:val="Index 7"/>
    <w:basedOn w:val="P0"/>
    <w:next w:val="P0"/>
    <w:semiHidden/>
    <w:pPr>
      <w:ind w:hanging="200" w:left="1400"/>
    </w:pPr>
    <w:rPr>
      <w:lang w:val="en-GB"/>
    </w:rPr>
  </w:style>
  <w:style w:type="paragraph" w:styleId="P75">
    <w:name w:val="Index 8"/>
    <w:basedOn w:val="P0"/>
    <w:next w:val="P0"/>
    <w:semiHidden/>
    <w:pPr>
      <w:ind w:hanging="200" w:left="1600"/>
    </w:pPr>
    <w:rPr>
      <w:lang w:val="en-GB"/>
    </w:rPr>
  </w:style>
  <w:style w:type="paragraph" w:styleId="P76">
    <w:name w:val="Index 9"/>
    <w:basedOn w:val="P0"/>
    <w:next w:val="P0"/>
    <w:semiHidden/>
    <w:pPr>
      <w:ind w:hanging="200" w:left="1800"/>
    </w:pPr>
    <w:rPr>
      <w:lang w:val="en-GB"/>
    </w:rPr>
  </w:style>
  <w:style w:type="paragraph" w:styleId="P77">
    <w:name w:val="Index Heading"/>
    <w:basedOn w:val="P0"/>
    <w:next w:val="P68"/>
    <w:semiHidden/>
    <w:pPr/>
    <w:rPr>
      <w:rFonts w:cs="Arial"/>
      <w:b w:val="1"/>
      <w:bCs w:val="1"/>
      <w:lang w:val="en-GB"/>
    </w:rPr>
  </w:style>
  <w:style w:type="paragraph" w:styleId="P78">
    <w:name w:val="Block Text"/>
    <w:basedOn w:val="P0"/>
    <w:semiHidden/>
    <w:pPr>
      <w:spacing w:after="120" w:beforeAutospacing="0" w:afterAutospacing="0"/>
      <w:ind w:left="1440" w:right="1440"/>
    </w:pPr>
    <w:rPr>
      <w:lang w:val="en-GB"/>
    </w:rPr>
  </w:style>
  <w:style w:type="paragraph" w:styleId="P79">
    <w:name w:val="Salutation"/>
    <w:basedOn w:val="P0"/>
    <w:next w:val="P0"/>
    <w:link w:val="C46"/>
    <w:semiHidden/>
    <w:pPr/>
    <w:rPr>
      <w:lang w:val="en-GB"/>
    </w:rPr>
  </w:style>
  <w:style w:type="paragraph" w:styleId="P80">
    <w:name w:val="TOC 7"/>
    <w:basedOn w:val="P0"/>
    <w:next w:val="P0"/>
    <w:pPr>
      <w:ind w:left="1200"/>
    </w:pPr>
    <w:rPr>
      <w:lang w:val="en-GB"/>
    </w:rPr>
  </w:style>
  <w:style w:type="paragraph" w:styleId="P81">
    <w:name w:val="TOC 8"/>
    <w:basedOn w:val="P0"/>
    <w:next w:val="P0"/>
    <w:pPr>
      <w:ind w:left="1400"/>
    </w:pPr>
    <w:rPr>
      <w:lang w:val="en-GB"/>
    </w:rPr>
  </w:style>
  <w:style w:type="paragraph" w:styleId="P82">
    <w:name w:val="TOC 9"/>
    <w:basedOn w:val="P0"/>
    <w:next w:val="P0"/>
    <w:pPr>
      <w:ind w:left="1600"/>
    </w:pPr>
    <w:rPr>
      <w:lang w:val="en-GB"/>
    </w:rPr>
  </w:style>
  <w:style w:type="paragraph" w:styleId="P83">
    <w:name w:val="annotation text"/>
    <w:basedOn w:val="P0"/>
    <w:link w:val="C47"/>
    <w:semiHidden/>
    <w:pPr/>
    <w:rPr>
      <w:lang w:val="en-GB"/>
    </w:rPr>
  </w:style>
  <w:style w:type="paragraph" w:styleId="P84">
    <w:name w:val="annotation subject"/>
    <w:basedOn w:val="P83"/>
    <w:next w:val="P83"/>
    <w:link w:val="C49"/>
    <w:semiHidden/>
    <w:pPr/>
    <w:rPr>
      <w:b w:val="1"/>
      <w:bCs w:val="1"/>
    </w:rPr>
  </w:style>
  <w:style w:type="paragraph" w:styleId="P85">
    <w:name w:val="List"/>
    <w:basedOn w:val="P0"/>
    <w:semiHidden/>
    <w:pPr>
      <w:ind w:hanging="283" w:left="283"/>
    </w:pPr>
    <w:rPr>
      <w:lang w:val="en-GB"/>
    </w:rPr>
  </w:style>
  <w:style w:type="paragraph" w:styleId="P86">
    <w:name w:val="List 2"/>
    <w:basedOn w:val="P0"/>
    <w:semiHidden/>
    <w:pPr>
      <w:ind w:hanging="283" w:left="566"/>
    </w:pPr>
    <w:rPr>
      <w:lang w:val="en-GB"/>
    </w:rPr>
  </w:style>
  <w:style w:type="paragraph" w:styleId="P87">
    <w:name w:val="List 3"/>
    <w:basedOn w:val="P0"/>
    <w:semiHidden/>
    <w:pPr>
      <w:ind w:hanging="283" w:left="849"/>
    </w:pPr>
    <w:rPr>
      <w:lang w:val="en-GB"/>
    </w:rPr>
  </w:style>
  <w:style w:type="paragraph" w:styleId="P88">
    <w:name w:val="List 4"/>
    <w:basedOn w:val="P0"/>
    <w:semiHidden/>
    <w:pPr>
      <w:ind w:hanging="283" w:left="1132"/>
    </w:pPr>
    <w:rPr>
      <w:lang w:val="en-GB"/>
    </w:rPr>
  </w:style>
  <w:style w:type="paragraph" w:styleId="P89">
    <w:name w:val="List 5"/>
    <w:basedOn w:val="P0"/>
    <w:semiHidden/>
    <w:pPr>
      <w:ind w:hanging="283" w:left="1415"/>
    </w:pPr>
    <w:rPr>
      <w:lang w:val="en-GB"/>
    </w:rPr>
  </w:style>
  <w:style w:type="paragraph" w:styleId="P90">
    <w:name w:val="List Continue"/>
    <w:basedOn w:val="P0"/>
    <w:semiHidden/>
    <w:pPr>
      <w:spacing w:after="120" w:beforeAutospacing="0" w:afterAutospacing="0"/>
      <w:ind w:left="283"/>
    </w:pPr>
    <w:rPr>
      <w:lang w:val="en-GB"/>
    </w:rPr>
  </w:style>
  <w:style w:type="paragraph" w:styleId="P91">
    <w:name w:val="List Continue 2"/>
    <w:basedOn w:val="P0"/>
    <w:semiHidden/>
    <w:pPr>
      <w:spacing w:after="120" w:beforeAutospacing="0" w:afterAutospacing="0"/>
      <w:ind w:left="566"/>
    </w:pPr>
    <w:rPr>
      <w:lang w:val="en-GB"/>
    </w:rPr>
  </w:style>
  <w:style w:type="paragraph" w:styleId="P92">
    <w:name w:val="List Continue 3"/>
    <w:basedOn w:val="P0"/>
    <w:semiHidden/>
    <w:pPr>
      <w:spacing w:after="120" w:beforeAutospacing="0" w:afterAutospacing="0"/>
      <w:ind w:left="849"/>
    </w:pPr>
    <w:rPr>
      <w:lang w:val="en-GB"/>
    </w:rPr>
  </w:style>
  <w:style w:type="paragraph" w:styleId="P93">
    <w:name w:val="List Continue 4"/>
    <w:basedOn w:val="P0"/>
    <w:semiHidden/>
    <w:pPr>
      <w:spacing w:after="120" w:beforeAutospacing="0" w:afterAutospacing="0"/>
      <w:ind w:left="1132"/>
    </w:pPr>
    <w:rPr>
      <w:lang w:val="en-GB"/>
    </w:rPr>
  </w:style>
  <w:style w:type="paragraph" w:styleId="P94">
    <w:name w:val="List Continue 5"/>
    <w:basedOn w:val="P0"/>
    <w:semiHidden/>
    <w:pPr>
      <w:spacing w:after="120" w:beforeAutospacing="0" w:afterAutospacing="0"/>
      <w:ind w:left="1415"/>
    </w:pPr>
    <w:rPr>
      <w:lang w:val="en-GB"/>
    </w:rPr>
  </w:style>
  <w:style w:type="paragraph" w:styleId="P95">
    <w:name w:val="macro"/>
    <w:link w:val="C50"/>
    <w:semiHidden/>
    <w:pPr>
      <w:keepLines w:val="1"/>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pPr>
    <w:rPr>
      <w:rFonts w:ascii="Courier New" w:hAnsi="Courier New" w:cs="Courier New"/>
      <w:lang w:val="en-GB" w:eastAsia="sv-SE"/>
    </w:rPr>
  </w:style>
  <w:style w:type="paragraph" w:styleId="P96">
    <w:name w:val="Message Header"/>
    <w:basedOn w:val="P0"/>
    <w:link w:val="C51"/>
    <w:semiHidden/>
    <w:pPr>
      <w:pBdr>
        <w:top w:val="single" w:sz="6" w:space="1" w:shadow="0" w:frame="0" w:color="auto"/>
        <w:left w:val="single" w:sz="6" w:space="1" w:shadow="0" w:frame="0" w:color="auto"/>
        <w:bottom w:val="single" w:sz="6" w:space="1" w:shadow="0" w:frame="0" w:color="auto"/>
        <w:right w:val="single" w:sz="6" w:space="1" w:shadow="0" w:frame="0" w:color="auto"/>
        <w:between w:val="none" w:sz="0" w:space="0" w:shadow="0" w:frame="0" w:color="auto"/>
      </w:pBdr>
      <w:shd w:val="pct20" w:fill="auto"/>
      <w:ind w:hanging="1134" w:left="1134"/>
    </w:pPr>
    <w:rPr>
      <w:rFonts w:cs="Arial"/>
      <w:sz w:val="24"/>
      <w:lang w:val="en-GB"/>
    </w:rPr>
  </w:style>
  <w:style w:type="paragraph" w:styleId="P97">
    <w:name w:val="Normal (Web)"/>
    <w:basedOn w:val="P0"/>
    <w:semiHidden/>
    <w:pPr/>
    <w:rPr>
      <w:sz w:val="24"/>
    </w:rPr>
  </w:style>
  <w:style w:type="paragraph" w:styleId="P98">
    <w:name w:val="Normal Indent"/>
    <w:basedOn w:val="P0"/>
    <w:semiHidden/>
    <w:pPr>
      <w:ind w:left="1304"/>
    </w:pPr>
    <w:rPr/>
  </w:style>
  <w:style w:type="paragraph" w:styleId="P99">
    <w:name w:val="List Number"/>
    <w:basedOn w:val="P17"/>
    <w:qFormat/>
    <w:pPr>
      <w:numPr>
        <w:numId w:val="25"/>
      </w:numPr>
    </w:pPr>
    <w:rPr/>
  </w:style>
  <w:style w:type="paragraph" w:styleId="P100">
    <w:name w:val="List Number 2"/>
    <w:basedOn w:val="P0"/>
    <w:semiHidden/>
    <w:pPr>
      <w:numPr>
        <w:numId w:val="6"/>
      </w:numPr>
    </w:pPr>
    <w:rPr/>
  </w:style>
  <w:style w:type="paragraph" w:styleId="P101">
    <w:name w:val="List Number 3"/>
    <w:basedOn w:val="P0"/>
    <w:semiHidden/>
    <w:pPr>
      <w:numPr>
        <w:numId w:val="7"/>
      </w:numPr>
    </w:pPr>
    <w:rPr/>
  </w:style>
  <w:style w:type="paragraph" w:styleId="P102">
    <w:name w:val="List Number 4"/>
    <w:basedOn w:val="P0"/>
    <w:semiHidden/>
    <w:pPr>
      <w:numPr>
        <w:numId w:val="8"/>
      </w:numPr>
    </w:pPr>
    <w:rPr/>
  </w:style>
  <w:style w:type="paragraph" w:styleId="P103">
    <w:name w:val="List Number 5"/>
    <w:basedOn w:val="P0"/>
    <w:semiHidden/>
    <w:pPr>
      <w:numPr>
        <w:numId w:val="9"/>
      </w:numPr>
    </w:pPr>
    <w:rPr/>
  </w:style>
  <w:style w:type="paragraph" w:styleId="P104">
    <w:name w:val="Plain Text"/>
    <w:basedOn w:val="P0"/>
    <w:link w:val="C52"/>
    <w:semiHidden/>
    <w:pPr/>
    <w:rPr>
      <w:rFonts w:ascii="Courier New" w:hAnsi="Courier New" w:cs="Courier New"/>
    </w:rPr>
  </w:style>
  <w:style w:type="paragraph" w:styleId="P105">
    <w:name w:val="List Bullet 2"/>
    <w:basedOn w:val="P0"/>
    <w:semiHidden/>
    <w:pPr>
      <w:numPr>
        <w:numId w:val="11"/>
      </w:numPr>
    </w:pPr>
    <w:rPr/>
  </w:style>
  <w:style w:type="paragraph" w:styleId="P106">
    <w:name w:val="List Bullet 3"/>
    <w:basedOn w:val="P0"/>
    <w:semiHidden/>
    <w:pPr>
      <w:numPr>
        <w:numId w:val="12"/>
      </w:numPr>
    </w:pPr>
    <w:rPr/>
  </w:style>
  <w:style w:type="paragraph" w:styleId="P107">
    <w:name w:val="List Bullet 4"/>
    <w:basedOn w:val="P0"/>
    <w:semiHidden/>
    <w:pPr>
      <w:numPr>
        <w:numId w:val="13"/>
      </w:numPr>
    </w:pPr>
    <w:rPr/>
  </w:style>
  <w:style w:type="paragraph" w:styleId="P108">
    <w:name w:val="List Bullet 5"/>
    <w:basedOn w:val="P0"/>
    <w:semiHidden/>
    <w:pPr>
      <w:numPr>
        <w:numId w:val="14"/>
      </w:numPr>
    </w:pPr>
    <w:rPr/>
  </w:style>
  <w:style w:type="paragraph" w:styleId="P109">
    <w:name w:val="Title"/>
    <w:basedOn w:val="P0"/>
    <w:link w:val="C53"/>
    <w:semiHidden/>
    <w:pPr>
      <w:spacing w:before="240" w:after="60" w:beforeAutospacing="0" w:afterAutospacing="0"/>
      <w:jc w:val="center"/>
      <w:outlineLvl w:val="0"/>
    </w:pPr>
    <w:rPr>
      <w:rFonts w:cs="Arial"/>
      <w:b w:val="1"/>
      <w:bCs w:val="1"/>
      <w:sz w:val="32"/>
      <w:szCs w:val="32"/>
      <w:kern w:val="28"/>
    </w:rPr>
  </w:style>
  <w:style w:type="paragraph" w:styleId="P110">
    <w:name w:val="Rubrik nr 3"/>
    <w:next w:val="P0"/>
    <w:semiHidden/>
    <w:pPr>
      <w:keepNext w:val="1"/>
      <w:keepLines w:val="1"/>
      <w:spacing w:lineRule="atLeast" w:line="260" w:beforeAutospacing="0" w:afterAutospacing="0"/>
    </w:pPr>
    <w:rPr>
      <w:caps w:val="1"/>
      <w:szCs w:val="24"/>
      <w:spacing w:val="20"/>
      <w:lang w:val="sv-SE" w:eastAsia="sv-SE"/>
    </w:rPr>
  </w:style>
  <w:style w:type="paragraph" w:styleId="P111">
    <w:name w:val="Rubrik nr 4"/>
    <w:basedOn w:val="P0"/>
    <w:next w:val="P0"/>
    <w:semiHidden/>
    <w:pPr>
      <w:keepNext w:val="1"/>
      <w:spacing w:after="0" w:beforeAutospacing="0" w:afterAutospacing="0"/>
    </w:pPr>
    <w:rPr>
      <w:b w:val="1"/>
    </w:rPr>
  </w:style>
  <w:style w:type="paragraph" w:styleId="P112">
    <w:name w:val="Sidfot förstasidan"/>
    <w:semiHidden/>
    <w:pPr>
      <w:spacing w:lineRule="atLeast" w:line="300" w:after="0" w:beforeAutospacing="0" w:afterAutospacing="0"/>
    </w:pPr>
    <w:rPr>
      <w:rFonts w:asciiTheme="minorHAnsi" w:hAnsiTheme="minorHAnsi"/>
      <w:b w:val="1"/>
      <w:color w:val="auto"/>
      <w:sz w:val="32"/>
    </w:rPr>
  </w:style>
  <w:style w:type="paragraph" w:styleId="P113">
    <w:name w:val="Signature"/>
    <w:basedOn w:val="P0"/>
    <w:link w:val="C55"/>
    <w:semiHidden/>
    <w:pPr>
      <w:ind w:left="4252"/>
    </w:pPr>
    <w:rPr/>
  </w:style>
  <w:style w:type="paragraph" w:styleId="P114">
    <w:name w:val="Endnote Text"/>
    <w:basedOn w:val="P0"/>
    <w:link w:val="C56"/>
    <w:semiHidden/>
    <w:pPr/>
    <w:rPr/>
  </w:style>
  <w:style w:type="paragraph" w:styleId="P115">
    <w:name w:val="Framsida - Underrubrik"/>
    <w:basedOn w:val="P67"/>
    <w:pPr>
      <w:ind w:right="-23"/>
    </w:pPr>
    <w:rPr>
      <w:sz w:val="60"/>
      <w:szCs w:val="60"/>
    </w:rPr>
  </w:style>
  <w:style w:type="paragraph" w:styleId="P116">
    <w:name w:val="Dokumentinformation"/>
    <w:basedOn w:val="P0"/>
    <w:semiHidden/>
    <w:qFormat/>
    <w:pPr>
      <w:framePr w:hSpace="181" w:wrap="around" w:hAnchor="text" w:y="0" w:yAlign="bottom"/>
      <w:keepLines w:val="1"/>
      <w:spacing w:lineRule="atLeast" w:line="280" w:after="0" w:beforeAutospacing="0" w:afterAutospacing="0"/>
    </w:pPr>
    <w:rPr>
      <w:color w:val="000000"/>
      <w:sz w:val="18"/>
      <w:lang w:eastAsia="sv-SE"/>
    </w:rPr>
  </w:style>
  <w:style w:type="paragraph" w:styleId="P117">
    <w:name w:val="Kapitelrubrik"/>
    <w:basedOn w:val="P0"/>
    <w:pPr>
      <w:spacing w:lineRule="atLeast" w:line="640" w:after="0" w:beforeAutospacing="0" w:afterAutospacing="0"/>
    </w:pPr>
    <w:rPr>
      <w:rFonts w:asciiTheme="majorHAnsi" w:hAnsiTheme="majorHAnsi" w:cs="Arial"/>
      <w:b w:val="1"/>
      <w:bCs w:val="1"/>
      <w:color w:val="FFFFFF"/>
      <w:sz w:val="100"/>
      <w:szCs w:val="32"/>
      <w:kern w:val="32"/>
      <w:lang w:eastAsia="sv-SE"/>
    </w:rPr>
  </w:style>
  <w:style w:type="paragraph" w:styleId="P118">
    <w:name w:val="Caption"/>
    <w:basedOn w:val="P0"/>
    <w:next w:val="P0"/>
    <w:pPr>
      <w:spacing w:lineRule="auto" w:line="240" w:before="60" w:after="60" w:beforeAutospacing="0" w:afterAutospacing="0"/>
    </w:pPr>
    <w:rPr>
      <w:i w:val="1"/>
      <w:iCs w:val="1"/>
      <w:color w:val="auto"/>
      <w:sz w:val="18"/>
      <w:szCs w:val="18"/>
    </w:rPr>
  </w:style>
  <w:style w:type="paragraph" w:styleId="P119">
    <w:name w:val="Formatmall1 ny"/>
    <w:basedOn w:val="P109"/>
    <w:link w:val="C59"/>
    <w:qFormat/>
    <w:pPr>
      <w:tabs>
        <w:tab w:val="left" w:pos="2445" w:leader="none"/>
      </w:tabs>
    </w:pPr>
    <w:rPr>
      <w:b w:val="0"/>
      <w:sz w:val="54"/>
      <w:szCs w:val="54"/>
    </w:rPr>
  </w:style>
  <w:style w:type="paragraph" w:styleId="P120">
    <w:name w:val="[Inget styckeformat]"/>
    <w:pPr>
      <w:spacing w:lineRule="auto" w:line="288" w:after="0" w:beforeAutospacing="0" w:afterAutospacing="0"/>
      <w:jc w:val="left"/>
    </w:pPr>
    <w:rPr>
      <w:rFonts w:ascii="Times Regular" w:hAnsi="Times Regular" w:cs="Times Regular"/>
      <w:color w:val="000000"/>
      <w:sz w:val="24"/>
      <w:szCs w:val="24"/>
    </w:rPr>
  </w:style>
  <w:style w:type="paragraph" w:styleId="P121">
    <w:name w:val="Tema"/>
    <w:basedOn w:val="P1"/>
    <w:qFormat/>
    <w:pPr>
      <w:tabs>
        <w:tab w:val="clear" w:pos="567" w:leader="none"/>
      </w:tabs>
      <w:spacing w:lineRule="auto" w:line="259" w:before="360" w:after="367" w:beforeAutospacing="0" w:afterAutospacing="0"/>
      <w:ind w:hanging="431" w:left="431"/>
    </w:pPr>
    <w:rPr>
      <w:rFonts w:ascii="Arial" w:hAnsi="Arial" w:eastAsia="Arial"/>
      <w:b w:val="0"/>
      <w:bCs w:val="0"/>
      <w:caps w:val="1"/>
      <w:sz w:val="40"/>
      <w:szCs w:val="22"/>
      <w:u w:val="single"/>
    </w:rPr>
  </w:style>
  <w:style w:type="paragraph" w:styleId="P122">
    <w:name w:val="Grupp"/>
    <w:basedOn w:val="P2"/>
    <w:qFormat/>
    <w:pPr>
      <w:spacing w:lineRule="auto" w:line="259" w:before="0" w:after="51" w:beforeAutospacing="0" w:afterAutospacing="0"/>
      <w:ind w:hanging="463" w:left="576"/>
    </w:pPr>
    <w:rPr>
      <w:rFonts w:ascii="Arial" w:hAnsi="Arial" w:eastAsia="Arial"/>
      <w:bCs w:val="1"/>
      <w:iCs w:val="0"/>
      <w:caps w:val="1"/>
      <w:sz w:val="36"/>
      <w:szCs w:val="20"/>
    </w:rPr>
  </w:style>
  <w:style w:type="paragraph" w:styleId="P123">
    <w:name w:val="Undergrupp"/>
    <w:basedOn w:val="P3"/>
    <w:qFormat/>
    <w:pPr>
      <w:keepNext w:val="0"/>
      <w:spacing w:lineRule="auto" w:line="259" w:before="0" w:beforeAutospacing="0" w:afterAutospacing="0"/>
      <w:ind w:hanging="380" w:left="720"/>
      <w:jc w:val="left"/>
    </w:pPr>
    <w:rPr>
      <w:rFonts w:eastAsia="Arial"/>
      <w:b w:val="0"/>
      <w:bCs w:val="0"/>
      <w:caps w:val="1"/>
      <w:color w:val="000000"/>
      <w:szCs w:val="22"/>
      <w:lang w:eastAsia="sv-SE"/>
    </w:rPr>
  </w:style>
  <w:style w:type="character" w:styleId="C0" w:default="1">
    <w:name w:val="Default Paragraph Font"/>
    <w:semiHidden/>
    <w:rPr/>
  </w:style>
  <w:style w:type="character" w:styleId="C1">
    <w:name w:val="Line Number"/>
    <w:basedOn w:val="C0"/>
    <w:semiHidden/>
    <w:rPr>
      <w:lang w:val="en-GB"/>
    </w:rPr>
  </w:style>
  <w:style w:type="character" w:styleId="C2">
    <w:name w:val="Hyperlink"/>
    <w:rPr>
      <w:color w:val="3C3C3B"/>
      <w:u w:val="single"/>
      <w:lang w:val="en-GB"/>
    </w:rPr>
  </w:style>
  <w:style w:type="character" w:styleId="C3">
    <w:name w:val="Rubrik 1 Char"/>
    <w:link w:val="P1"/>
    <w:rPr>
      <w:rFonts w:asciiTheme="majorHAnsi" w:hAnsiTheme="majorHAnsi" w:cs="Arial"/>
      <w:b w:val="1"/>
      <w:bCs w:val="1"/>
      <w:color w:val="000000"/>
      <w:sz w:val="56"/>
      <w:szCs w:val="32"/>
      <w:kern w:val="32"/>
      <w:lang w:val="sv-SE" w:eastAsia="sv-SE"/>
    </w:rPr>
  </w:style>
  <w:style w:type="character" w:styleId="C4">
    <w:name w:val="Rubrik 2 Char"/>
    <w:link w:val="P2"/>
    <w:rPr>
      <w:rFonts w:asciiTheme="majorHAnsi" w:hAnsiTheme="majorHAnsi" w:cs="Arial"/>
      <w:b w:val="1"/>
      <w:iCs w:val="1"/>
      <w:color w:val="000000"/>
      <w:sz w:val="40"/>
      <w:szCs w:val="28"/>
      <w:kern w:val="32"/>
      <w:lang w:val="sv-SE" w:eastAsia="sv-SE"/>
    </w:rPr>
  </w:style>
  <w:style w:type="character" w:styleId="C5">
    <w:name w:val="Rubrik 3 Char"/>
    <w:link w:val="P3"/>
    <w:rPr>
      <w:rFonts w:cs="Arial"/>
      <w:b w:val="1"/>
      <w:bCs w:val="1"/>
      <w:sz w:val="28"/>
      <w:szCs w:val="26"/>
      <w:lang w:val="sv-SE"/>
    </w:rPr>
  </w:style>
  <w:style w:type="character" w:styleId="C6">
    <w:name w:val="Rubrik 4 Char"/>
    <w:link w:val="P4"/>
    <w:rPr>
      <w:b w:val="1"/>
      <w:bCs w:val="1"/>
      <w:szCs w:val="28"/>
      <w:lang w:val="sv-SE"/>
    </w:rPr>
  </w:style>
  <w:style w:type="character" w:styleId="C7">
    <w:name w:val="Rubrik 5 Char"/>
    <w:link w:val="P5"/>
    <w:semiHidden/>
    <w:rPr>
      <w:b w:val="1"/>
      <w:i w:val="1"/>
      <w:bCs w:val="1"/>
      <w:iCs w:val="1"/>
      <w:sz w:val="26"/>
      <w:szCs w:val="26"/>
      <w:lang w:val="sv-SE"/>
    </w:rPr>
  </w:style>
  <w:style w:type="character" w:styleId="C8">
    <w:name w:val="Rubrik 6 Char"/>
    <w:link w:val="P6"/>
    <w:semiHidden/>
    <w:rPr>
      <w:b w:val="1"/>
      <w:bCs w:val="1"/>
      <w:lang w:val="sv-SE"/>
    </w:rPr>
  </w:style>
  <w:style w:type="character" w:styleId="C9">
    <w:name w:val="Sidhuvud Char"/>
    <w:link w:val="P11"/>
    <w:rPr>
      <w:color w:val="3D3531" w:themeColor="accent1"/>
      <w:lang w:val="sv-SE"/>
    </w:rPr>
  </w:style>
  <w:style w:type="character" w:styleId="C10">
    <w:name w:val="Sidfot Char"/>
    <w:link w:val="P12"/>
    <w:rPr>
      <w:color w:val="3D3531" w:themeColor="accent1"/>
      <w:lang w:val="sv-SE"/>
    </w:rPr>
  </w:style>
  <w:style w:type="character" w:styleId="C11">
    <w:name w:val="Rubrik 7 Char"/>
    <w:basedOn w:val="C0"/>
    <w:link w:val="P7"/>
    <w:semiHidden/>
    <w:rPr>
      <w:lang w:val="sv-SE"/>
    </w:rPr>
  </w:style>
  <w:style w:type="character" w:styleId="C12">
    <w:name w:val="Rubrik 8 Char"/>
    <w:basedOn w:val="C0"/>
    <w:link w:val="P8"/>
    <w:semiHidden/>
    <w:rPr>
      <w:i w:val="1"/>
      <w:iCs w:val="1"/>
      <w:lang w:val="sv-SE"/>
    </w:rPr>
  </w:style>
  <w:style w:type="character" w:styleId="C13">
    <w:name w:val="Ballongtext Char"/>
    <w:basedOn w:val="C0"/>
    <w:link w:val="P24"/>
    <w:semiHidden/>
    <w:rPr>
      <w:rFonts w:ascii="Tahoma" w:hAnsi="Tahoma" w:cs="Tahoma"/>
      <w:color w:val="3C3C3B"/>
      <w:sz w:val="16"/>
      <w:szCs w:val="16"/>
      <w:lang w:val="en-GB" w:eastAsia="sv-SE"/>
    </w:rPr>
  </w:style>
  <w:style w:type="character" w:styleId="C14">
    <w:name w:val="Heading_1 No Char"/>
    <w:basedOn w:val="C0"/>
    <w:link w:val="P26"/>
    <w:rPr>
      <w:rFonts w:asciiTheme="majorHAnsi" w:hAnsiTheme="majorHAnsi" w:cs="Arial"/>
      <w:b w:val="1"/>
      <w:color w:val="000000"/>
      <w:sz w:val="56"/>
      <w:szCs w:val="36"/>
      <w:lang w:val="sv-SE"/>
    </w:rPr>
  </w:style>
  <w:style w:type="character" w:styleId="C15">
    <w:name w:val="Heading_2 No Char"/>
    <w:basedOn w:val="C0"/>
    <w:link w:val="P27"/>
    <w:rPr>
      <w:rFonts w:asciiTheme="majorHAnsi" w:hAnsiTheme="majorHAnsi" w:cs="Arial"/>
      <w:b w:val="1"/>
      <w:sz w:val="40"/>
      <w:szCs w:val="24"/>
      <w:lang w:val="sv-SE"/>
    </w:rPr>
  </w:style>
  <w:style w:type="character" w:styleId="C16">
    <w:name w:val="Heading_3 No Char"/>
    <w:basedOn w:val="C0"/>
    <w:link w:val="P28"/>
    <w:rPr>
      <w:rFonts w:cs="Arial"/>
      <w:b w:val="1"/>
      <w:bCs w:val="1"/>
      <w:sz w:val="28"/>
      <w:szCs w:val="26"/>
      <w:lang w:val="sv-SE"/>
    </w:rPr>
  </w:style>
  <w:style w:type="character" w:styleId="C17">
    <w:name w:val="Heading_4 No Char"/>
    <w:basedOn w:val="C0"/>
    <w:link w:val="P29"/>
    <w:semiHidden/>
    <w:rPr>
      <w:b w:val="1"/>
      <w:lang w:val="sv-SE"/>
    </w:rPr>
  </w:style>
  <w:style w:type="character" w:styleId="C18">
    <w:name w:val="Heading_5 No Char"/>
    <w:basedOn w:val="C0"/>
    <w:link w:val="P30"/>
    <w:semiHidden/>
    <w:rPr>
      <w:i w:val="1"/>
      <w:sz w:val="24"/>
      <w:lang w:val="en-GB"/>
    </w:rPr>
  </w:style>
  <w:style w:type="character" w:styleId="C19">
    <w:name w:val="Rubrik 9 Char"/>
    <w:basedOn w:val="C0"/>
    <w:link w:val="P9"/>
    <w:semiHidden/>
    <w:rPr>
      <w:rFonts w:asciiTheme="minorHAnsi" w:hAnsiTheme="minorHAnsi" w:cs="Arial"/>
      <w:color w:val="auto"/>
      <w:sz w:val="22"/>
      <w:szCs w:val="22"/>
    </w:rPr>
  </w:style>
  <w:style w:type="character" w:styleId="C20">
    <w:name w:val="Fotnotstext Char"/>
    <w:basedOn w:val="C0"/>
    <w:link w:val="P46"/>
    <w:semiHidden/>
    <w:rPr>
      <w:color w:val="3C3C3B"/>
      <w:sz w:val="19"/>
      <w:lang w:val="en-GB" w:eastAsia="sv-SE"/>
    </w:rPr>
  </w:style>
  <w:style w:type="character" w:styleId="C21">
    <w:name w:val="Footnote Reference"/>
    <w:semiHidden/>
    <w:rPr>
      <w:vertAlign w:val="superscript"/>
      <w:lang w:val="en-GB"/>
    </w:rPr>
  </w:style>
  <w:style w:type="character" w:styleId="C22">
    <w:name w:val="Anteckningsrubrik Char"/>
    <w:basedOn w:val="C0"/>
    <w:link w:val="P48"/>
    <w:semiHidden/>
    <w:rPr>
      <w:color w:val="3C3C3B"/>
      <w:sz w:val="19"/>
      <w:szCs w:val="19"/>
      <w:lang w:val="en-GB" w:eastAsia="sv-SE"/>
    </w:rPr>
  </w:style>
  <w:style w:type="character" w:styleId="C23">
    <w:name w:val="FollowedHyperlink"/>
    <w:semiHidden/>
    <w:rPr>
      <w:color w:val="800080"/>
      <w:u w:val="single"/>
      <w:lang w:val="en-GB"/>
    </w:rPr>
  </w:style>
  <w:style w:type="character" w:styleId="C24">
    <w:name w:val="Avslutande text Char"/>
    <w:basedOn w:val="C0"/>
    <w:link w:val="P49"/>
    <w:semiHidden/>
    <w:rPr>
      <w:color w:val="3C3C3B"/>
      <w:sz w:val="19"/>
      <w:szCs w:val="19"/>
      <w:lang w:val="en-GB" w:eastAsia="sv-SE"/>
    </w:rPr>
  </w:style>
  <w:style w:type="character" w:styleId="C25">
    <w:name w:val="Brödtext Char"/>
    <w:basedOn w:val="C0"/>
    <w:link w:val="P51"/>
    <w:semiHidden/>
    <w:rPr>
      <w:color w:val="3C3C3B"/>
      <w:sz w:val="19"/>
      <w:szCs w:val="19"/>
      <w:lang w:val="en-GB" w:eastAsia="sv-SE"/>
    </w:rPr>
  </w:style>
  <w:style w:type="character" w:styleId="C26">
    <w:name w:val="Brödtext 2 Char"/>
    <w:basedOn w:val="C0"/>
    <w:link w:val="P52"/>
    <w:semiHidden/>
    <w:rPr>
      <w:color w:val="3C3C3B"/>
      <w:sz w:val="19"/>
      <w:szCs w:val="19"/>
      <w:lang w:val="en-GB" w:eastAsia="sv-SE"/>
    </w:rPr>
  </w:style>
  <w:style w:type="character" w:styleId="C27">
    <w:name w:val="Brödtext 3 Char"/>
    <w:basedOn w:val="C0"/>
    <w:link w:val="P53"/>
    <w:semiHidden/>
    <w:rPr>
      <w:color w:val="3C3C3B"/>
      <w:sz w:val="16"/>
      <w:szCs w:val="16"/>
      <w:lang w:val="en-GB" w:eastAsia="sv-SE"/>
    </w:rPr>
  </w:style>
  <w:style w:type="character" w:styleId="C28">
    <w:name w:val="Brödtext med första indrag Char"/>
    <w:basedOn w:val="C25"/>
    <w:link w:val="P54"/>
    <w:semiHidden/>
    <w:rPr>
      <w:color w:val="3C3C3B"/>
      <w:sz w:val="19"/>
      <w:szCs w:val="19"/>
      <w:lang w:val="en-GB" w:eastAsia="sv-SE"/>
    </w:rPr>
  </w:style>
  <w:style w:type="character" w:styleId="C29">
    <w:name w:val="Brödtext med indrag Char"/>
    <w:basedOn w:val="C0"/>
    <w:link w:val="P55"/>
    <w:semiHidden/>
    <w:rPr>
      <w:color w:val="3C3C3B"/>
      <w:sz w:val="19"/>
      <w:szCs w:val="19"/>
      <w:lang w:val="en-GB" w:eastAsia="sv-SE"/>
    </w:rPr>
  </w:style>
  <w:style w:type="character" w:styleId="C30">
    <w:name w:val="Brödtext med första indrag 2 Char"/>
    <w:basedOn w:val="C29"/>
    <w:link w:val="P56"/>
    <w:semiHidden/>
    <w:rPr>
      <w:color w:val="3C3C3B"/>
      <w:sz w:val="19"/>
      <w:szCs w:val="19"/>
      <w:lang w:val="en-GB" w:eastAsia="sv-SE"/>
    </w:rPr>
  </w:style>
  <w:style w:type="character" w:styleId="C31">
    <w:name w:val="Brödtext med indrag 2 Char"/>
    <w:basedOn w:val="C0"/>
    <w:link w:val="P57"/>
    <w:semiHidden/>
    <w:rPr>
      <w:color w:val="3C3C3B"/>
      <w:sz w:val="19"/>
      <w:szCs w:val="19"/>
      <w:lang w:val="en-GB" w:eastAsia="sv-SE"/>
    </w:rPr>
  </w:style>
  <w:style w:type="character" w:styleId="C32">
    <w:name w:val="Brödtext med indrag 3 Char"/>
    <w:basedOn w:val="C0"/>
    <w:link w:val="P58"/>
    <w:semiHidden/>
    <w:rPr>
      <w:color w:val="3C3C3B"/>
      <w:sz w:val="16"/>
      <w:szCs w:val="16"/>
      <w:lang w:val="en-GB" w:eastAsia="sv-SE"/>
    </w:rPr>
  </w:style>
  <w:style w:type="character" w:styleId="C33">
    <w:name w:val="Datum Char"/>
    <w:basedOn w:val="C0"/>
    <w:link w:val="P61"/>
    <w:semiHidden/>
    <w:rPr>
      <w:color w:val="3C3C3B"/>
      <w:sz w:val="19"/>
      <w:szCs w:val="19"/>
      <w:lang w:val="en-GB" w:eastAsia="sv-SE"/>
    </w:rPr>
  </w:style>
  <w:style w:type="character" w:styleId="C34">
    <w:name w:val="Dokumentöversikt Char"/>
    <w:basedOn w:val="C0"/>
    <w:link w:val="P62"/>
    <w:semiHidden/>
    <w:rPr>
      <w:rFonts w:ascii="Tahoma" w:hAnsi="Tahoma" w:cs="Tahoma"/>
      <w:color w:val="3C3C3B"/>
      <w:sz w:val="19"/>
      <w:shd w:val="clear" w:color="auto" w:fill="000080"/>
      <w:lang w:val="en-GB" w:eastAsia="sv-SE"/>
    </w:rPr>
  </w:style>
  <w:style w:type="character" w:styleId="C35">
    <w:name w:val="E-postsignatur Char"/>
    <w:basedOn w:val="C0"/>
    <w:link w:val="P63"/>
    <w:semiHidden/>
    <w:rPr>
      <w:color w:val="3C3C3B"/>
      <w:sz w:val="19"/>
      <w:szCs w:val="19"/>
      <w:lang w:val="en-GB" w:eastAsia="sv-SE"/>
    </w:rPr>
  </w:style>
  <w:style w:type="character" w:styleId="C36">
    <w:name w:val="HTML - adress Char"/>
    <w:basedOn w:val="C0"/>
    <w:link w:val="P65"/>
    <w:semiHidden/>
    <w:rPr>
      <w:i w:val="1"/>
      <w:iCs w:val="1"/>
      <w:color w:val="3C3C3B"/>
      <w:sz w:val="19"/>
      <w:szCs w:val="19"/>
      <w:lang w:val="en-GB" w:eastAsia="sv-SE"/>
    </w:rPr>
  </w:style>
  <w:style w:type="character" w:styleId="C37">
    <w:name w:val="HTML Acronym"/>
    <w:semiHidden/>
    <w:rPr>
      <w:lang w:val="en-GB"/>
    </w:rPr>
  </w:style>
  <w:style w:type="character" w:styleId="C38">
    <w:name w:val="HTML Cite"/>
    <w:semiHidden/>
    <w:rPr>
      <w:i w:val="1"/>
      <w:iCs w:val="1"/>
      <w:lang w:val="en-GB"/>
    </w:rPr>
  </w:style>
  <w:style w:type="character" w:styleId="C39">
    <w:name w:val="HTML Definition"/>
    <w:semiHidden/>
    <w:rPr>
      <w:i w:val="1"/>
      <w:iCs w:val="1"/>
      <w:lang w:val="en-GB"/>
    </w:rPr>
  </w:style>
  <w:style w:type="character" w:styleId="C40">
    <w:name w:val="HTML Sample"/>
    <w:semiHidden/>
    <w:rPr>
      <w:rFonts w:ascii="Courier New" w:hAnsi="Courier New" w:cs="Courier New"/>
      <w:lang w:val="en-GB"/>
    </w:rPr>
  </w:style>
  <w:style w:type="character" w:styleId="C41">
    <w:name w:val="HTML - förformaterad Char"/>
    <w:basedOn w:val="C0"/>
    <w:link w:val="P66"/>
    <w:semiHidden/>
    <w:rPr>
      <w:rFonts w:ascii="Courier New" w:hAnsi="Courier New" w:cs="Courier New"/>
      <w:color w:val="3C3C3B"/>
      <w:sz w:val="19"/>
      <w:lang w:val="en-GB" w:eastAsia="sv-SE"/>
    </w:rPr>
  </w:style>
  <w:style w:type="character" w:styleId="C42">
    <w:name w:val="HTML Code"/>
    <w:semiHidden/>
    <w:rPr>
      <w:rFonts w:ascii="Courier New" w:hAnsi="Courier New" w:cs="Courier New"/>
      <w:sz w:val="20"/>
      <w:szCs w:val="20"/>
      <w:lang w:val="en-GB"/>
    </w:rPr>
  </w:style>
  <w:style w:type="character" w:styleId="C43">
    <w:name w:val="HTML Typewriter"/>
    <w:semiHidden/>
    <w:rPr>
      <w:rFonts w:ascii="Courier New" w:hAnsi="Courier New" w:cs="Courier New"/>
      <w:sz w:val="20"/>
      <w:szCs w:val="20"/>
      <w:lang w:val="en-GB"/>
    </w:rPr>
  </w:style>
  <w:style w:type="character" w:styleId="C44">
    <w:name w:val="HTML Keyboard"/>
    <w:semiHidden/>
    <w:rPr>
      <w:rFonts w:ascii="Courier New" w:hAnsi="Courier New" w:cs="Courier New"/>
      <w:sz w:val="20"/>
      <w:szCs w:val="20"/>
      <w:lang w:val="en-GB"/>
    </w:rPr>
  </w:style>
  <w:style w:type="character" w:styleId="C45">
    <w:name w:val="HTML Variable"/>
    <w:semiHidden/>
    <w:rPr>
      <w:i w:val="1"/>
      <w:iCs w:val="1"/>
      <w:lang w:val="en-GB"/>
    </w:rPr>
  </w:style>
  <w:style w:type="character" w:styleId="C46">
    <w:name w:val="Inledning Char"/>
    <w:basedOn w:val="C0"/>
    <w:link w:val="P79"/>
    <w:semiHidden/>
    <w:rPr>
      <w:color w:val="3C3C3B"/>
      <w:sz w:val="19"/>
      <w:szCs w:val="19"/>
      <w:lang w:val="en-GB" w:eastAsia="sv-SE"/>
    </w:rPr>
  </w:style>
  <w:style w:type="character" w:styleId="C47">
    <w:name w:val="Kommentarer Char"/>
    <w:basedOn w:val="C0"/>
    <w:link w:val="P83"/>
    <w:semiHidden/>
    <w:rPr>
      <w:color w:val="3C3C3B"/>
      <w:sz w:val="19"/>
      <w:lang w:val="en-GB" w:eastAsia="sv-SE"/>
    </w:rPr>
  </w:style>
  <w:style w:type="character" w:styleId="C48">
    <w:name w:val="annotation reference"/>
    <w:semiHidden/>
    <w:rPr>
      <w:sz w:val="16"/>
      <w:szCs w:val="16"/>
      <w:lang w:val="en-GB"/>
    </w:rPr>
  </w:style>
  <w:style w:type="character" w:styleId="C49">
    <w:name w:val="Kommentarsämne Char"/>
    <w:basedOn w:val="C47"/>
    <w:link w:val="P84"/>
    <w:semiHidden/>
    <w:rPr>
      <w:b w:val="1"/>
      <w:bCs w:val="1"/>
      <w:color w:val="3C3C3B"/>
      <w:sz w:val="19"/>
      <w:lang w:val="en-GB" w:eastAsia="sv-SE"/>
    </w:rPr>
  </w:style>
  <w:style w:type="character" w:styleId="C50">
    <w:name w:val="Makrotext Char"/>
    <w:basedOn w:val="C0"/>
    <w:link w:val="P95"/>
    <w:semiHidden/>
    <w:rPr>
      <w:rFonts w:ascii="Courier New" w:hAnsi="Courier New" w:cs="Courier New"/>
      <w:color w:val="3C3C3B"/>
      <w:sz w:val="19"/>
      <w:szCs w:val="19"/>
      <w:lang w:val="en-GB" w:eastAsia="sv-SE"/>
    </w:rPr>
  </w:style>
  <w:style w:type="character" w:styleId="C51">
    <w:name w:val="Meddelanderubrik Char"/>
    <w:basedOn w:val="C0"/>
    <w:link w:val="P96"/>
    <w:semiHidden/>
    <w:rPr>
      <w:rFonts w:cs="Arial"/>
      <w:color w:val="3C3C3B"/>
      <w:sz w:val="24"/>
      <w:szCs w:val="19"/>
      <w:shd w:val="pct20" w:color="auto" w:fill="auto"/>
      <w:lang w:val="en-GB" w:eastAsia="sv-SE"/>
    </w:rPr>
  </w:style>
  <w:style w:type="character" w:styleId="C52">
    <w:name w:val="Oformaterad text Char"/>
    <w:basedOn w:val="C0"/>
    <w:link w:val="P104"/>
    <w:semiHidden/>
    <w:rPr>
      <w:rFonts w:ascii="Courier New" w:hAnsi="Courier New" w:cs="Courier New"/>
      <w:color w:val="3C3C3B"/>
      <w:sz w:val="19"/>
      <w:lang w:val="sv-SE" w:eastAsia="sv-SE"/>
    </w:rPr>
  </w:style>
  <w:style w:type="character" w:styleId="C53">
    <w:name w:val="Rubrik Char"/>
    <w:basedOn w:val="C0"/>
    <w:link w:val="P109"/>
    <w:semiHidden/>
    <w:rPr>
      <w:rFonts w:asciiTheme="minorHAnsi" w:hAnsiTheme="minorHAnsi" w:cs="Arial"/>
      <w:b w:val="1"/>
      <w:bCs w:val="1"/>
      <w:color w:val="auto"/>
      <w:sz w:val="32"/>
      <w:szCs w:val="32"/>
      <w:kern w:val="28"/>
    </w:rPr>
  </w:style>
  <w:style w:type="character" w:styleId="C54">
    <w:name w:val="Page Number"/>
    <w:semiHidden/>
    <w:rPr>
      <w:color w:val="auto"/>
      <w:lang w:val="sv-SE"/>
    </w:rPr>
  </w:style>
  <w:style w:type="character" w:styleId="C55">
    <w:name w:val="Signatur Char"/>
    <w:basedOn w:val="C0"/>
    <w:link w:val="P113"/>
    <w:semiHidden/>
    <w:rPr>
      <w:color w:val="3C3C3B"/>
      <w:sz w:val="19"/>
      <w:szCs w:val="19"/>
      <w:lang w:val="sv-SE" w:eastAsia="sv-SE"/>
    </w:rPr>
  </w:style>
  <w:style w:type="character" w:styleId="C56">
    <w:name w:val="Slutnotstext Char"/>
    <w:basedOn w:val="C0"/>
    <w:link w:val="P114"/>
    <w:semiHidden/>
    <w:rPr>
      <w:color w:val="3C3C3B"/>
      <w:sz w:val="19"/>
      <w:lang w:val="sv-SE" w:eastAsia="sv-SE"/>
    </w:rPr>
  </w:style>
  <w:style w:type="character" w:styleId="C57">
    <w:name w:val="Endnote Reference"/>
    <w:semiHidden/>
    <w:rPr>
      <w:vertAlign w:val="superscript"/>
      <w:lang w:val="en-GB"/>
    </w:rPr>
  </w:style>
  <w:style w:type="character" w:styleId="C58">
    <w:name w:val="Strong"/>
    <w:semiHidden/>
    <w:rPr>
      <w:b w:val="1"/>
      <w:bCs w:val="1"/>
      <w:color w:val="auto"/>
    </w:rPr>
  </w:style>
  <w:style w:type="character" w:styleId="C59">
    <w:name w:val="Formatmall1 ny Char"/>
    <w:basedOn w:val="C0"/>
    <w:link w:val="P119"/>
    <w:rPr>
      <w:rFonts w:cs="Arial"/>
      <w:bCs w:val="1"/>
      <w:sz w:val="54"/>
      <w:szCs w:val="54"/>
      <w:kern w:val="28"/>
      <w:lang w:val="sv-SE"/>
    </w:rPr>
  </w:style>
  <w:style w:type="character" w:styleId="C60">
    <w:name w:val="Emphasis"/>
    <w:basedOn w:val="C0"/>
    <w:qFormat/>
    <w:rPr>
      <w:i w:val="1"/>
      <w:iCs w:val="1"/>
    </w:rPr>
  </w:style>
  <w:style w:type="character" w:styleId="C61">
    <w:name w:val="text som tas bort - grå"/>
    <w:rPr>
      <w:rFonts w:ascii="AGaramond Regular" w:hAnsi="AGaramond Regular" w:cs="AGaramond Regular"/>
      <w:u w:val="thick" w:color="000000"/>
      <w:lang w:val="sv-SE"/>
    </w:rPr>
  </w:style>
  <w:style w:type="character" w:styleId="C62">
    <w:name w:val="Unresolved Mention1"/>
    <w:basedOn w:val="C0"/>
    <w:semiHidden/>
    <w:rPr>
      <w:color w:val="605E5C"/>
      <w:shd w:val="clear" w:color="auto" w:fill="E1DFDD"/>
    </w:rPr>
  </w:style>
  <w:style w:type="character" w:styleId="C63">
    <w:name w:val="Footnote Text Char"/>
    <w:semiHidden/>
    <w:rPr>
      <w:sz w:val="20"/>
      <w:szCs w:val="20"/>
    </w:rPr>
  </w:style>
  <w:style w:type="character" w:styleId="C64">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semiHidden/>
    <w:pPr>
      <w:keepLines w:val="1"/>
    </w:pPr>
    <w:rPr>
      <w:lang w:val="sv-SE" w:eastAsia="sv-SE"/>
    </w:rPr>
    <w:tblPr>
      <w:tblBorders>
        <w:top w:val="single" w:sz="12" w:space="0" w:shadow="0" w:frame="0" w:color="008000"/>
        <w:bottom w:val="single" w:sz="12" w:space="0" w:shadow="0" w:frame="0" w:color="008000"/>
      </w:tblBorders>
    </w:tblPr>
    <w:trPr/>
    <w:tcPr>
      <w:shd w:val="clear" w:color="auto" w:fill="auto"/>
    </w:tcPr>
    <w:tblStylePr w:type="lastRow">
      <w:tblPr/>
      <w:trPr/>
      <w:tcPr>
        <w:tcBorders>
          <w:top w:val="single" w:sz="6" w:space="0" w:shadow="0" w:frame="0" w:color="008000"/>
        </w:tcBorders>
      </w:tcPr>
    </w:tblStylePr>
    <w:tblStylePr w:type="firstRow">
      <w:tblPr/>
      <w:trPr/>
      <w:tcPr>
        <w:tcBorders>
          <w:bottom w:val="single" w:sz="6" w:space="0" w:shadow="0" w:frame="0" w:color="008000"/>
        </w:tcBorders>
      </w:tcPr>
    </w:tblStylePr>
  </w:style>
  <w:style w:type="table" w:styleId="T2">
    <w:name w:val="Table Grid"/>
    <w:basedOn w:val="T0"/>
    <w:pPr>
      <w:keepLines w:val="1"/>
      <w:spacing w:after="0" w:beforeAutospacing="0" w:afterAutospacing="0"/>
    </w:pPr>
    <w:rPr>
      <w:lang w:val="sv-SE" w:eastAsia="sv-SE"/>
    </w:rPr>
    <w:tblPr>
      <w:tblCellMar>
        <w:top w:w="113" w:type="dxa"/>
        <w:left w:w="170" w:type="dxa"/>
        <w:bottom w:w="113" w:type="dxa"/>
        <w:right w:w="170" w:type="dxa"/>
      </w:tblCellMar>
    </w:tblPr>
    <w:trPr/>
    <w:tcPr/>
  </w:style>
  <w:style w:type="table" w:styleId="T3">
    <w:name w:val="Grid Table 4 Accent 1"/>
    <w:basedOn w:val="T0"/>
    <w:pPr>
      <w:spacing w:lineRule="auto" w:line="240" w:after="0" w:beforeAutospacing="0" w:afterAutospacing="0"/>
    </w:pPr>
    <w:tblPr>
      <w:tblStyleRowBandSize w:val="1"/>
      <w:tblStyleColBandSize w:val="1"/>
      <w:tblBorders>
        <w:top w:val="single" w:sz="4" w:space="0" w:shadow="0" w:frame="0" w:color="94837A" w:themeColor="accent1" w:themeTint="99"/>
        <w:left w:val="single" w:sz="4" w:space="0" w:shadow="0" w:frame="0" w:color="94837A" w:themeColor="accent1" w:themeTint="99"/>
        <w:bottom w:val="single" w:sz="4" w:space="0" w:shadow="0" w:frame="0" w:color="94837A" w:themeColor="accent1" w:themeTint="99"/>
        <w:right w:val="single" w:sz="4" w:space="0" w:shadow="0" w:frame="0" w:color="94837A" w:themeColor="accent1" w:themeTint="99"/>
        <w:insideH w:val="single" w:sz="4" w:space="0" w:shadow="0" w:frame="0" w:color="94837A" w:themeColor="accent1" w:themeTint="99"/>
        <w:insideV w:val="single" w:sz="4" w:space="0" w:shadow="0" w:frame="0" w:color="94837A" w:themeColor="accent1" w:themeTint="99"/>
      </w:tblBorders>
    </w:tblPr>
    <w:trPr/>
    <w:tcPr/>
    <w:tblStylePr w:type="band1Horz">
      <w:tblPr/>
      <w:trPr/>
      <w:tcPr>
        <w:shd w:val="clear" w:color="auto" w:fill="DBD6D3" w:themeFill="accent1" w:themeFillTint="32"/>
      </w:tcPr>
    </w:tblStylePr>
    <w:tblStylePr w:type="band1Vert">
      <w:tblPr/>
      <w:trPr/>
      <w:tcPr>
        <w:shd w:val="clear" w:color="auto" w:fill="DBD6D3" w:themeFill="accent1" w:themeFillTint="3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3D3531" w:themeColor="accent1"/>
        </w:tcBorders>
      </w:tcPr>
    </w:tblStylePr>
    <w:tblStylePr w:type="firstRow">
      <w:rPr>
        <w:b w:val="1"/>
        <w:bCs w:val="1"/>
        <w:color w:val="FFFFFF" w:themeColor="background1"/>
      </w:rPr>
      <w:tblPr/>
      <w:trPr/>
      <w:tcPr>
        <w:tcBorders>
          <w:top w:val="single" w:sz="4" w:space="0" w:shadow="0" w:frame="0" w:color="3D3531" w:themeColor="accent1"/>
          <w:left w:val="single" w:sz="4" w:space="0" w:shadow="0" w:frame="0" w:color="3D3531" w:themeColor="accent1"/>
          <w:bottom w:val="single" w:sz="4" w:space="0" w:shadow="0" w:frame="0" w:color="3D3531" w:themeColor="accent1"/>
          <w:right w:val="single" w:sz="4" w:space="0" w:shadow="0" w:frame="0" w:color="3D3531" w:themeColor="accent1"/>
          <w:insideH w:val="nil"/>
          <w:insideV w:val="nil"/>
        </w:tcBorders>
        <w:shd w:val="clear" w:color="auto" w:fill="3D3531" w:themeFill="accent1"/>
      </w:tcPr>
    </w:tblStylePr>
  </w:style>
  <w:style w:type="table" w:styleId="T4">
    <w:name w:val="Grid Table 4 Accent 2"/>
    <w:aliases w:val="Gränges - Blue"/>
    <w:basedOn w:val="T0"/>
    <w:tblPr>
      <w:tblStyleRowBandSize w:val="1"/>
      <w:tblStyleColBandSize w:val="1"/>
      <w:tblBorders>
        <w:top w:val="single" w:sz="4" w:space="0" w:shadow="0" w:frame="0" w:color="01FFD9" w:themeColor="accent2" w:themeTint="99"/>
        <w:left w:val="single" w:sz="4" w:space="0" w:shadow="0" w:frame="0" w:color="01FFD9" w:themeColor="accent2" w:themeTint="99"/>
        <w:bottom w:val="single" w:sz="4" w:space="0" w:shadow="0" w:frame="0" w:color="01FFD9" w:themeColor="accent2" w:themeTint="99"/>
        <w:right w:val="single" w:sz="4" w:space="0" w:shadow="0" w:frame="0" w:color="01FFD9" w:themeColor="accent2" w:themeTint="99"/>
        <w:insideH w:val="single" w:sz="4" w:space="0" w:shadow="0" w:frame="0" w:color="01FFD9" w:themeColor="accent2" w:themeTint="99"/>
        <w:insideV w:val="single" w:sz="4" w:space="0" w:shadow="0" w:frame="0" w:color="01FFD9" w:themeColor="accent2" w:themeTint="99"/>
      </w:tblBorders>
    </w:tblPr>
    <w:trPr/>
    <w:tcPr/>
    <w:tblStylePr w:type="band1Horz">
      <w:tblPr/>
      <w:trPr/>
      <w:tcPr>
        <w:shd w:val="clear" w:color="auto" w:fill="AAFFF2" w:themeFill="accent2" w:themeFillTint="32"/>
      </w:tcPr>
    </w:tblStylePr>
    <w:tblStylePr w:type="band1Vert">
      <w:tblPr/>
      <w:trPr/>
      <w:tcPr>
        <w:shd w:val="clear" w:color="auto" w:fill="AAFFF2" w:themeFill="accent2" w:themeFillTint="3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00574A" w:themeColor="accent2"/>
        </w:tcBorders>
      </w:tcPr>
    </w:tblStylePr>
    <w:tblStylePr w:type="firstRow">
      <w:rPr>
        <w:b w:val="1"/>
        <w:bCs w:val="1"/>
        <w:color w:val="FFFFFF" w:themeColor="background1"/>
      </w:rPr>
      <w:tblPr/>
      <w:trPr/>
      <w:tcPr>
        <w:tcBorders>
          <w:top w:val="single" w:sz="4" w:space="0" w:shadow="0" w:frame="0" w:color="00574A" w:themeColor="accent2"/>
          <w:left w:val="single" w:sz="4" w:space="0" w:shadow="0" w:frame="0" w:color="00574A" w:themeColor="accent2"/>
          <w:bottom w:val="single" w:sz="4" w:space="0" w:shadow="0" w:frame="0" w:color="00574A" w:themeColor="accent2"/>
          <w:right w:val="single" w:sz="4" w:space="0" w:shadow="0" w:frame="0" w:color="00574A" w:themeColor="accent2"/>
          <w:insideH w:val="nil"/>
          <w:insideV w:val="nil"/>
        </w:tcBorders>
        <w:shd w:val="clear" w:color="auto" w:fill="00574A" w:themeFill="accent2"/>
      </w:tcPr>
    </w:tblStylePr>
  </w:style>
  <w:style w:type="table" w:styleId="T5">
    <w:name w:val="Grid Table Light"/>
    <w:aliases w:val="Gränges - No border"/>
    <w:basedOn w:val="T0"/>
    <w:tblPr>
      <w:tblBorders>
        <w:top w:val="single" w:sz="4" w:space="0" w:shadow="0" w:frame="0" w:color="BFBFBF" w:themeColor="background1" w:themeShade="BF"/>
        <w:left w:val="single" w:sz="4" w:space="0" w:shadow="0" w:frame="0" w:color="BFBFBF" w:themeColor="background1" w:themeShade="BF"/>
        <w:bottom w:val="single" w:sz="4" w:space="0" w:shadow="0" w:frame="0" w:color="BFBFBF" w:themeColor="background1" w:themeShade="BF"/>
        <w:right w:val="single" w:sz="4" w:space="0" w:shadow="0" w:frame="0" w:color="BFBFBF" w:themeColor="background1" w:themeShade="BF"/>
        <w:insideH w:val="single" w:sz="4" w:space="0" w:shadow="0" w:frame="0" w:color="BFBFBF" w:themeColor="background1" w:themeShade="BF"/>
        <w:insideV w:val="single" w:sz="4" w:space="0" w:shadow="0" w:frame="0" w:color="BFBFBF" w:themeColor="background1" w:themeShade="BF"/>
      </w:tblBorders>
    </w:tblPr>
    <w:trPr/>
    <w:tcPr/>
  </w:style>
  <w:style w:type="table" w:styleId="T6">
    <w:name w:val="Table Subtle 1"/>
    <w:basedOn w:val="T0"/>
    <w:semiHidden/>
    <w:pPr>
      <w:keepLines w:val="1"/>
    </w:pPr>
    <w:rPr>
      <w:lang w:val="sv-SE" w:eastAsia="sv-SE"/>
    </w:rPr>
    <w:tblPr>
      <w:tblStyleRowBandSize w:val="1"/>
    </w:tblPr>
    <w:trPr/>
    <w:tcPr/>
    <w:tblStylePr w:type="swCell">
      <w:rPr>
        <w:b w:val="1"/>
        <w:bCs w:val="1"/>
      </w:rPr>
      <w:tblPr/>
      <w:trPr/>
      <w:tcPr/>
    </w:tblStylePr>
    <w:tblStylePr w:type="neCell">
      <w:rPr>
        <w:b w:val="1"/>
        <w:bCs w:val="1"/>
      </w:rPr>
      <w:tblPr/>
      <w:trPr/>
      <w:tcPr/>
    </w:tblStylePr>
    <w:tblStylePr w:type="band1Horz">
      <w:tblPr/>
      <w:trPr/>
      <w:tcPr>
        <w:tcBorders>
          <w:bottom w:val="single" w:sz="6" w:space="0" w:shadow="0" w:frame="0" w:color="000000"/>
        </w:tcBorders>
        <w:shd w:val="pct25" w:color="808000" w:fill="FFFFFF"/>
      </w:tcPr>
    </w:tblStylePr>
    <w:tblStylePr w:type="lastCol">
      <w:tblPr/>
      <w:trPr/>
      <w:tcPr>
        <w:tcBorders>
          <w:left w:val="single" w:sz="12" w:space="0" w:shadow="0" w:frame="0" w:color="000000"/>
        </w:tcBorders>
      </w:tcPr>
    </w:tblStylePr>
    <w:tblStylePr w:type="firstCol">
      <w:tblPr/>
      <w:trPr/>
      <w:tcPr>
        <w:tcBorders>
          <w:right w:val="single" w:sz="12" w:space="0" w:shadow="0" w:frame="0" w:color="000000"/>
        </w:tcBorders>
      </w:tcPr>
    </w:tblStylePr>
    <w:tblStylePr w:type="lastRow">
      <w:tblPr/>
      <w:trPr/>
      <w:tcPr>
        <w:tcBorders>
          <w:top w:val="single" w:sz="12" w:space="0" w:shadow="0" w:frame="0" w:color="000000"/>
        </w:tcBorders>
        <w:shd w:val="pct25" w:color="800080" w:fill="FFFFFF"/>
      </w:tcPr>
    </w:tblStylePr>
    <w:tblStylePr w:type="firstRow">
      <w:tblPr/>
      <w:trPr/>
      <w:tcPr>
        <w:tcBorders>
          <w:top w:val="single" w:sz="6" w:space="0" w:shadow="0" w:frame="0" w:color="000000"/>
          <w:bottom w:val="single" w:sz="12" w:space="0" w:shadow="0" w:frame="0" w:color="000000"/>
        </w:tcBorders>
      </w:tcPr>
    </w:tblStylePr>
  </w:style>
  <w:style w:type="table" w:styleId="T7">
    <w:name w:val="Table Subtle 2"/>
    <w:basedOn w:val="T0"/>
    <w:semiHidden/>
    <w:pPr>
      <w:keepLines w:val="1"/>
    </w:pPr>
    <w:rPr>
      <w:lang w:val="sv-SE" w:eastAsia="sv-SE"/>
    </w:rPr>
    <w:tblPr>
      <w:tblBorders>
        <w:left w:val="single" w:sz="6" w:space="0" w:shadow="0" w:frame="0" w:color="000000"/>
        <w:right w:val="single" w:sz="6" w:space="0" w:shadow="0" w:frame="0" w:color="000000"/>
      </w:tblBorders>
    </w:tblPr>
    <w:trPr/>
    <w:tcPr/>
    <w:tblStylePr w:type="swCell">
      <w:rPr>
        <w:b w:val="1"/>
        <w:bCs w:val="1"/>
      </w:rPr>
      <w:tblPr/>
      <w:trPr/>
      <w:tcPr/>
    </w:tblStylePr>
    <w:tblStylePr w:type="neCell">
      <w:rPr>
        <w:b w:val="1"/>
        <w:bCs w:val="1"/>
      </w:rPr>
      <w:tblPr/>
      <w:trPr/>
      <w:tcPr/>
    </w:tblStylePr>
    <w:tblStylePr w:type="lastCol">
      <w:tblPr/>
      <w:trPr/>
      <w:tcPr>
        <w:tcBorders>
          <w:left w:val="single" w:sz="12" w:space="0" w:shadow="0" w:frame="0" w:color="000000"/>
        </w:tcBorders>
        <w:shd w:val="pct25" w:color="808000" w:fill="FFFFFF"/>
      </w:tcPr>
    </w:tblStylePr>
    <w:tblStylePr w:type="firstCol">
      <w:tblPr/>
      <w:trPr/>
      <w:tcPr>
        <w:tcBorders>
          <w:right w:val="single" w:sz="12" w:space="0" w:shadow="0" w:frame="0" w:color="000000"/>
        </w:tcBorders>
        <w:shd w:val="pct25" w:color="008000" w:fill="FFFFFF"/>
      </w:tcPr>
    </w:tblStylePr>
    <w:tblStylePr w:type="lastRow">
      <w:tblPr/>
      <w:trPr/>
      <w:tcPr>
        <w:tcBorders>
          <w:top w:val="single" w:sz="12" w:space="0" w:shadow="0" w:frame="0" w:color="000000"/>
        </w:tcBorders>
      </w:tcPr>
    </w:tblStylePr>
    <w:tblStylePr w:type="firstRow">
      <w:tblPr/>
      <w:trPr/>
      <w:tcPr>
        <w:tcBorders>
          <w:bottom w:val="single" w:sz="12" w:space="0" w:shadow="0" w:frame="0" w:color="000000"/>
        </w:tcBorders>
      </w:tcPr>
    </w:tblStylePr>
  </w:style>
  <w:style w:type="table" w:styleId="T8">
    <w:name w:val="Table Elegant"/>
    <w:basedOn w:val="T0"/>
    <w:semiHidden/>
    <w:pPr>
      <w:keepLines w:val="1"/>
    </w:pPr>
    <w:rPr>
      <w:lang w:val="sv-SE" w:eastAsia="sv-SE"/>
    </w:rPr>
    <w:tblPr>
      <w:tblBorders>
        <w:top w:val="double" w:sz="6" w:space="0" w:shadow="0" w:frame="0" w:color="000000"/>
        <w:left w:val="double" w:sz="6" w:space="0" w:shadow="0" w:frame="0" w:color="000000"/>
        <w:bottom w:val="double" w:sz="6" w:space="0" w:shadow="0" w:frame="0" w:color="000000"/>
        <w:right w:val="double" w:sz="6" w:space="0" w:shadow="0" w:frame="0" w:color="000000"/>
        <w:insideH w:val="single" w:sz="6" w:space="0" w:shadow="0" w:frame="0" w:color="000000"/>
        <w:insideV w:val="single" w:sz="6" w:space="0" w:shadow="0" w:frame="0" w:color="000000"/>
      </w:tblBorders>
    </w:tblPr>
    <w:trPr/>
    <w:tcPr>
      <w:shd w:val="clear" w:color="auto" w:fill="auto"/>
    </w:tcPr>
    <w:tblStylePr w:type="firstRow">
      <w:rPr>
        <w:caps w:val="1"/>
        <w:color w:val="auto"/>
      </w:rPr>
      <w:tblPr/>
      <w:trPr/>
      <w:tcPr/>
    </w:tblStylePr>
  </w:style>
  <w:style w:type="table" w:styleId="T9">
    <w:name w:val="Table Simple 2"/>
    <w:basedOn w:val="T0"/>
    <w:semiHidden/>
    <w:pPr>
      <w:keepLines w:val="1"/>
    </w:pPr>
    <w:rPr>
      <w:lang w:val="sv-SE" w:eastAsia="sv-SE"/>
    </w:rPr>
    <w:tblPr/>
    <w:trPr/>
    <w:tcPr/>
    <w:tblStylePr w:type="swCell">
      <w:rPr>
        <w:b w:val="1"/>
        <w:bCs w:val="1"/>
      </w:rPr>
      <w:tblPr/>
      <w:trPr/>
      <w:tcPr/>
    </w:tblStylePr>
    <w:tblStylePr w:type="neCell">
      <w:rPr>
        <w:b w:val="1"/>
        <w:bCs w:val="1"/>
      </w:rPr>
      <w:tblPr/>
      <w:trPr/>
      <w:tcPr/>
    </w:tblStylePr>
    <w:tblStylePr w:type="lastCol">
      <w:rPr>
        <w:b w:val="1"/>
        <w:bCs w:val="1"/>
      </w:rPr>
      <w:tblPr/>
      <w:trPr/>
      <w:tcPr>
        <w:tcBorders>
          <w:left w:val="single" w:sz="6" w:space="0" w:shadow="0" w:frame="0" w:color="000000"/>
        </w:tcBorders>
      </w:tcPr>
    </w:tblStylePr>
    <w:tblStylePr w:type="firstCol">
      <w:rPr>
        <w:b w:val="1"/>
        <w:bCs w:val="1"/>
      </w:rPr>
      <w:tblPr/>
      <w:trPr/>
      <w:tcPr>
        <w:tcBorders>
          <w:right w:val="single" w:sz="12" w:space="0" w:shadow="0" w:frame="0" w:color="000000"/>
        </w:tcBorders>
      </w:tcPr>
    </w:tblStylePr>
    <w:tblStylePr w:type="lastRow">
      <w:rPr>
        <w:b w:val="1"/>
        <w:bCs w:val="1"/>
        <w:color w:val="auto"/>
      </w:rPr>
      <w:tblPr/>
      <w:trPr/>
      <w:tcPr>
        <w:tcBorders>
          <w:top w:val="single" w:sz="6" w:space="0" w:shadow="0" w:frame="0" w:color="000000"/>
        </w:tcBorders>
      </w:tcPr>
    </w:tblStylePr>
    <w:tblStylePr w:type="firstRow">
      <w:rPr>
        <w:b w:val="1"/>
        <w:bCs w:val="1"/>
      </w:rPr>
      <w:tblPr/>
      <w:trPr/>
      <w:tcPr>
        <w:tcBorders>
          <w:bottom w:val="single" w:sz="12" w:space="0" w:shadow="0" w:frame="0" w:color="000000"/>
        </w:tcBorders>
      </w:tcPr>
    </w:tblStylePr>
  </w:style>
  <w:style w:type="table" w:styleId="T10">
    <w:name w:val="Table Simple 3"/>
    <w:basedOn w:val="T0"/>
    <w:semiHidden/>
    <w:pPr>
      <w:keepLines w:val="1"/>
    </w:pPr>
    <w:rPr>
      <w:lang w:val="sv-SE" w:eastAsia="sv-SE"/>
    </w:rPr>
    <w:tblPr>
      <w:tblBorders>
        <w:top w:val="single" w:sz="12" w:space="0" w:shadow="0" w:frame="0" w:color="000000"/>
        <w:left w:val="single" w:sz="12" w:space="0" w:shadow="0" w:frame="0" w:color="000000"/>
        <w:bottom w:val="single" w:sz="12" w:space="0" w:shadow="0" w:frame="0" w:color="000000"/>
        <w:right w:val="single" w:sz="12" w:space="0" w:shadow="0" w:frame="0" w:color="000000"/>
      </w:tblBorders>
    </w:tblPr>
    <w:trPr/>
    <w:tcPr>
      <w:shd w:val="clear" w:color="auto" w:fill="auto"/>
    </w:tcPr>
    <w:tblStylePr w:type="firstRow">
      <w:rPr>
        <w:b w:val="1"/>
        <w:bCs w:val="1"/>
        <w:color w:val="FFFFFF"/>
      </w:rPr>
      <w:tblPr/>
      <w:trPr/>
      <w:tcPr>
        <w:shd w:val="solid" w:color="000000" w:fill="FFFFFF"/>
      </w:tcPr>
    </w:tblStylePr>
  </w:style>
  <w:style w:type="table" w:styleId="T11">
    <w:name w:val="Table Colorful 1"/>
    <w:basedOn w:val="T0"/>
    <w:semiHidden/>
    <w:pPr>
      <w:keepLines w:val="1"/>
    </w:pPr>
    <w:rPr>
      <w:color w:val="FFFFFF"/>
      <w:lang w:val="sv-SE" w:eastAsia="sv-SE"/>
    </w:rPr>
    <w:tblPr>
      <w:tblBorders>
        <w:top w:val="single" w:sz="12" w:space="0" w:shadow="0" w:frame="0" w:color="008080"/>
        <w:left w:val="single" w:sz="12" w:space="0" w:shadow="0" w:frame="0" w:color="008080"/>
        <w:bottom w:val="single" w:sz="12" w:space="0" w:shadow="0" w:frame="0" w:color="008080"/>
        <w:right w:val="single" w:sz="12" w:space="0" w:shadow="0" w:frame="0" w:color="008080"/>
        <w:insideH w:val="single" w:sz="6" w:space="0" w:shadow="0" w:frame="0" w:color="00FFFF"/>
      </w:tblBorders>
    </w:tblPr>
    <w:trPr/>
    <w:tcPr>
      <w:shd w:val="solid" w:color="008080" w:fill="FFFFFF"/>
    </w:tcPr>
    <w:tblStylePr w:type="swCell">
      <w:rPr>
        <w:b w:val="1"/>
        <w:i w:val="0"/>
        <w:bCs w:val="1"/>
        <w:iCs w:val="0"/>
      </w:rPr>
      <w:tblPr/>
      <w:trPr/>
      <w:tcPr/>
    </w:tblStylePr>
    <w:tblStylePr w:type="nwCell">
      <w:tblPr/>
      <w:trPr/>
      <w:tcPr>
        <w:shd w:val="solid" w:color="000000" w:fill="FFFFFF"/>
      </w:tcPr>
    </w:tblStylePr>
    <w:tblStylePr w:type="firstCol">
      <w:rPr>
        <w:b w:val="1"/>
        <w:i w:val="1"/>
        <w:bCs w:val="1"/>
        <w:iCs w:val="1"/>
      </w:rPr>
      <w:tblPr/>
      <w:trPr/>
      <w:tcPr>
        <w:shd w:val="solid" w:color="000080" w:fill="FFFFFF"/>
      </w:tcPr>
    </w:tblStylePr>
    <w:tblStylePr w:type="firstRow">
      <w:rPr>
        <w:b w:val="1"/>
        <w:i w:val="1"/>
        <w:bCs w:val="1"/>
        <w:iCs w:val="1"/>
      </w:rPr>
      <w:tblPr/>
      <w:trPr/>
      <w:tcPr>
        <w:shd w:val="solid" w:color="000000" w:fill="FFFFFF"/>
      </w:tcPr>
    </w:tblStylePr>
  </w:style>
  <w:style w:type="table" w:styleId="T12">
    <w:name w:val="Table Colorful 2"/>
    <w:basedOn w:val="T0"/>
    <w:semiHidden/>
    <w:pPr>
      <w:keepLines w:val="1"/>
    </w:pPr>
    <w:rPr>
      <w:lang w:val="sv-SE" w:eastAsia="sv-SE"/>
    </w:rPr>
    <w:tblPr>
      <w:tblBorders>
        <w:bottom w:val="single" w:sz="12" w:space="0" w:shadow="0" w:frame="0" w:color="000000"/>
      </w:tblBorders>
    </w:tblPr>
    <w:trPr/>
    <w:tcPr>
      <w:shd w:val="pct20" w:color="FFFF00" w:fill="FFFFFF"/>
    </w:tcPr>
    <w:tblStylePr w:type="swCell">
      <w:rPr>
        <w:b w:val="1"/>
        <w:i w:val="0"/>
        <w:bCs w:val="1"/>
        <w:iCs w:val="0"/>
      </w:rPr>
      <w:tblPr/>
      <w:trPr/>
      <w:tcPr/>
    </w:tblStylePr>
    <w:tblStylePr w:type="lastCol">
      <w:tblPr/>
      <w:trPr/>
      <w:tcPr>
        <w:shd w:val="solid" w:color="C0C0C0" w:fill="FFFFFF"/>
      </w:tcPr>
    </w:tblStylePr>
    <w:tblStylePr w:type="firstCol">
      <w:rPr>
        <w:b w:val="1"/>
        <w:i w:val="1"/>
        <w:bCs w:val="1"/>
        <w:iCs w:val="1"/>
      </w:rPr>
      <w:tblPr/>
      <w:trPr/>
      <w:tcPr/>
    </w:tblStylePr>
    <w:tblStylePr w:type="firstRow">
      <w:rPr>
        <w:b w:val="1"/>
        <w:i w:val="1"/>
        <w:bCs w:val="1"/>
        <w:iCs w:val="1"/>
        <w:color w:val="FFFFFF"/>
      </w:rPr>
      <w:tblPr/>
      <w:trPr/>
      <w:tcPr>
        <w:tcBorders>
          <w:bottom w:val="single" w:sz="12" w:space="0" w:shadow="0" w:frame="0" w:color="000000"/>
        </w:tcBorders>
        <w:shd w:val="solid" w:color="800000" w:fill="FFFFFF"/>
      </w:tcPr>
    </w:tblStylePr>
  </w:style>
  <w:style w:type="table" w:styleId="T13">
    <w:name w:val="Table Colorful 3"/>
    <w:basedOn w:val="T0"/>
    <w:semiHidden/>
    <w:pPr>
      <w:keepLines w:val="1"/>
    </w:pPr>
    <w:rPr>
      <w:lang w:val="sv-SE" w:eastAsia="sv-SE"/>
    </w:rPr>
    <w:tblPr>
      <w:tblBorders>
        <w:top w:val="single" w:sz="18" w:space="0" w:shadow="0" w:frame="0" w:color="000000"/>
        <w:left w:val="single" w:sz="18" w:space="0" w:shadow="0" w:frame="0" w:color="000000"/>
        <w:bottom w:val="single" w:sz="18" w:space="0" w:shadow="0" w:frame="0" w:color="000000"/>
        <w:right w:val="single" w:sz="18" w:space="0" w:shadow="0" w:frame="0" w:color="000000"/>
        <w:insideH w:val="single" w:sz="6" w:space="0" w:shadow="0" w:frame="0" w:color="C0C0C0"/>
      </w:tblBorders>
    </w:tblPr>
    <w:trPr/>
    <w:tcPr>
      <w:shd w:val="pct25" w:color="008080" w:fill="FFFFFF"/>
    </w:tcPr>
    <w:tblStylePr w:type="nwCell">
      <w:rPr>
        <w:b w:val="1"/>
        <w:bCs w:val="1"/>
        <w:color w:val="FFFFFF"/>
      </w:rPr>
      <w:tblPr/>
      <w:trPr/>
      <w:tcPr>
        <w:shd w:val="solid" w:color="000000" w:fill="FFFFFF"/>
      </w:tcPr>
    </w:tblStylePr>
    <w:tblStylePr w:type="firstCol">
      <w:tblPr/>
      <w:trPr/>
      <w:tcPr>
        <w:tcBorders>
          <w:left w:val="single" w:sz="36" w:space="0" w:shadow="0" w:frame="0" w:color="000000"/>
          <w:right w:val="single" w:sz="6" w:space="0" w:shadow="0" w:frame="0" w:color="000000"/>
        </w:tcBorders>
        <w:shd w:val="solid" w:color="008080" w:fill="FFFFFF"/>
      </w:tcPr>
    </w:tblStylePr>
    <w:tblStylePr w:type="firstRow">
      <w:tblPr/>
      <w:trPr/>
      <w:tcPr>
        <w:tcBorders>
          <w:bottom w:val="single" w:sz="6" w:space="0" w:shadow="0" w:frame="0" w:color="000000"/>
        </w:tcBorders>
        <w:shd w:val="solid" w:color="008080" w:fill="FFFFFF"/>
      </w:tcPr>
    </w:tblStylePr>
  </w:style>
  <w:style w:type="table" w:styleId="T14">
    <w:name w:val="Table Contemporary"/>
    <w:basedOn w:val="T0"/>
    <w:semiHidden/>
    <w:pPr>
      <w:keepLines w:val="1"/>
    </w:pPr>
    <w:rPr>
      <w:lang w:val="sv-SE" w:eastAsia="sv-SE"/>
    </w:rPr>
    <w:tblPr>
      <w:tblStyleRowBandSize w:val="1"/>
      <w:tblBorders>
        <w:insideH w:val="single" w:sz="18" w:space="0" w:shadow="0" w:frame="0" w:color="FFFFFF"/>
        <w:insideV w:val="single" w:sz="18" w:space="0" w:shadow="0" w:frame="0" w:color="FFFFFF"/>
      </w:tblBorders>
    </w:tblPr>
    <w:trPr/>
    <w:tcPr/>
    <w:tblStylePr w:type="band2Horz">
      <w:rPr>
        <w:color w:val="auto"/>
      </w:rPr>
      <w:tblPr/>
      <w:trPr/>
      <w:tcPr>
        <w:shd w:val="pct20" w:color="000000" w:fill="FFFFFF"/>
      </w:tcPr>
    </w:tblStylePr>
    <w:tblStylePr w:type="band1Horz">
      <w:rPr>
        <w:color w:val="auto"/>
      </w:rPr>
      <w:tblPr/>
      <w:trPr/>
      <w:tcPr>
        <w:shd w:val="pct5" w:color="000000" w:fill="FFFFFF"/>
      </w:tcPr>
    </w:tblStylePr>
    <w:tblStylePr w:type="firstRow">
      <w:rPr>
        <w:b w:val="1"/>
        <w:bCs w:val="1"/>
        <w:color w:val="auto"/>
      </w:rPr>
      <w:tblPr/>
      <w:trPr/>
      <w:tcPr>
        <w:shd w:val="pct20" w:color="000000" w:fill="FFFFFF"/>
      </w:tcPr>
    </w:tblStylePr>
  </w:style>
  <w:style w:type="table" w:styleId="T15">
    <w:name w:val="Table Professional"/>
    <w:basedOn w:val="T0"/>
    <w:semiHidden/>
    <w:pPr>
      <w:keepLines w:val="1"/>
    </w:pPr>
    <w:rPr>
      <w:lang w:val="sv-SE" w:eastAsia="sv-SE"/>
    </w:rPr>
    <w:tblPr>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Pr>
    <w:trPr/>
    <w:tcPr>
      <w:shd w:val="clear" w:color="auto" w:fill="auto"/>
    </w:tcPr>
    <w:tblStylePr w:type="firstRow">
      <w:rPr>
        <w:b w:val="1"/>
        <w:bCs w:val="1"/>
        <w:color w:val="auto"/>
      </w:rPr>
      <w:tblPr/>
      <w:trPr/>
      <w:tcPr>
        <w:shd w:val="solid" w:color="000000" w:fill="FFFFFF"/>
      </w:tcPr>
    </w:tblStylePr>
  </w:style>
  <w:style w:type="table" w:styleId="T16">
    <w:name w:val="Table Classic 1"/>
    <w:basedOn w:val="T0"/>
    <w:semiHidden/>
    <w:pPr>
      <w:keepLines w:val="1"/>
    </w:pPr>
    <w:rPr>
      <w:lang w:val="sv-SE" w:eastAsia="sv-SE"/>
    </w:rPr>
    <w:tblPr>
      <w:tblBorders>
        <w:top w:val="single" w:sz="12" w:space="0" w:shadow="0" w:frame="0" w:color="000000"/>
        <w:bottom w:val="single" w:sz="12" w:space="0" w:shadow="0" w:frame="0" w:color="000000"/>
      </w:tblBorders>
    </w:tblPr>
    <w:trPr/>
    <w:tcPr>
      <w:shd w:val="clear" w:color="auto" w:fill="auto"/>
    </w:tcPr>
    <w:tblStylePr w:type="swCell">
      <w:rPr>
        <w:b w:val="1"/>
        <w:bCs w:val="1"/>
      </w:rPr>
      <w:tblPr/>
      <w:trPr/>
      <w:tcPr/>
    </w:tblStylePr>
    <w:tblStylePr w:type="neCell">
      <w:rPr>
        <w:b w:val="1"/>
        <w:i w:val="0"/>
        <w:bCs w:val="1"/>
        <w:iCs w:val="0"/>
      </w:rPr>
      <w:tblPr/>
      <w:trPr/>
      <w:tcPr/>
    </w:tblStylePr>
    <w:tblStylePr w:type="firstCol">
      <w:tblPr/>
      <w:trPr/>
      <w:tcPr>
        <w:tcBorders>
          <w:right w:val="single" w:sz="6" w:space="0" w:shadow="0" w:frame="0" w:color="000000"/>
        </w:tcBorders>
      </w:tcPr>
    </w:tblStylePr>
    <w:tblStylePr w:type="lastRow">
      <w:rPr>
        <w:color w:val="auto"/>
      </w:rPr>
      <w:tblPr/>
      <w:trPr/>
      <w:tcPr>
        <w:tcBorders>
          <w:top w:val="single" w:sz="6" w:space="0" w:shadow="0" w:frame="0" w:color="000000"/>
        </w:tcBorders>
      </w:tcPr>
    </w:tblStylePr>
    <w:tblStylePr w:type="firstRow">
      <w:rPr>
        <w:i w:val="1"/>
        <w:iCs w:val="1"/>
      </w:rPr>
      <w:tblPr/>
      <w:trPr/>
      <w:tcPr>
        <w:tcBorders>
          <w:bottom w:val="single" w:sz="6" w:space="0" w:shadow="0" w:frame="0" w:color="000000"/>
        </w:tcBorders>
      </w:tcPr>
    </w:tblStylePr>
  </w:style>
  <w:style w:type="table" w:styleId="T17">
    <w:name w:val="Table Classic 2"/>
    <w:basedOn w:val="T0"/>
    <w:semiHidden/>
    <w:pPr>
      <w:keepLines w:val="1"/>
    </w:pPr>
    <w:rPr>
      <w:lang w:val="sv-SE" w:eastAsia="sv-SE"/>
    </w:rPr>
    <w:tblPr>
      <w:tblBorders>
        <w:top w:val="single" w:sz="12" w:space="0" w:shadow="0" w:frame="0" w:color="000000"/>
        <w:bottom w:val="single" w:sz="12" w:space="0" w:shadow="0" w:frame="0" w:color="000000"/>
      </w:tblBorders>
    </w:tblPr>
    <w:trPr/>
    <w:tcPr>
      <w:shd w:val="clear" w:color="auto" w:fill="auto"/>
    </w:tcPr>
    <w:tblStylePr w:type="swCell">
      <w:rPr>
        <w:color w:val="000080"/>
      </w:rPr>
      <w:tblPr/>
      <w:trPr/>
      <w:tcPr/>
    </w:tblStylePr>
    <w:tblStylePr w:type="nwCell">
      <w:tblPr/>
      <w:trPr/>
      <w:tcPr>
        <w:shd w:val="solid" w:color="800080" w:fill="FFFFFF"/>
      </w:tcPr>
    </w:tblStylePr>
    <w:tblStylePr w:type="neCell">
      <w:rPr>
        <w:b w:val="1"/>
        <w:bCs w:val="1"/>
      </w:rPr>
      <w:tblPr/>
      <w:trPr/>
      <w:tcPr/>
    </w:tblStylePr>
    <w:tblStylePr w:type="firstCol">
      <w:rPr>
        <w:b w:val="1"/>
        <w:bCs w:val="1"/>
      </w:rPr>
      <w:tblPr/>
      <w:trPr/>
      <w:tcPr>
        <w:shd w:val="solid" w:color="C0C0C0" w:fill="FFFFFF"/>
      </w:tcPr>
    </w:tblStylePr>
    <w:tblStylePr w:type="lastRow">
      <w:tblPr/>
      <w:trPr/>
      <w:tcPr>
        <w:tcBorders>
          <w:top w:val="single" w:sz="6" w:space="0" w:shadow="0" w:frame="0" w:color="000000"/>
        </w:tcBorders>
      </w:tcPr>
    </w:tblStylePr>
    <w:tblStylePr w:type="firstRow">
      <w:rPr>
        <w:color w:val="FFFFFF"/>
      </w:rPr>
      <w:tblPr/>
      <w:trPr/>
      <w:tcPr>
        <w:tcBorders>
          <w:bottom w:val="single" w:sz="6" w:space="0" w:shadow="0" w:frame="0" w:color="000000"/>
        </w:tcBorders>
        <w:shd w:val="solid" w:color="800080" w:fill="FFFFFF"/>
      </w:tcPr>
    </w:tblStylePr>
  </w:style>
  <w:style w:type="table" w:styleId="T18">
    <w:name w:val="Table Classic 3"/>
    <w:basedOn w:val="T0"/>
    <w:semiHidden/>
    <w:pPr>
      <w:keepLines w:val="1"/>
    </w:pPr>
    <w:rPr>
      <w:color w:val="000080"/>
      <w:lang w:val="sv-SE" w:eastAsia="sv-SE"/>
    </w:rPr>
    <w:tblPr>
      <w:tblBorders>
        <w:top w:val="single" w:sz="12" w:space="0" w:shadow="0" w:frame="0" w:color="000000"/>
        <w:left w:val="single" w:sz="12" w:space="0" w:shadow="0" w:frame="0" w:color="000000"/>
        <w:bottom w:val="single" w:sz="12" w:space="0" w:shadow="0" w:frame="0" w:color="000000"/>
        <w:right w:val="single" w:sz="12" w:space="0" w:shadow="0" w:frame="0" w:color="000000"/>
      </w:tblBorders>
    </w:tblPr>
    <w:trPr/>
    <w:tcPr>
      <w:shd w:val="solid" w:color="C0C0C0" w:fill="FFFFFF"/>
    </w:tcPr>
    <w:tblStylePr w:type="firstCol">
      <w:rPr>
        <w:b w:val="1"/>
        <w:bCs w:val="1"/>
        <w:color w:val="000000"/>
      </w:rPr>
      <w:tblPr/>
      <w:trPr/>
      <w:tcPr/>
    </w:tblStylePr>
    <w:tblStylePr w:type="lastRow">
      <w:rPr>
        <w:color w:val="000080"/>
      </w:rPr>
      <w:tblPr/>
      <w:trPr/>
      <w:tcPr>
        <w:tcBorders>
          <w:top w:val="single" w:sz="12" w:space="0" w:shadow="0" w:frame="0" w:color="000000"/>
        </w:tcBorders>
        <w:shd w:val="solid" w:color="FFFFFF" w:fill="FFFFFF"/>
      </w:tcPr>
    </w:tblStylePr>
    <w:tblStylePr w:type="firstRow">
      <w:rPr>
        <w:b w:val="1"/>
        <w:i w:val="1"/>
        <w:bCs w:val="1"/>
        <w:iCs w:val="1"/>
        <w:color w:val="FFFFFF"/>
      </w:rPr>
      <w:tblPr/>
      <w:trPr/>
      <w:tcPr>
        <w:tcBorders>
          <w:bottom w:val="single" w:sz="6" w:space="0" w:shadow="0" w:frame="0" w:color="000000"/>
        </w:tcBorders>
        <w:shd w:val="solid" w:color="000080" w:fill="FFFFFF"/>
      </w:tcPr>
    </w:tblStylePr>
  </w:style>
  <w:style w:type="table" w:styleId="T19">
    <w:name w:val="Table Classic 4"/>
    <w:basedOn w:val="T0"/>
    <w:semiHidden/>
    <w:pPr>
      <w:keepLines w:val="1"/>
    </w:pPr>
    <w:rPr>
      <w:lang w:val="sv-SE" w:eastAsia="sv-SE"/>
    </w:rPr>
    <w:tblPr>
      <w:tblBorders>
        <w:top w:val="single" w:sz="12" w:space="0" w:shadow="0" w:frame="0" w:color="000000"/>
        <w:left w:val="single" w:sz="6" w:space="0" w:shadow="0" w:frame="0" w:color="000000"/>
        <w:bottom w:val="single" w:sz="12" w:space="0" w:shadow="0" w:frame="0" w:color="000000"/>
        <w:right w:val="single" w:sz="6" w:space="0" w:shadow="0" w:frame="0" w:color="000000"/>
      </w:tblBorders>
    </w:tblPr>
    <w:trPr/>
    <w:tcPr>
      <w:shd w:val="clear" w:color="auto" w:fill="auto"/>
    </w:tcPr>
    <w:tblStylePr w:type="swCell">
      <w:rPr>
        <w:color w:val="000080"/>
      </w:rPr>
      <w:tblPr/>
      <w:trPr/>
      <w:tcPr/>
    </w:tblStylePr>
    <w:tblStylePr w:type="nwCell">
      <w:rPr>
        <w:b w:val="1"/>
        <w:bCs w:val="1"/>
      </w:rPr>
      <w:tblPr/>
      <w:trPr/>
      <w:tcPr/>
    </w:tblStylePr>
    <w:tblStylePr w:type="firstCol">
      <w:rPr>
        <w:b w:val="1"/>
        <w:bCs w:val="1"/>
      </w:rPr>
      <w:tblPr/>
      <w:trPr/>
      <w:tcPr/>
    </w:tblStylePr>
    <w:tblStylePr w:type="lastRow">
      <w:rPr>
        <w:color w:val="000080"/>
      </w:rPr>
      <w:tblPr/>
      <w:trPr/>
      <w:tcPr>
        <w:tcBorders>
          <w:bottom w:val="single" w:sz="6" w:space="0" w:shadow="0" w:frame="0" w:color="000000"/>
        </w:tcBorders>
        <w:shd w:val="pct50" w:color="000000" w:fill="FFFFFF"/>
      </w:tcPr>
    </w:tblStylePr>
    <w:tblStylePr w:type="firstRow">
      <w:rPr>
        <w:b w:val="1"/>
        <w:i w:val="1"/>
        <w:bCs w:val="1"/>
        <w:iCs w:val="1"/>
        <w:color w:val="FFFFFF"/>
      </w:rPr>
      <w:tblPr/>
      <w:trPr/>
      <w:tcPr>
        <w:tcBorders>
          <w:bottom w:val="single" w:sz="6" w:space="0" w:shadow="0" w:frame="0" w:color="000000"/>
        </w:tcBorders>
        <w:shd w:val="pct50" w:color="000080" w:fill="FFFFFF"/>
      </w:tcPr>
    </w:tblStylePr>
  </w:style>
  <w:style w:type="table" w:styleId="T20">
    <w:name w:val="Alingsås kommun"/>
    <w:basedOn w:val="T0"/>
    <w:pPr>
      <w:spacing w:after="0" w:beforeAutospacing="0" w:afterAutospacing="0"/>
    </w:pPr>
    <w:rPr>
      <w:lang w:val="sv-SE" w:eastAsia="sv-SE"/>
    </w:rPr>
    <w:tblPr>
      <w:tblBorders>
        <w:top w:val="single" w:sz="4" w:space="0" w:shadow="0" w:frame="0" w:color="00574A" w:themeColor="accent2"/>
        <w:left w:val="single" w:sz="4" w:space="0" w:shadow="0" w:frame="0" w:color="00574A" w:themeColor="accent2"/>
        <w:bottom w:val="single" w:sz="4" w:space="0" w:shadow="0" w:frame="0" w:color="00574A" w:themeColor="accent2"/>
        <w:right w:val="single" w:sz="4" w:space="0" w:shadow="0" w:frame="0" w:color="00574A" w:themeColor="accent2"/>
        <w:insideH w:val="single" w:sz="4" w:space="0" w:shadow="0" w:frame="0" w:color="00574A" w:themeColor="accent2"/>
        <w:insideV w:val="single" w:sz="4" w:space="0" w:shadow="0" w:frame="0" w:color="00574A" w:themeColor="accent2"/>
      </w:tblBorders>
      <w:tblCellMar>
        <w:top w:w="113" w:type="dxa"/>
        <w:left w:w="170" w:type="dxa"/>
        <w:bottom w:w="113" w:type="dxa"/>
        <w:right w:w="170" w:type="dxa"/>
      </w:tblCellMar>
    </w:tblPr>
    <w:trPr/>
    <w:tcPr/>
    <w:tblStylePr w:type="lastRow">
      <w:rPr>
        <w:b w:val="1"/>
      </w:rPr>
      <w:tblPr/>
      <w:trPr/>
      <w:tcPr/>
    </w:tblStylePr>
    <w:tblStylePr w:type="firstRow">
      <w:rPr>
        <w:b w:val="1"/>
        <w:color w:val="FFFFFF" w:themeColor="background1"/>
      </w:rPr>
      <w:tblPr/>
      <w:trPr/>
      <w:tcPr>
        <w:tcBorders>
          <w:insideH w:val="single" w:sz="4" w:space="0" w:shadow="0" w:frame="0" w:color="FFFFFF" w:themeColor="background1"/>
          <w:insideV w:val="single" w:sz="4" w:space="0" w:shadow="0" w:frame="0" w:color="FFFFFF" w:themeColor="background1"/>
        </w:tcBorders>
        <w:shd w:val="clear" w:color="auto" w:fill="00574A" w:themeFill="accent2"/>
      </w:tcPr>
    </w:tblStylePr>
  </w:style>
  <w:style w:type="table" w:styleId="T21">
    <w:name w:val="Table 3D effects 1"/>
    <w:basedOn w:val="T0"/>
    <w:semiHidden/>
    <w:pPr>
      <w:keepLines w:val="1"/>
    </w:pPr>
    <w:rPr>
      <w:lang w:val="sv-SE" w:eastAsia="sv-SE"/>
    </w:rPr>
    <w:tblPr/>
    <w:trPr/>
    <w:tcPr>
      <w:shd w:val="solid" w:color="C0C0C0" w:fill="FFFFFF"/>
    </w:tcPr>
    <w:tblStylePr w:type="swCell">
      <w:rPr>
        <w:color w:val="000080"/>
      </w:rPr>
      <w:tblPr/>
      <w:trPr/>
      <w:tcPr/>
    </w:tblStylePr>
    <w:tblStylePr w:type="seCell">
      <w:tblPr/>
      <w:trPr/>
      <w:tcPr/>
    </w:tblStylePr>
    <w:tblStylePr w:type="nwCell">
      <w:tblPr/>
      <w:trPr/>
      <w:tcPr/>
    </w:tblStylePr>
    <w:tblStylePr w:type="neCell">
      <w:tblPr/>
      <w:trPr/>
      <w:tcPr/>
    </w:tblStylePr>
    <w:tblStylePr w:type="lastCol">
      <w:tblPr/>
      <w:trPr/>
      <w:tcPr>
        <w:tcBorders>
          <w:left w:val="single" w:sz="6" w:space="0" w:shadow="0" w:frame="0" w:color="FFFFFF"/>
        </w:tcBorders>
      </w:tcPr>
    </w:tblStylePr>
    <w:tblStylePr w:type="firstCol">
      <w:rPr>
        <w:b w:val="1"/>
        <w:bCs w:val="1"/>
      </w:rPr>
      <w:tblPr/>
      <w:trPr/>
      <w:tcPr>
        <w:tcBorders>
          <w:right w:val="single" w:sz="6" w:space="0" w:shadow="0" w:frame="0" w:color="808080"/>
        </w:tcBorders>
      </w:tcPr>
    </w:tblStylePr>
    <w:tblStylePr w:type="lastRow">
      <w:tblPr/>
      <w:trPr/>
      <w:tcPr>
        <w:tcBorders>
          <w:top w:val="single" w:sz="6" w:space="0" w:shadow="0" w:frame="0" w:color="FFFFFF"/>
        </w:tcBorders>
      </w:tcPr>
    </w:tblStylePr>
    <w:tblStylePr w:type="firstRow">
      <w:rPr>
        <w:b w:val="1"/>
        <w:bCs w:val="1"/>
        <w:color w:val="800080"/>
      </w:rPr>
      <w:tblPr/>
      <w:trPr/>
      <w:tcPr>
        <w:tcBorders>
          <w:bottom w:val="single" w:sz="6" w:space="0" w:shadow="0" w:frame="0" w:color="808080"/>
        </w:tcBorders>
      </w:tcPr>
    </w:tblStylePr>
  </w:style>
  <w:style w:type="table" w:styleId="T22">
    <w:name w:val="Table 3D effects 2"/>
    <w:basedOn w:val="T0"/>
    <w:semiHidden/>
    <w:pPr>
      <w:keepLines w:val="1"/>
    </w:pPr>
    <w:rPr>
      <w:lang w:val="sv-SE" w:eastAsia="sv-SE"/>
    </w:rPr>
    <w:tblPr>
      <w:tblStyleRowBandSize w:val="1"/>
    </w:tblPr>
    <w:trPr/>
    <w:tcPr>
      <w:shd w:val="solid" w:color="C0C0C0" w:fill="FFFFFF"/>
    </w:tcPr>
    <w:tblStylePr w:type="swCell">
      <w:rPr>
        <w:b w:val="1"/>
        <w:bCs w:val="1"/>
      </w:rPr>
      <w:tblPr/>
      <w:trPr/>
      <w:tcPr/>
    </w:tblStylePr>
    <w:tblStylePr w:type="band1Horz">
      <w:tblPr/>
      <w:trPr/>
      <w:tcPr>
        <w:tcBorders>
          <w:top w:val="single" w:sz="6" w:space="0" w:shadow="0" w:frame="0" w:color="808080"/>
          <w:bottom w:val="single" w:sz="6" w:space="0" w:shadow="0" w:frame="0" w:color="FFFFFF"/>
        </w:tcBorders>
      </w:tcPr>
    </w:tblStylePr>
    <w:tblStylePr w:type="lastCol">
      <w:tblPr/>
      <w:trPr/>
      <w:tcPr>
        <w:tcBorders>
          <w:right w:val="single" w:sz="6" w:space="0" w:shadow="0" w:frame="0" w:color="FFFFFF"/>
        </w:tcBorders>
      </w:tcPr>
    </w:tblStylePr>
    <w:tblStylePr w:type="firstCol">
      <w:tblPr/>
      <w:trPr/>
      <w:tcPr>
        <w:tcBorders>
          <w:right w:val="single" w:sz="6" w:space="0" w:shadow="0" w:frame="0" w:color="808080"/>
        </w:tcBorders>
      </w:tcPr>
    </w:tblStylePr>
    <w:tblStylePr w:type="firstRow">
      <w:rPr>
        <w:b w:val="1"/>
        <w:bCs w:val="1"/>
      </w:rPr>
      <w:tblPr/>
      <w:trPr/>
      <w:tcPr/>
    </w:tblStylePr>
  </w:style>
  <w:style w:type="table" w:styleId="T23">
    <w:name w:val="Table 3D effects 3"/>
    <w:basedOn w:val="T0"/>
    <w:semiHidden/>
    <w:pPr>
      <w:keepLines w:val="1"/>
    </w:pPr>
    <w:rPr>
      <w:lang w:val="sv-SE" w:eastAsia="sv-SE"/>
    </w:rPr>
    <w:tblPr>
      <w:tblStyleRowBandSize w:val="1"/>
      <w:tblStyleColBandSize w:val="1"/>
    </w:tblPr>
    <w:trPr/>
    <w:tcPr/>
    <w:tblStylePr w:type="swCell">
      <w:rPr>
        <w:b w:val="1"/>
        <w:bCs w:val="1"/>
      </w:rPr>
      <w:tblPr/>
      <w:trPr/>
      <w:tcPr/>
    </w:tblStylePr>
    <w:tblStylePr w:type="band1Horz">
      <w:tblPr/>
      <w:trPr/>
      <w:tcPr>
        <w:tcBorders>
          <w:top w:val="single" w:sz="6" w:space="0" w:shadow="0" w:frame="0" w:color="808080"/>
          <w:bottom w:val="single" w:sz="6" w:space="0" w:shadow="0" w:frame="0" w:color="FFFFFF"/>
        </w:tcBorders>
      </w:tcPr>
    </w:tblStylePr>
    <w:tblStylePr w:type="band2Vert">
      <w:rPr>
        <w:color w:val="auto"/>
      </w:rPr>
      <w:tblPr/>
      <w:trPr/>
      <w:tcPr>
        <w:shd w:val="pct50" w:color="C0C0C0" w:fill="FFFFFF"/>
      </w:tcPr>
    </w:tblStylePr>
    <w:tblStylePr w:type="band1Vert">
      <w:rPr>
        <w:color w:val="auto"/>
      </w:rPr>
      <w:tblPr/>
      <w:trPr/>
      <w:tcPr>
        <w:shd w:val="solid" w:color="C0C0C0" w:fill="FFFFFF"/>
      </w:tcPr>
    </w:tblStylePr>
    <w:tblStylePr w:type="lastCol">
      <w:tblPr/>
      <w:trPr/>
      <w:tcPr>
        <w:tcBorders>
          <w:right w:val="single" w:sz="6" w:space="0" w:shadow="0" w:frame="0" w:color="FFFFFF"/>
        </w:tcBorders>
      </w:tcPr>
    </w:tblStylePr>
    <w:tblStylePr w:type="firstCol">
      <w:tblPr/>
      <w:trPr/>
      <w:tcPr>
        <w:tcBorders>
          <w:right w:val="single" w:sz="6" w:space="0" w:shadow="0" w:frame="0" w:color="808080"/>
        </w:tcBorders>
      </w:tcPr>
    </w:tblStylePr>
    <w:tblStylePr w:type="firstRow">
      <w:rPr>
        <w:b w:val="1"/>
        <w:bCs w:val="1"/>
      </w:rPr>
      <w:tblPr/>
      <w:trPr/>
      <w:tcPr/>
    </w:tblStylePr>
  </w:style>
  <w:style w:type="table" w:styleId="T24">
    <w:name w:val="Table Columns 1"/>
    <w:basedOn w:val="T0"/>
    <w:semiHidden/>
    <w:pPr>
      <w:keepLines w:val="1"/>
    </w:pPr>
    <w:rPr>
      <w:b w:val="1"/>
      <w:bCs w:val="1"/>
      <w:lang w:val="sv-SE" w:eastAsia="sv-SE"/>
    </w:rPr>
    <w:tblPr>
      <w:tblStyleColBandSize w:val="1"/>
      <w:tblBorders>
        <w:top w:val="single" w:sz="12" w:space="0" w:shadow="0" w:frame="0" w:color="000000"/>
        <w:left w:val="single" w:sz="12" w:space="0" w:shadow="0" w:frame="0" w:color="000000"/>
        <w:bottom w:val="single" w:sz="12" w:space="0" w:shadow="0" w:frame="0" w:color="000000"/>
        <w:right w:val="single" w:sz="12" w:space="0" w:shadow="0" w:frame="0" w:color="000000"/>
      </w:tblBorders>
    </w:tblPr>
    <w:trPr/>
    <w:tcPr/>
    <w:tblStylePr w:type="swCell">
      <w:rPr>
        <w:b w:val="1"/>
        <w:bCs w:val="1"/>
      </w:rPr>
      <w:tblPr/>
      <w:trPr/>
      <w:tcPr/>
    </w:tblStylePr>
    <w:tblStylePr w:type="neCell">
      <w:rPr>
        <w:b w:val="1"/>
        <w:bCs w:val="1"/>
      </w:rPr>
      <w:tblPr/>
      <w:trPr/>
      <w:tcPr/>
    </w:tblStylePr>
    <w:tblStylePr w:type="band2Vert">
      <w:rPr>
        <w:color w:val="auto"/>
      </w:rPr>
      <w:tblPr/>
      <w:trPr/>
      <w:tcPr>
        <w:shd w:val="pct25" w:color="FFFF00" w:fill="FFFFFF"/>
      </w:tcPr>
    </w:tblStylePr>
    <w:tblStylePr w:type="band1Vert">
      <w:rPr>
        <w:color w:val="auto"/>
      </w:rPr>
      <w:tblPr/>
      <w:trPr/>
      <w:tcPr>
        <w:shd w:val="pct25" w:color="000000" w:fill="FFFFFF"/>
      </w:tcPr>
    </w:tblStylePr>
    <w:tblStylePr w:type="lastCol">
      <w:rPr>
        <w:b w:val="0"/>
        <w:bCs w:val="0"/>
      </w:rPr>
      <w:tblPr/>
      <w:trPr/>
      <w:tcPr/>
    </w:tblStylePr>
    <w:tblStylePr w:type="firstCol">
      <w:rPr>
        <w:b w:val="0"/>
        <w:bCs w:val="0"/>
      </w:rPr>
      <w:tblPr/>
      <w:trPr/>
      <w:tcPr/>
    </w:tblStylePr>
    <w:tblStylePr w:type="lastRow">
      <w:rPr>
        <w:b w:val="0"/>
        <w:bCs w:val="0"/>
      </w:rPr>
      <w:tblPr/>
      <w:trPr/>
      <w:tcPr/>
    </w:tblStylePr>
    <w:tblStylePr w:type="firstRow">
      <w:rPr>
        <w:b w:val="0"/>
        <w:bCs w:val="0"/>
      </w:rPr>
      <w:tblPr/>
      <w:trPr/>
      <w:tcPr>
        <w:tcBorders>
          <w:bottom w:val="double" w:sz="6" w:space="0" w:shadow="0" w:frame="0" w:color="000000"/>
        </w:tcBorders>
      </w:tcPr>
    </w:tblStylePr>
  </w:style>
  <w:style w:type="table" w:styleId="T25">
    <w:name w:val="Table Columns 2"/>
    <w:basedOn w:val="T0"/>
    <w:semiHidden/>
    <w:pPr>
      <w:keepLines w:val="1"/>
    </w:pPr>
    <w:rPr>
      <w:b w:val="1"/>
      <w:bCs w:val="1"/>
      <w:lang w:val="sv-SE" w:eastAsia="sv-SE"/>
    </w:rPr>
    <w:tblPr>
      <w:tblStyleColBandSize w:val="1"/>
    </w:tblPr>
    <w:trPr/>
    <w:tcPr/>
    <w:tblStylePr w:type="swCell">
      <w:rPr>
        <w:b w:val="1"/>
        <w:bCs w:val="1"/>
      </w:rPr>
      <w:tblPr/>
      <w:trPr/>
      <w:tcPr/>
    </w:tblStylePr>
    <w:tblStylePr w:type="neCell">
      <w:rPr>
        <w:b w:val="1"/>
        <w:bCs w:val="1"/>
      </w:rPr>
      <w:tblPr/>
      <w:trPr/>
      <w:tcPr/>
    </w:tblStylePr>
    <w:tblStylePr w:type="band2Vert">
      <w:rPr>
        <w:color w:val="auto"/>
      </w:rPr>
      <w:tblPr/>
      <w:trPr/>
      <w:tcPr>
        <w:shd w:val="pct25" w:color="00FF00" w:fill="FFFFFF"/>
      </w:tcPr>
    </w:tblStylePr>
    <w:tblStylePr w:type="band1Vert">
      <w:rPr>
        <w:color w:val="auto"/>
      </w:rPr>
      <w:tblPr/>
      <w:trPr/>
      <w:tcPr>
        <w:shd w:val="pct30" w:color="000000" w:fill="FFFFFF"/>
      </w:tcPr>
    </w:tblStylePr>
    <w:tblStylePr w:type="lastCol">
      <w:rPr>
        <w:b w:val="0"/>
        <w:bCs w:val="0"/>
      </w:rPr>
      <w:tblPr/>
      <w:trPr/>
      <w:tcPr/>
    </w:tblStylePr>
    <w:tblStylePr w:type="firstCol">
      <w:rPr>
        <w:b w:val="0"/>
        <w:bCs w:val="0"/>
        <w:color w:val="000000"/>
      </w:rPr>
      <w:tblPr/>
      <w:trPr/>
      <w:tcPr/>
    </w:tblStylePr>
    <w:tblStylePr w:type="lastRow">
      <w:rPr>
        <w:b w:val="0"/>
        <w:bCs w:val="0"/>
      </w:rPr>
      <w:tblPr/>
      <w:trPr/>
      <w:tcPr/>
    </w:tblStylePr>
    <w:tblStylePr w:type="firstRow">
      <w:rPr>
        <w:color w:val="FFFFFF"/>
      </w:rPr>
      <w:tblPr/>
      <w:trPr/>
      <w:tcPr>
        <w:shd w:val="solid" w:color="000080" w:fill="FFFFFF"/>
      </w:tcPr>
    </w:tblStylePr>
  </w:style>
  <w:style w:type="table" w:styleId="T26">
    <w:name w:val="Table Columns 3"/>
    <w:basedOn w:val="T0"/>
    <w:semiHidden/>
    <w:pPr>
      <w:keepLines w:val="1"/>
    </w:pPr>
    <w:rPr>
      <w:b w:val="1"/>
      <w:bCs w:val="1"/>
      <w:lang w:val="sv-SE" w:eastAsia="sv-SE"/>
    </w:rPr>
    <w:tblPr>
      <w:tblStyleColBandSize w:val="1"/>
      <w:tblBorders>
        <w:top w:val="single" w:sz="6" w:space="0" w:shadow="0" w:frame="0" w:color="000080"/>
        <w:left w:val="single" w:sz="6" w:space="0" w:shadow="0" w:frame="0" w:color="000080"/>
        <w:bottom w:val="single" w:sz="6" w:space="0" w:shadow="0" w:frame="0" w:color="000080"/>
        <w:right w:val="single" w:sz="6" w:space="0" w:shadow="0" w:frame="0" w:color="000080"/>
        <w:insideV w:val="single" w:sz="6" w:space="0" w:shadow="0" w:frame="0" w:color="000080"/>
      </w:tblBorders>
    </w:tblPr>
    <w:trPr/>
    <w:tcPr/>
    <w:tblStylePr w:type="neCell">
      <w:rPr>
        <w:b w:val="1"/>
        <w:bCs w:val="1"/>
      </w:rPr>
      <w:tblPr/>
      <w:trPr/>
      <w:tcPr/>
    </w:tblStylePr>
    <w:tblStylePr w:type="band2Vert">
      <w:rPr>
        <w:color w:val="auto"/>
      </w:rPr>
      <w:tblPr/>
      <w:trPr/>
      <w:tcPr>
        <w:shd w:val="pct10" w:color="000000" w:fill="FFFFFF"/>
      </w:tcPr>
    </w:tblStylePr>
    <w:tblStylePr w:type="band1Vert">
      <w:rPr>
        <w:color w:val="auto"/>
      </w:rPr>
      <w:tblPr/>
      <w:trPr/>
      <w:tcPr>
        <w:shd w:val="solid" w:color="C0C0C0" w:fill="FFFFFF"/>
      </w:tcPr>
    </w:tblStylePr>
    <w:tblStylePr w:type="lastCol">
      <w:rPr>
        <w:b w:val="0"/>
        <w:bCs w:val="0"/>
      </w:rPr>
      <w:tblPr/>
      <w:trPr/>
      <w:tcPr/>
    </w:tblStylePr>
    <w:tblStylePr w:type="firstCol">
      <w:rPr>
        <w:b w:val="0"/>
        <w:bCs w:val="0"/>
      </w:rPr>
      <w:tblPr/>
      <w:trPr/>
      <w:tcPr/>
    </w:tblStylePr>
    <w:tblStylePr w:type="lastRow">
      <w:rPr>
        <w:b w:val="0"/>
        <w:bCs w:val="0"/>
      </w:rPr>
      <w:tblPr/>
      <w:trPr/>
      <w:tcPr>
        <w:tcBorders>
          <w:top w:val="single" w:sz="6" w:space="0" w:shadow="0" w:frame="0" w:color="000080"/>
        </w:tcBorders>
      </w:tcPr>
    </w:tblStylePr>
    <w:tblStylePr w:type="firstRow">
      <w:rPr>
        <w:color w:val="FFFFFF"/>
      </w:rPr>
      <w:tblPr/>
      <w:trPr/>
      <w:tcPr>
        <w:shd w:val="solid" w:color="000080" w:fill="FFFFFF"/>
      </w:tcPr>
    </w:tblStylePr>
  </w:style>
  <w:style w:type="table" w:styleId="T27">
    <w:name w:val="Table Columns 4"/>
    <w:basedOn w:val="T0"/>
    <w:semiHidden/>
    <w:pPr>
      <w:keepLines w:val="1"/>
    </w:pPr>
    <w:rPr>
      <w:lang w:val="sv-SE" w:eastAsia="sv-SE"/>
    </w:rPr>
    <w:tblPr>
      <w:tblStyleColBandSize w:val="1"/>
    </w:tblPr>
    <w:trPr/>
    <w:tcPr/>
    <w:tblStylePr w:type="band2Vert">
      <w:rPr>
        <w:color w:val="auto"/>
      </w:rPr>
      <w:tblPr/>
      <w:trPr/>
      <w:tcPr>
        <w:shd w:val="pct10" w:color="000000" w:fill="FFFFFF"/>
      </w:tcPr>
    </w:tblStylePr>
    <w:tblStylePr w:type="band1Vert">
      <w:rPr>
        <w:color w:val="auto"/>
      </w:rPr>
      <w:tblPr/>
      <w:trPr/>
      <w:tcPr>
        <w:shd w:val="pct50" w:color="008080" w:fill="FFFFFF"/>
      </w:tcPr>
    </w:tblStylePr>
    <w:tblStylePr w:type="lastCol">
      <w:rPr>
        <w:b w:val="1"/>
        <w:bCs w:val="1"/>
      </w:rPr>
      <w:tblPr/>
      <w:trPr/>
      <w:tcPr/>
    </w:tblStylePr>
    <w:tblStylePr w:type="lastRow">
      <w:rPr>
        <w:b w:val="1"/>
        <w:bCs w:val="1"/>
      </w:rPr>
      <w:tblPr/>
      <w:trPr/>
      <w:tcPr/>
    </w:tblStylePr>
    <w:tblStylePr w:type="firstRow">
      <w:rPr>
        <w:color w:val="FFFFFF"/>
      </w:rPr>
      <w:tblPr/>
      <w:trPr/>
      <w:tcPr>
        <w:shd w:val="solid" w:color="000000" w:fill="FFFFFF"/>
      </w:tcPr>
    </w:tblStylePr>
  </w:style>
  <w:style w:type="table" w:styleId="T28">
    <w:name w:val="Table Columns 5"/>
    <w:basedOn w:val="T0"/>
    <w:semiHidden/>
    <w:pPr>
      <w:keepLines w:val="1"/>
    </w:pPr>
    <w:rPr>
      <w:lang w:val="sv-SE" w:eastAsia="sv-SE"/>
    </w:rPr>
    <w:tblPr>
      <w:tblStyleColBandSize w:val="1"/>
      <w:tblBorders>
        <w:top w:val="single" w:sz="12" w:space="0" w:shadow="0" w:frame="0" w:color="808080"/>
        <w:left w:val="single" w:sz="12" w:space="0" w:shadow="0" w:frame="0" w:color="808080"/>
        <w:bottom w:val="single" w:sz="12" w:space="0" w:shadow="0" w:frame="0" w:color="808080"/>
        <w:right w:val="single" w:sz="12" w:space="0" w:shadow="0" w:frame="0" w:color="808080"/>
        <w:insideV w:val="single" w:sz="6" w:space="0" w:shadow="0" w:frame="0" w:color="C0C0C0"/>
      </w:tblBorders>
    </w:tblPr>
    <w:trPr/>
    <w:tcPr/>
    <w:tblStylePr w:type="band2Vert">
      <w:rPr>
        <w:color w:val="auto"/>
      </w:rPr>
      <w:tblPr/>
      <w:trPr/>
      <w:tcPr/>
    </w:tblStylePr>
    <w:tblStylePr w:type="band1Vert">
      <w:rPr>
        <w:color w:val="auto"/>
      </w:rPr>
      <w:tblPr/>
      <w:trPr/>
      <w:tcPr>
        <w:shd w:val="solid" w:color="C0C0C0" w:fill="FFFFF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6" w:space="0" w:shadow="0" w:frame="0" w:color="808080"/>
        </w:tcBorders>
      </w:tcPr>
    </w:tblStylePr>
    <w:tblStylePr w:type="firstRow">
      <w:rPr>
        <w:b w:val="1"/>
        <w:i w:val="1"/>
        <w:bCs w:val="1"/>
        <w:iCs w:val="1"/>
      </w:rPr>
      <w:tblPr/>
      <w:trPr/>
      <w:tcPr>
        <w:tcBorders>
          <w:bottom w:val="single" w:sz="6" w:space="0" w:shadow="0" w:frame="0" w:color="808080"/>
        </w:tcBorders>
      </w:tcPr>
    </w:tblStylePr>
  </w:style>
  <w:style w:type="table" w:styleId="T29">
    <w:name w:val="Table List 1"/>
    <w:basedOn w:val="T0"/>
    <w:semiHidden/>
    <w:pPr>
      <w:keepLines w:val="1"/>
    </w:pPr>
    <w:rPr>
      <w:lang w:val="sv-SE" w:eastAsia="sv-SE"/>
    </w:rPr>
    <w:tblPr>
      <w:tblStyleRowBandSize w:val="1"/>
      <w:tblBorders>
        <w:top w:val="single" w:sz="12" w:space="0" w:shadow="0" w:frame="0" w:color="008080"/>
        <w:left w:val="single" w:sz="6" w:space="0" w:shadow="0" w:frame="0" w:color="008080"/>
        <w:bottom w:val="single" w:sz="12" w:space="0" w:shadow="0" w:frame="0" w:color="008080"/>
        <w:right w:val="single" w:sz="6" w:space="0" w:shadow="0" w:frame="0" w:color="008080"/>
      </w:tblBorders>
    </w:tblPr>
    <w:trPr/>
    <w:tcPr/>
    <w:tblStylePr w:type="swCell">
      <w:rPr>
        <w:b w:val="1"/>
        <w:bCs w:val="1"/>
      </w:rPr>
      <w:tblPr/>
      <w:trPr/>
      <w:tcPr/>
    </w:tblStylePr>
    <w:tblStylePr w:type="band2Horz">
      <w:rPr>
        <w:color w:val="auto"/>
      </w:rPr>
      <w:tblPr/>
      <w:trPr/>
      <w:tcPr/>
    </w:tblStylePr>
    <w:tblStylePr w:type="band1Horz">
      <w:rPr>
        <w:color w:val="auto"/>
      </w:rPr>
      <w:tblPr/>
      <w:trPr/>
      <w:tcPr>
        <w:shd w:val="solid" w:color="C0C0C0" w:fill="FFFFFF"/>
      </w:tcPr>
    </w:tblStylePr>
    <w:tblStylePr w:type="lastRow">
      <w:tblPr/>
      <w:trPr/>
      <w:tcPr>
        <w:tcBorders>
          <w:top w:val="single" w:sz="6" w:space="0" w:shadow="0" w:frame="0" w:color="000000"/>
        </w:tcBorders>
      </w:tcPr>
    </w:tblStylePr>
    <w:tblStylePr w:type="firstRow">
      <w:rPr>
        <w:b w:val="1"/>
        <w:i w:val="1"/>
        <w:bCs w:val="1"/>
        <w:iCs w:val="1"/>
        <w:color w:val="800000"/>
      </w:rPr>
      <w:tblPr/>
      <w:trPr/>
      <w:tcPr>
        <w:tcBorders>
          <w:bottom w:val="single" w:sz="6" w:space="0" w:shadow="0" w:frame="0" w:color="000000"/>
        </w:tcBorders>
        <w:shd w:val="solid" w:color="C0C0C0" w:fill="FFFFFF"/>
      </w:tcPr>
    </w:tblStylePr>
  </w:style>
  <w:style w:type="table" w:styleId="T30">
    <w:name w:val="Table List 2"/>
    <w:basedOn w:val="T0"/>
    <w:semiHidden/>
    <w:pPr>
      <w:keepLines w:val="1"/>
    </w:pPr>
    <w:rPr>
      <w:lang w:val="sv-SE" w:eastAsia="sv-SE"/>
    </w:rPr>
    <w:tblPr>
      <w:tblStyleRowBandSize w:val="2"/>
      <w:tblBorders>
        <w:bottom w:val="single" w:sz="12" w:space="0" w:shadow="0" w:frame="0" w:color="808080"/>
      </w:tblBorders>
    </w:tblPr>
    <w:trPr/>
    <w:tcPr/>
    <w:tblStylePr w:type="swCell">
      <w:rPr>
        <w:b w:val="1"/>
        <w:bCs w:val="1"/>
      </w:rPr>
      <w:tblPr/>
      <w:trPr/>
      <w:tcPr/>
    </w:tblStylePr>
    <w:tblStylePr w:type="band2Horz">
      <w:rPr>
        <w:color w:val="auto"/>
      </w:rPr>
      <w:tblPr/>
      <w:trPr/>
      <w:tcPr/>
    </w:tblStylePr>
    <w:tblStylePr w:type="band1Horz">
      <w:rPr>
        <w:color w:val="auto"/>
      </w:rPr>
      <w:tblPr/>
      <w:trPr/>
      <w:tcPr>
        <w:shd w:val="pct20" w:color="00FF00" w:fill="FFFFFF"/>
      </w:tcPr>
    </w:tblStylePr>
    <w:tblStylePr w:type="lastRow">
      <w:tblPr/>
      <w:trPr/>
      <w:tcPr>
        <w:tcBorders>
          <w:top w:val="single" w:sz="6" w:space="0" w:shadow="0" w:frame="0" w:color="000000"/>
        </w:tcBorders>
      </w:tcPr>
    </w:tblStylePr>
    <w:tblStylePr w:type="firstRow">
      <w:rPr>
        <w:b w:val="1"/>
        <w:bCs w:val="1"/>
        <w:color w:val="FFFFFF"/>
      </w:rPr>
      <w:tblPr/>
      <w:trPr/>
      <w:tcPr>
        <w:tcBorders>
          <w:bottom w:val="single" w:sz="6" w:space="0" w:shadow="0" w:frame="0" w:color="000000"/>
        </w:tcBorders>
        <w:shd w:val="pct75" w:color="008080" w:fill="008000"/>
      </w:tcPr>
    </w:tblStylePr>
  </w:style>
  <w:style w:type="table" w:styleId="T31">
    <w:name w:val="Table List 3"/>
    <w:basedOn w:val="T0"/>
    <w:semiHidden/>
    <w:pPr>
      <w:keepLines w:val="1"/>
    </w:pPr>
    <w:rPr>
      <w:lang w:val="sv-SE" w:eastAsia="sv-SE"/>
    </w:rPr>
    <w:tblPr>
      <w:tblBorders>
        <w:top w:val="single" w:sz="12" w:space="0" w:shadow="0" w:frame="0" w:color="000000"/>
        <w:bottom w:val="single" w:sz="12" w:space="0" w:shadow="0" w:frame="0" w:color="000000"/>
        <w:insideH w:val="single" w:sz="6" w:space="0" w:shadow="0" w:frame="0" w:color="000000"/>
      </w:tblBorders>
    </w:tblPr>
    <w:trPr/>
    <w:tcPr>
      <w:shd w:val="clear" w:color="auto" w:fill="auto"/>
    </w:tcPr>
    <w:tblStylePr w:type="swCell">
      <w:rPr>
        <w:i w:val="1"/>
        <w:iCs w:val="1"/>
        <w:color w:val="000080"/>
      </w:rPr>
      <w:tblPr/>
      <w:trPr/>
      <w:tcPr/>
    </w:tblStylePr>
    <w:tblStylePr w:type="lastRow">
      <w:tblPr/>
      <w:trPr/>
      <w:tcPr>
        <w:tcBorders>
          <w:top w:val="single" w:sz="12" w:space="0" w:shadow="0" w:frame="0" w:color="000000"/>
        </w:tcBorders>
      </w:tcPr>
    </w:tblStylePr>
    <w:tblStylePr w:type="firstRow">
      <w:rPr>
        <w:b w:val="1"/>
        <w:bCs w:val="1"/>
        <w:color w:val="000080"/>
      </w:rPr>
      <w:tblPr/>
      <w:trPr/>
      <w:tcPr>
        <w:tcBorders>
          <w:bottom w:val="single" w:sz="12" w:space="0" w:shadow="0" w:frame="0" w:color="000000"/>
        </w:tcBorders>
      </w:tcPr>
    </w:tblStylePr>
  </w:style>
  <w:style w:type="table" w:styleId="T32">
    <w:name w:val="Table List 4"/>
    <w:basedOn w:val="T0"/>
    <w:semiHidden/>
    <w:pPr>
      <w:keepLines w:val="1"/>
    </w:pPr>
    <w:rPr>
      <w:lang w:val="sv-SE" w:eastAsia="sv-SE"/>
    </w:rPr>
    <w:tblPr>
      <w:tblBorders>
        <w:top w:val="single" w:sz="12" w:space="0" w:shadow="0" w:frame="0" w:color="000000"/>
        <w:left w:val="single" w:sz="12" w:space="0" w:shadow="0" w:frame="0" w:color="000000"/>
        <w:bottom w:val="single" w:sz="12" w:space="0" w:shadow="0" w:frame="0" w:color="000000"/>
        <w:right w:val="single" w:sz="12" w:space="0" w:shadow="0" w:frame="0" w:color="000000"/>
        <w:insideH w:val="single" w:sz="6" w:space="0" w:shadow="0" w:frame="0" w:color="000000"/>
      </w:tblBorders>
    </w:tblPr>
    <w:trPr/>
    <w:tcPr>
      <w:shd w:val="clear" w:color="auto" w:fill="auto"/>
    </w:tcPr>
    <w:tblStylePr w:type="firstRow">
      <w:rPr>
        <w:b w:val="1"/>
        <w:bCs w:val="1"/>
        <w:color w:val="FFFFFF"/>
      </w:rPr>
      <w:tblPr/>
      <w:trPr/>
      <w:tcPr>
        <w:tcBorders>
          <w:bottom w:val="single" w:sz="12" w:space="0" w:shadow="0" w:frame="0" w:color="000000"/>
        </w:tcBorders>
        <w:shd w:val="solid" w:color="808080" w:fill="FFFFFF"/>
      </w:tcPr>
    </w:tblStylePr>
  </w:style>
  <w:style w:type="table" w:styleId="T33">
    <w:name w:val="Table List 5"/>
    <w:basedOn w:val="T0"/>
    <w:semiHidden/>
    <w:pPr>
      <w:keepLines w:val="1"/>
    </w:pPr>
    <w:rPr>
      <w:lang w:val="sv-SE" w:eastAsia="sv-SE"/>
    </w:rPr>
    <w:tblPr>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tblBorders>
    </w:tblPr>
    <w:trPr/>
    <w:tcPr>
      <w:shd w:val="clear" w:color="auto" w:fill="auto"/>
    </w:tcPr>
    <w:tblStylePr w:type="firstCol">
      <w:rPr>
        <w:b w:val="1"/>
        <w:bCs w:val="1"/>
      </w:rPr>
      <w:tblPr/>
      <w:trPr/>
      <w:tcPr/>
    </w:tblStylePr>
    <w:tblStylePr w:type="firstRow">
      <w:rPr>
        <w:b w:val="1"/>
        <w:bCs w:val="1"/>
      </w:rPr>
      <w:tblPr/>
      <w:trPr/>
      <w:tcPr>
        <w:tcBorders>
          <w:bottom w:val="single" w:sz="12" w:space="0" w:shadow="0" w:frame="0" w:color="000000"/>
        </w:tcBorders>
      </w:tcPr>
    </w:tblStylePr>
  </w:style>
  <w:style w:type="table" w:styleId="T34">
    <w:name w:val="Table List 6"/>
    <w:basedOn w:val="T0"/>
    <w:semiHidden/>
    <w:pPr>
      <w:keepLines w:val="1"/>
    </w:pPr>
    <w:rPr>
      <w:lang w:val="sv-SE" w:eastAsia="sv-SE"/>
    </w:rPr>
    <w:tblPr>
      <w:tblStyleRowBandSize w:val="1"/>
      <w:tblBorders>
        <w:top w:val="single" w:sz="6" w:space="0" w:shadow="0" w:frame="0" w:color="000000"/>
        <w:left w:val="single" w:sz="6" w:space="0" w:shadow="0" w:frame="0" w:color="000000"/>
        <w:bottom w:val="single" w:sz="6" w:space="0" w:shadow="0" w:frame="0" w:color="000000"/>
        <w:right w:val="single" w:sz="6" w:space="0" w:shadow="0" w:frame="0" w:color="000000"/>
      </w:tblBorders>
    </w:tblPr>
    <w:trPr/>
    <w:tcPr>
      <w:shd w:val="pct50" w:color="000000" w:fill="FFFFFF"/>
    </w:tcPr>
    <w:tblStylePr w:type="band1Horz">
      <w:tblPr/>
      <w:trPr/>
      <w:tcPr>
        <w:shd w:val="pct25" w:color="000000" w:fill="FFFFFF"/>
      </w:tcPr>
    </w:tblStylePr>
    <w:tblStylePr w:type="firstCol">
      <w:rPr>
        <w:b w:val="1"/>
        <w:bCs w:val="1"/>
      </w:rPr>
      <w:tblPr/>
      <w:trPr/>
      <w:tcPr>
        <w:tcBorders>
          <w:right w:val="single" w:sz="12" w:space="0" w:shadow="0" w:frame="0" w:color="000000"/>
        </w:tcBorders>
      </w:tcPr>
    </w:tblStylePr>
    <w:tblStylePr w:type="firstRow">
      <w:rPr>
        <w:b w:val="1"/>
        <w:bCs w:val="1"/>
      </w:rPr>
      <w:tblPr/>
      <w:trPr/>
      <w:tcPr>
        <w:tcBorders>
          <w:bottom w:val="single" w:sz="12" w:space="0" w:shadow="0" w:frame="0" w:color="000000"/>
        </w:tcBorders>
      </w:tcPr>
    </w:tblStylePr>
  </w:style>
  <w:style w:type="table" w:styleId="T35">
    <w:name w:val="Table List 7"/>
    <w:basedOn w:val="T0"/>
    <w:semiHidden/>
    <w:pPr>
      <w:keepLines w:val="1"/>
    </w:pPr>
    <w:rPr>
      <w:lang w:val="sv-SE" w:eastAsia="sv-SE"/>
    </w:rPr>
    <w:tblPr>
      <w:tblStyleRowBandSize w:val="1"/>
      <w:tblBorders>
        <w:top w:val="single" w:sz="12" w:space="0" w:shadow="0" w:frame="0" w:color="008000"/>
        <w:left w:val="single" w:sz="6" w:space="0" w:shadow="0" w:frame="0" w:color="008000"/>
        <w:bottom w:val="single" w:sz="12" w:space="0" w:shadow="0" w:frame="0" w:color="008000"/>
        <w:right w:val="single" w:sz="6" w:space="0" w:shadow="0" w:frame="0" w:color="008000"/>
        <w:insideH w:val="single" w:sz="6" w:space="0" w:shadow="0" w:frame="0" w:color="000000"/>
      </w:tblBorders>
    </w:tblPr>
    <w:trPr/>
    <w:tcPr/>
    <w:tblStylePr w:type="band2Horz">
      <w:tblPr/>
      <w:trPr/>
      <w:tcPr>
        <w:shd w:val="pct25" w:color="FFFF00" w:fill="FFFFFF"/>
      </w:tcPr>
    </w:tblStylePr>
    <w:tblStylePr w:type="band1Horz">
      <w:rPr>
        <w:color w:val="auto"/>
      </w:rPr>
      <w:tblPr/>
      <w:trPr/>
      <w:tcPr>
        <w:shd w:val="pct20" w:color="000000" w:fill="FFFFF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12" w:space="0" w:shadow="0" w:frame="0" w:color="008000"/>
        </w:tcBorders>
      </w:tcPr>
    </w:tblStylePr>
    <w:tblStylePr w:type="firstRow">
      <w:rPr>
        <w:b w:val="1"/>
        <w:bCs w:val="1"/>
      </w:rPr>
      <w:tblPr/>
      <w:trPr/>
      <w:tcPr>
        <w:tcBorders>
          <w:bottom w:val="single" w:sz="12" w:space="0" w:shadow="0" w:frame="0" w:color="008000"/>
        </w:tcBorders>
        <w:shd w:val="solid" w:color="C0C0C0" w:fill="FFFFFF"/>
      </w:tcPr>
    </w:tblStylePr>
  </w:style>
  <w:style w:type="table" w:styleId="T36">
    <w:name w:val="Table List 8"/>
    <w:basedOn w:val="T0"/>
    <w:semiHidden/>
    <w:pPr>
      <w:keepLines w:val="1"/>
    </w:pPr>
    <w:rPr>
      <w:lang w:val="sv-SE" w:eastAsia="sv-SE"/>
    </w:rPr>
    <w:tblPr>
      <w:tblStyleRowBandSize w:val="1"/>
      <w:tblBorders>
        <w:top w:val="single" w:sz="6" w:space="0" w:shadow="0" w:frame="0" w:color="000000"/>
        <w:left w:val="single" w:sz="6" w:space="0" w:shadow="0" w:frame="0" w:color="000000"/>
        <w:bottom w:val="single" w:sz="6" w:space="0" w:shadow="0" w:frame="0" w:color="000000"/>
        <w:right w:val="single" w:sz="6" w:space="0" w:shadow="0" w:frame="0" w:color="000000"/>
        <w:insideV w:val="single" w:sz="6" w:space="0" w:shadow="0" w:frame="0" w:color="000000"/>
      </w:tblBorders>
    </w:tblPr>
    <w:trPr/>
    <w:tcPr/>
    <w:tblStylePr w:type="band2Horz">
      <w:tblPr/>
      <w:trPr/>
      <w:tcPr>
        <w:shd w:val="pct50" w:color="FF0000" w:fill="FFFFFF"/>
      </w:tcPr>
    </w:tblStylePr>
    <w:tblStylePr w:type="band1Horz">
      <w:rPr>
        <w:color w:val="auto"/>
      </w:rPr>
      <w:tblPr/>
      <w:trPr/>
      <w:tcPr>
        <w:shd w:val="pct25" w:color="FFFF00" w:fill="FFFFFF"/>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6" w:space="0" w:shadow="0" w:frame="0" w:color="000000"/>
        </w:tcBorders>
      </w:tcPr>
    </w:tblStylePr>
    <w:tblStylePr w:type="firstRow">
      <w:rPr>
        <w:b w:val="1"/>
        <w:i w:val="1"/>
        <w:bCs w:val="1"/>
        <w:iCs w:val="1"/>
      </w:rPr>
      <w:tblPr/>
      <w:trPr/>
      <w:tcPr>
        <w:tcBorders>
          <w:bottom w:val="single" w:sz="6" w:space="0" w:shadow="0" w:frame="0" w:color="000000"/>
        </w:tcBorders>
        <w:shd w:val="solid" w:color="FFFF00" w:fill="FFFFFF"/>
      </w:tcPr>
    </w:tblStylePr>
  </w:style>
  <w:style w:type="table" w:styleId="T37">
    <w:name w:val="Table Grid 1"/>
    <w:basedOn w:val="T0"/>
    <w:semiHidden/>
    <w:pPr>
      <w:keepLines w:val="1"/>
    </w:pPr>
    <w:rPr>
      <w:lang w:val="sv-SE" w:eastAsia="sv-SE"/>
    </w:rPr>
    <w:tblPr>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Pr>
    <w:trPr/>
    <w:tcPr>
      <w:shd w:val="clear" w:color="auto" w:fill="auto"/>
    </w:tcPr>
    <w:tblStylePr w:type="lastCol">
      <w:rPr>
        <w:i w:val="1"/>
        <w:iCs w:val="1"/>
      </w:rPr>
      <w:tblPr/>
      <w:trPr/>
      <w:tcPr/>
    </w:tblStylePr>
    <w:tblStylePr w:type="lastRow">
      <w:rPr>
        <w:i w:val="1"/>
        <w:iCs w:val="1"/>
      </w:rPr>
      <w:tblPr/>
      <w:trPr/>
      <w:tcPr/>
    </w:tblStylePr>
  </w:style>
  <w:style w:type="table" w:styleId="T38">
    <w:name w:val="Table Grid 2"/>
    <w:basedOn w:val="T0"/>
    <w:semiHidden/>
    <w:pPr>
      <w:keepLines w:val="1"/>
    </w:pPr>
    <w:rPr>
      <w:lang w:val="sv-SE" w:eastAsia="sv-SE"/>
    </w:rPr>
    <w:tblPr>
      <w:tblBorders>
        <w:insideH w:val="single" w:sz="6" w:space="0" w:shadow="0" w:frame="0" w:color="000000"/>
        <w:insideV w:val="single" w:sz="6" w:space="0" w:shadow="0" w:frame="0" w:color="000000"/>
      </w:tblBorders>
    </w:tblPr>
    <w:trPr/>
    <w:tcPr>
      <w:shd w:val="clear" w:color="auto" w:fill="auto"/>
    </w:tcPr>
    <w:tblStylePr w:type="lastCol">
      <w:rPr>
        <w:b w:val="1"/>
        <w:bCs w:val="1"/>
      </w:rPr>
      <w:tblPr/>
      <w:trPr/>
      <w:tcPr/>
    </w:tblStylePr>
    <w:tblStylePr w:type="firstCol">
      <w:rPr>
        <w:b w:val="1"/>
        <w:bCs w:val="1"/>
      </w:rPr>
      <w:tblPr/>
      <w:trPr/>
      <w:tcPr/>
    </w:tblStylePr>
    <w:tblStylePr w:type="lastRow">
      <w:rPr>
        <w:b w:val="1"/>
        <w:bCs w:val="1"/>
      </w:rPr>
      <w:tblPr/>
      <w:trPr/>
      <w:tcPr>
        <w:tcBorders>
          <w:top w:val="single" w:sz="6" w:space="0" w:shadow="0" w:frame="0" w:color="000000"/>
        </w:tcBorders>
      </w:tcPr>
    </w:tblStylePr>
    <w:tblStylePr w:type="firstRow">
      <w:rPr>
        <w:b w:val="1"/>
        <w:bCs w:val="1"/>
      </w:rPr>
      <w:tblPr/>
      <w:trPr/>
      <w:tcPr/>
    </w:tblStylePr>
  </w:style>
  <w:style w:type="table" w:styleId="T39">
    <w:name w:val="Table Grid 3"/>
    <w:basedOn w:val="T0"/>
    <w:semiHidden/>
    <w:pPr>
      <w:keepLines w:val="1"/>
    </w:pPr>
    <w:rPr>
      <w:lang w:val="sv-SE" w:eastAsia="sv-SE"/>
    </w:rPr>
    <w:tblPr>
      <w:tblBorders>
        <w:top w:val="single" w:sz="6" w:space="0" w:shadow="0" w:frame="0" w:color="000000"/>
        <w:left w:val="single" w:sz="12" w:space="0" w:shadow="0" w:frame="0" w:color="000000"/>
        <w:bottom w:val="single" w:sz="6" w:space="0" w:shadow="0" w:frame="0" w:color="000000"/>
        <w:right w:val="single" w:sz="12" w:space="0" w:shadow="0" w:frame="0" w:color="000000"/>
        <w:insideV w:val="single" w:sz="6" w:space="0" w:shadow="0" w:frame="0" w:color="000000"/>
      </w:tblBorders>
    </w:tblPr>
    <w:trPr/>
    <w:tcPr>
      <w:shd w:val="clear" w:color="auto" w:fill="auto"/>
    </w:tcPr>
    <w:tblStylePr w:type="lastCol">
      <w:rPr>
        <w:b w:val="1"/>
        <w:bCs w:val="1"/>
      </w:rPr>
      <w:tblPr/>
      <w:trPr/>
      <w:tcPr/>
    </w:tblStylePr>
    <w:tblStylePr w:type="lastRow">
      <w:rPr>
        <w:b w:val="1"/>
        <w:bCs w:val="1"/>
      </w:rPr>
      <w:tblPr/>
      <w:trPr/>
      <w:tcPr/>
    </w:tblStylePr>
    <w:tblStylePr w:type="firstRow">
      <w:tblPr/>
      <w:trPr/>
      <w:tcPr>
        <w:tcBorders>
          <w:bottom w:val="single" w:sz="6" w:space="0" w:shadow="0" w:frame="0" w:color="000000"/>
        </w:tcBorders>
        <w:shd w:val="pct30" w:color="FFFF00" w:fill="FFFFFF"/>
      </w:tcPr>
    </w:tblStylePr>
  </w:style>
  <w:style w:type="table" w:styleId="T40">
    <w:name w:val="Table Grid 4"/>
    <w:basedOn w:val="T0"/>
    <w:semiHidden/>
    <w:pPr>
      <w:keepLines w:val="1"/>
    </w:pPr>
    <w:rPr>
      <w:lang w:val="sv-SE" w:eastAsia="sv-SE"/>
    </w:rPr>
    <w:tblPr>
      <w:tblBorders>
        <w:left w:val="single" w:sz="12" w:space="0" w:shadow="0" w:frame="0" w:color="000000"/>
        <w:right w:val="single" w:sz="12" w:space="0" w:shadow="0" w:frame="0" w:color="000000"/>
        <w:insideH w:val="single" w:sz="6" w:space="0" w:shadow="0" w:frame="0" w:color="000000"/>
        <w:insideV w:val="single" w:sz="6" w:space="0" w:shadow="0" w:frame="0" w:color="000000"/>
      </w:tblBorders>
    </w:tblPr>
    <w:trPr/>
    <w:tcPr>
      <w:shd w:val="clear" w:color="auto" w:fill="auto"/>
    </w:tcPr>
    <w:tblStylePr w:type="lastCol">
      <w:rPr>
        <w:b w:val="1"/>
        <w:bCs w:val="1"/>
        <w:color w:val="auto"/>
      </w:rPr>
      <w:tblPr/>
      <w:trPr/>
      <w:tcPr/>
    </w:tblStylePr>
    <w:tblStylePr w:type="lastRow">
      <w:rPr>
        <w:b w:val="1"/>
        <w:bCs w:val="1"/>
        <w:color w:val="auto"/>
      </w:rPr>
      <w:tblPr/>
      <w:trPr/>
      <w:tcPr>
        <w:tcBorders>
          <w:top w:val="single" w:sz="6" w:space="0" w:shadow="0" w:frame="0" w:color="000000"/>
        </w:tcBorders>
        <w:shd w:val="pct30" w:color="FFFF00" w:fill="FFFFFF"/>
      </w:tcPr>
    </w:tblStylePr>
    <w:tblStylePr w:type="firstRow">
      <w:rPr>
        <w:color w:val="auto"/>
      </w:rPr>
      <w:tblPr/>
      <w:trPr/>
      <w:tcPr>
        <w:tcBorders>
          <w:bottom w:val="single" w:sz="6" w:space="0" w:shadow="0" w:frame="0" w:color="000000"/>
        </w:tcBorders>
        <w:shd w:val="pct30" w:color="FFFF00" w:fill="FFFFFF"/>
      </w:tcPr>
    </w:tblStylePr>
  </w:style>
  <w:style w:type="table" w:styleId="T41">
    <w:name w:val="Table Grid 5"/>
    <w:basedOn w:val="T0"/>
    <w:semiHidden/>
    <w:pPr>
      <w:keepLines w:val="1"/>
    </w:pPr>
    <w:rPr>
      <w:lang w:val="sv-SE" w:eastAsia="sv-SE"/>
    </w:rPr>
    <w:tblPr>
      <w:tblBorders>
        <w:top w:val="single" w:sz="12" w:space="0" w:shadow="0" w:frame="0" w:color="000000"/>
        <w:left w:val="single" w:sz="12" w:space="0" w:shadow="0" w:frame="0" w:color="000000"/>
        <w:bottom w:val="single" w:sz="12" w:space="0" w:shadow="0" w:frame="0" w:color="000000"/>
        <w:right w:val="single" w:sz="12" w:space="0" w:shadow="0" w:frame="0" w:color="000000"/>
        <w:insideH w:val="single" w:sz="6" w:space="0" w:shadow="0" w:frame="0" w:color="000000"/>
        <w:insideV w:val="single" w:sz="6" w:space="0" w:shadow="0" w:frame="0" w:color="000000"/>
      </w:tblBorders>
    </w:tblPr>
    <w:trPr/>
    <w:tcPr>
      <w:shd w:val="clear" w:color="auto" w:fill="auto"/>
    </w:tcPr>
    <w:tblStylePr w:type="nwCell">
      <w:tblPr/>
      <w:trPr/>
      <w:tcPr>
        <w:tcBorders>
          <w:tl2br w:val="single" w:sz="6" w:space="0" w:shadow="0" w:frame="0" w:color="000000"/>
        </w:tcBorders>
      </w:tcPr>
    </w:tblStylePr>
    <w:tblStylePr w:type="lastCol">
      <w:rPr>
        <w:b w:val="1"/>
        <w:bCs w:val="1"/>
      </w:rPr>
      <w:tblPr/>
      <w:trPr/>
      <w:tcPr/>
    </w:tblStylePr>
    <w:tblStylePr w:type="lastRow">
      <w:rPr>
        <w:b w:val="1"/>
        <w:bCs w:val="1"/>
      </w:rPr>
      <w:tblPr/>
      <w:trPr/>
      <w:tcPr/>
    </w:tblStylePr>
    <w:tblStylePr w:type="firstRow">
      <w:tblPr/>
      <w:trPr/>
      <w:tcPr>
        <w:tcBorders>
          <w:bottom w:val="single" w:sz="12" w:space="0" w:shadow="0" w:frame="0" w:color="000000"/>
        </w:tcBorders>
      </w:tcPr>
    </w:tblStylePr>
  </w:style>
  <w:style w:type="table" w:styleId="T42">
    <w:name w:val="Table Grid 6"/>
    <w:basedOn w:val="T0"/>
    <w:semiHidden/>
    <w:pPr>
      <w:keepLines w:val="1"/>
    </w:pPr>
    <w:rPr>
      <w:lang w:val="sv-SE" w:eastAsia="sv-SE"/>
    </w:rPr>
    <w:tblPr>
      <w:tblBorders>
        <w:top w:val="single" w:sz="12" w:space="0" w:shadow="0" w:frame="0" w:color="000000"/>
        <w:left w:val="single" w:sz="12" w:space="0" w:shadow="0" w:frame="0" w:color="000000"/>
        <w:bottom w:val="single" w:sz="12" w:space="0" w:shadow="0" w:frame="0" w:color="000000"/>
        <w:right w:val="single" w:sz="12" w:space="0" w:shadow="0" w:frame="0" w:color="000000"/>
        <w:insideV w:val="single" w:sz="6" w:space="0" w:shadow="0" w:frame="0" w:color="000000"/>
      </w:tblBorders>
    </w:tblPr>
    <w:trPr/>
    <w:tcPr>
      <w:shd w:val="clear" w:color="auto" w:fill="auto"/>
    </w:tcPr>
    <w:tblStylePr w:type="nwCell">
      <w:tblPr/>
      <w:trPr/>
      <w:tcPr>
        <w:tcBorders>
          <w:tl2br w:val="single" w:sz="6" w:space="0" w:shadow="0" w:frame="0" w:color="000000"/>
        </w:tcBorders>
      </w:tcPr>
    </w:tblStylePr>
    <w:tblStylePr w:type="firstCol">
      <w:rPr>
        <w:b w:val="1"/>
        <w:bCs w:val="1"/>
      </w:rPr>
      <w:tblPr/>
      <w:trPr/>
      <w:tcPr/>
    </w:tblStylePr>
    <w:tblStylePr w:type="lastRow">
      <w:rPr>
        <w:color w:val="auto"/>
      </w:rPr>
      <w:tblPr/>
      <w:trPr/>
      <w:tcPr>
        <w:tcBorders>
          <w:top w:val="single" w:sz="6" w:space="0" w:shadow="0" w:frame="0" w:color="000000"/>
        </w:tcBorders>
      </w:tcPr>
    </w:tblStylePr>
    <w:tblStylePr w:type="firstRow">
      <w:rPr>
        <w:b w:val="1"/>
        <w:bCs w:val="1"/>
      </w:rPr>
      <w:tblPr/>
      <w:trPr/>
      <w:tcPr>
        <w:tcBorders>
          <w:bottom w:val="single" w:sz="6" w:space="0" w:shadow="0" w:frame="0" w:color="000000"/>
        </w:tcBorders>
      </w:tcPr>
    </w:tblStylePr>
  </w:style>
  <w:style w:type="table" w:styleId="T43">
    <w:name w:val="Table Grid 7"/>
    <w:basedOn w:val="T0"/>
    <w:semiHidden/>
    <w:pPr>
      <w:keepLines w:val="1"/>
    </w:pPr>
    <w:rPr>
      <w:b w:val="1"/>
      <w:bCs w:val="1"/>
      <w:lang w:val="sv-SE" w:eastAsia="sv-SE"/>
    </w:rPr>
    <w:tblPr>
      <w:tblBorders>
        <w:top w:val="single" w:sz="12" w:space="0" w:shadow="0" w:frame="0" w:color="000000"/>
        <w:left w:val="single" w:sz="12" w:space="0" w:shadow="0" w:frame="0" w:color="000000"/>
        <w:bottom w:val="single" w:sz="12" w:space="0" w:shadow="0" w:frame="0" w:color="000000"/>
        <w:right w:val="single" w:sz="12" w:space="0" w:shadow="0" w:frame="0" w:color="000000"/>
        <w:insideH w:val="single" w:sz="6" w:space="0" w:shadow="0" w:frame="0" w:color="000000"/>
        <w:insideV w:val="single" w:sz="6" w:space="0" w:shadow="0" w:frame="0" w:color="000000"/>
      </w:tblBorders>
    </w:tblPr>
    <w:trPr/>
    <w:tcPr>
      <w:shd w:val="clear" w:color="auto" w:fill="auto"/>
    </w:tcPr>
    <w:tblStylePr w:type="nwCell">
      <w:tblPr/>
      <w:trPr/>
      <w:tcPr>
        <w:tcBorders>
          <w:tl2br w:val="single" w:sz="6" w:space="0" w:shadow="0" w:frame="0" w:color="000000"/>
        </w:tcBorders>
      </w:tcPr>
    </w:tblStylePr>
    <w:tblStylePr w:type="lastCol">
      <w:rPr>
        <w:b w:val="0"/>
        <w:bCs w:val="0"/>
      </w:rPr>
      <w:tblPr/>
      <w:trPr/>
      <w:tcPr/>
    </w:tblStylePr>
    <w:tblStylePr w:type="firstCol">
      <w:rPr>
        <w:b w:val="0"/>
        <w:bCs w:val="0"/>
      </w:rPr>
      <w:tblPr/>
      <w:trPr/>
      <w:tcPr/>
    </w:tblStylePr>
    <w:tblStylePr w:type="lastRow">
      <w:rPr>
        <w:b w:val="0"/>
        <w:bCs w:val="0"/>
      </w:rPr>
      <w:tblPr/>
      <w:trPr/>
      <w:tcPr>
        <w:tcBorders>
          <w:top w:val="single" w:sz="6" w:space="0" w:shadow="0" w:frame="0" w:color="000000"/>
        </w:tcBorders>
      </w:tcPr>
    </w:tblStylePr>
    <w:tblStylePr w:type="firstRow">
      <w:rPr>
        <w:b w:val="0"/>
        <w:bCs w:val="0"/>
      </w:rPr>
      <w:tblPr/>
      <w:trPr/>
      <w:tcPr>
        <w:tcBorders>
          <w:bottom w:val="single" w:sz="12" w:space="0" w:shadow="0" w:frame="0" w:color="000000"/>
        </w:tcBorders>
      </w:tcPr>
    </w:tblStylePr>
  </w:style>
  <w:style w:type="table" w:styleId="T44">
    <w:name w:val="Table Grid 8"/>
    <w:basedOn w:val="T0"/>
    <w:semiHidden/>
    <w:pPr>
      <w:keepLines w:val="1"/>
    </w:pPr>
    <w:rPr>
      <w:lang w:val="sv-SE" w:eastAsia="sv-SE"/>
    </w:rPr>
    <w:tblPr>
      <w:tblBorders>
        <w:top w:val="single" w:sz="6" w:space="0" w:shadow="0" w:frame="0" w:color="000080"/>
        <w:left w:val="single" w:sz="6" w:space="0" w:shadow="0" w:frame="0" w:color="000080"/>
        <w:bottom w:val="single" w:sz="6" w:space="0" w:shadow="0" w:frame="0" w:color="000080"/>
        <w:right w:val="single" w:sz="6" w:space="0" w:shadow="0" w:frame="0" w:color="000080"/>
        <w:insideH w:val="single" w:sz="6" w:space="0" w:shadow="0" w:frame="0" w:color="000080"/>
        <w:insideV w:val="single" w:sz="6" w:space="0" w:shadow="0" w:frame="0" w:color="000080"/>
      </w:tblBorders>
    </w:tblPr>
    <w:trPr/>
    <w:tcPr>
      <w:shd w:val="clear" w:color="auto" w:fill="auto"/>
    </w:tcPr>
    <w:tblStylePr w:type="lastCol">
      <w:rPr>
        <w:b w:val="1"/>
        <w:bCs w:val="1"/>
        <w:color w:val="auto"/>
      </w:rPr>
      <w:tblPr/>
      <w:trPr/>
      <w:tcPr/>
    </w:tblStylePr>
    <w:tblStylePr w:type="lastRow">
      <w:rPr>
        <w:b w:val="1"/>
        <w:bCs w:val="1"/>
        <w:color w:val="auto"/>
      </w:rPr>
      <w:tblPr/>
      <w:trPr/>
      <w:tcPr/>
    </w:tblStylePr>
    <w:tblStylePr w:type="firstRow">
      <w:rPr>
        <w:b w:val="1"/>
        <w:bCs w:val="1"/>
        <w:color w:val="FFFFFF"/>
      </w:rPr>
      <w:tblPr/>
      <w:trPr/>
      <w:tcPr>
        <w:shd w:val="solid" w:color="000080" w:fill="FFFFFF"/>
      </w:tcPr>
    </w:tblStylePr>
  </w:style>
  <w:style w:type="table" w:styleId="T45">
    <w:name w:val="Table Theme"/>
    <w:basedOn w:val="T0"/>
    <w:semiHidden/>
    <w:pPr>
      <w:keepLines w:val="1"/>
    </w:pPr>
    <w:rPr>
      <w:lang w:val="sv-SE" w:eastAsia="sv-SE"/>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46">
    <w:name w:val="Table Web 1"/>
    <w:basedOn w:val="T0"/>
    <w:semiHidden/>
    <w:pPr>
      <w:keepLines w:val="1"/>
    </w:pPr>
    <w:rPr>
      <w:lang w:val="sv-SE" w:eastAsia="sv-SE"/>
    </w:rPr>
    <w:tblPr>
      <w:tblCellSpacing w:w="20" w:type="dxa"/>
      <w:tblBorders>
        <w:top w:val="outset" w:sz="6" w:space="0" w:shadow="0" w:frame="0" w:color="auto"/>
        <w:left w:val="outset" w:sz="6" w:space="0" w:shadow="0" w:frame="0" w:color="auto"/>
        <w:bottom w:val="outset" w:sz="6" w:space="0" w:shadow="0" w:frame="0" w:color="auto"/>
        <w:right w:val="outset" w:sz="6" w:space="0" w:shadow="0" w:frame="0" w:color="auto"/>
        <w:insideH w:val="outset" w:sz="6" w:space="0" w:shadow="0" w:frame="0" w:color="auto"/>
        <w:insideV w:val="outset" w:sz="6" w:space="0" w:shadow="0" w:frame="0" w:color="auto"/>
      </w:tblBorders>
    </w:tblPr>
    <w:trPr>
      <w:tblCellSpacing w:w="20" w:type="dxa"/>
    </w:trPr>
    <w:tcPr>
      <w:shd w:val="clear" w:color="auto" w:fill="auto"/>
    </w:tcPr>
    <w:tblStylePr w:type="firstRow">
      <w:rPr>
        <w:color w:val="auto"/>
      </w:rPr>
      <w:tblPr/>
      <w:trPr/>
      <w:tcPr/>
    </w:tblStylePr>
  </w:style>
  <w:style w:type="table" w:styleId="T47">
    <w:name w:val="Table Web 2"/>
    <w:basedOn w:val="T0"/>
    <w:semiHidden/>
    <w:pPr>
      <w:keepLines w:val="1"/>
    </w:pPr>
    <w:rPr>
      <w:lang w:val="sv-SE" w:eastAsia="sv-SE"/>
    </w:rPr>
    <w:tblPr>
      <w:tblCellSpacing w:w="20" w:type="dxa"/>
      <w:tblBorders>
        <w:top w:val="inset" w:sz="6" w:space="0" w:shadow="0" w:frame="0" w:color="auto"/>
        <w:left w:val="inset" w:sz="6" w:space="0" w:shadow="0" w:frame="0" w:color="auto"/>
        <w:bottom w:val="inset" w:sz="6" w:space="0" w:shadow="0" w:frame="0" w:color="auto"/>
        <w:right w:val="inset" w:sz="6" w:space="0" w:shadow="0" w:frame="0" w:color="auto"/>
        <w:insideH w:val="inset" w:sz="6" w:space="0" w:shadow="0" w:frame="0" w:color="auto"/>
        <w:insideV w:val="inset" w:sz="6" w:space="0" w:shadow="0" w:frame="0" w:color="auto"/>
      </w:tblBorders>
    </w:tblPr>
    <w:trPr>
      <w:tblCellSpacing w:w="20" w:type="dxa"/>
    </w:trPr>
    <w:tcPr>
      <w:shd w:val="clear" w:color="auto" w:fill="auto"/>
    </w:tcPr>
    <w:tblStylePr w:type="firstRow">
      <w:rPr>
        <w:color w:val="auto"/>
      </w:rPr>
      <w:tblPr/>
      <w:trPr/>
      <w:tcPr/>
    </w:tblStylePr>
  </w:style>
  <w:style w:type="table" w:styleId="T48">
    <w:name w:val="Table Web 3"/>
    <w:basedOn w:val="T0"/>
    <w:semiHidden/>
    <w:pPr>
      <w:keepLines w:val="1"/>
    </w:pPr>
    <w:rPr>
      <w:lang w:val="sv-SE" w:eastAsia="sv-SE"/>
    </w:rPr>
    <w:tblPr>
      <w:tblCellSpacing w:w="20" w:type="dxa"/>
      <w:tblBorders>
        <w:top w:val="outset" w:sz="24" w:space="0" w:shadow="0" w:frame="0" w:color="auto"/>
        <w:left w:val="outset" w:sz="24" w:space="0" w:shadow="0" w:frame="0" w:color="auto"/>
        <w:bottom w:val="outset" w:sz="24" w:space="0" w:shadow="0" w:frame="0" w:color="auto"/>
        <w:right w:val="outset" w:sz="24" w:space="0" w:shadow="0" w:frame="0" w:color="auto"/>
        <w:insideH w:val="outset" w:sz="6" w:space="0" w:shadow="0" w:frame="0" w:color="auto"/>
        <w:insideV w:val="outset" w:sz="6" w:space="0" w:shadow="0" w:frame="0" w:color="auto"/>
      </w:tblBorders>
    </w:tblPr>
    <w:trPr>
      <w:tblCellSpacing w:w="20" w:type="dxa"/>
    </w:trPr>
    <w:tcPr>
      <w:shd w:val="clear" w:color="auto" w:fill="auto"/>
    </w:tcPr>
    <w:tblStylePr w:type="firstRow">
      <w:rPr>
        <w:color w:val="auto"/>
      </w:rPr>
      <w:tblPr/>
      <w:trPr/>
      <w:tcPr/>
    </w:tblStylePr>
  </w:style>
  <w:style w:type="numbering" w:styleId="N0">
    <w:name w:val="No List"/>
  </w:style>
  <w:style w:type="numbering" w:styleId="N1">
    <w:name w:val="Company_List"/>
    <w:pPr>
      <w:numPr>
        <w:numId w:val="2"/>
      </w:numPr>
    </w:pPr>
  </w:style>
  <w:style w:type="numbering" w:styleId="N2">
    <w:name w:val="Company_ListBullet"/>
    <w:pPr>
      <w:numPr>
        <w:numId w:val="4"/>
      </w:numPr>
    </w:pPr>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png" /><Relationship Id="Relimage8" Type="http://schemas.openxmlformats.org/officeDocument/2006/relationships/image" Target="/media/image8.jpg" /><Relationship Id="RelHdr1" Type="http://schemas.openxmlformats.org/officeDocument/2006/relationships/header" Target="header1.xml"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theme/theme1.xml><?xml version="1.0" encoding="utf-8"?>
<a:theme xmlns:a="http://schemas.openxmlformats.org/drawingml/2006/main" name="Office-tema">
  <a:themeElements>
    <a:clrScheme name="Grön">
      <a:dk1>
        <a:sysClr val="windowText" lastClr="000000"/>
      </a:dk1>
      <a:lt1>
        <a:sysClr val="window" lastClr="FFFFFF"/>
      </a:lt1>
      <a:dk2>
        <a:srgbClr val="777171"/>
      </a:dk2>
      <a:lt2>
        <a:srgbClr val="C4C1C1"/>
      </a:lt2>
      <a:accent1>
        <a:srgbClr val="3D3531"/>
      </a:accent1>
      <a:accent2>
        <a:srgbClr val="00574A"/>
      </a:accent2>
      <a:accent3>
        <a:srgbClr val="9E9999"/>
      </a:accent3>
      <a:accent4>
        <a:srgbClr val="7B958B"/>
      </a:accent4>
      <a:accent5>
        <a:srgbClr val="C2DAD7"/>
      </a:accent5>
      <a:accent6>
        <a:srgbClr val="D8D6D6"/>
      </a:accent6>
      <a:hlink>
        <a:srgbClr val="000000"/>
      </a:hlink>
      <a:folHlink>
        <a:srgbClr val="000000"/>
      </a:folHlink>
    </a:clrScheme>
    <a:fontScheme name="Alingsås kommu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2" xmlns:gml="http://www.opengis.net/gml/3.2" xmlns="http://namespace.lantmateriet.se/distribution/geodatakatalog/planbeskrivning/v2">
  <versionGiltigFran>2025-04-09T09:55:47.8516367+02:00</versionGiltigFran>
  <detaljplansreferens>5682cd7b-8d2b-4a3c-ab8e-aefb25ca651a</detaljplansreferens>
  <Objektmetadata>
    <programvara>GEOSECMA</programvara>
    <programvaruversion>20.6</programvaruversion>
  </Objektmetadata>
  <Omfattning>
    <identitet>be_heladetaljplan01</identitet>
    <Lage>
      <planomrade>true</planomrade>
    </Lage>
    <Indelning>
      <tema>Beskrivning av detaljplanen</tema>
      <grupp>Hela detaljplan</grupp>
    </Indelning>
  </Omfattning>
  <Omfattning>
    <identitet>be_varförändringavdetaljplanvalts01</identitet>
    <Lage>
      <planomrade>true</planomrade>
    </Lage>
    <Indelning>
      <tema>Beskrivning av detaljplanen</tema>
      <grupp>Varför ändring av detaljplan valts</grupp>
    </Indelning>
  </Omfattning>
  <Omfattning>
    <identitet>sy_syfte01</identitet>
    <Lage>
      <planomrade>true</planomrade>
    </Lage>
    <Indelning>
      <tema>Detaljplanens syfte</tema>
      <grupp>Syfte</grupp>
    </Indelning>
  </Omfattning>
  <Omfattning>
    <identitet>be_kvartersmark01</identitet>
    <Lage>
      <planomrade>true</planomrade>
    </Lage>
    <Indelning>
      <tema>Beskrivning av detaljplanen</tema>
      <grupp>Kvartersmark</grupp>
    </Indelning>
  </Omfattning>
  <Omfattning>
    <identitet>mo_motivtillreglering01</identitet>
    <Lage>
      <planomrade>true</planomrade>
    </Lage>
    <Indelning>
      <tema>Motiv till detaljplanens regleringar</tema>
      <grupp>Motiv till reglering</grupp>
    </Indelning>
  </Omfattning>
  <Omfattning>
    <identitet>pf_kommunala01</identitet>
    <Lage>
      <planomrade>true</planomrade>
    </Lage>
    <Indelning>
      <tema>Planeringsförutsättningar</tema>
      <grupp>Kommunala</grupp>
    </Indelning>
  </Omfattning>
  <Omfattning>
    <identitet>pf_hälsaochsäkerhet01</identitet>
    <Lage>
      <planomrade>true</planomrade>
    </Lage>
    <Indelning>
      <tema>Planeringsförutsättningar</tema>
      <grupp>Hälsa och säkerhet</grupp>
    </Indelning>
  </Omfattning>
  <Omfattning>
    <identitet>pf_geotekniskaförhållanden01</identitet>
    <Lage>
      <planomrade>true</planomrade>
    </Lage>
    <Indelning>
      <tema>Planeringsförutsättningar</tema>
      <grupp>Geotekniska förhållanden</grupp>
    </Indelning>
  </Omfattning>
  <Omfattning>
    <identitet>pf_hydrologiskaförhållanden01</identitet>
    <Lage>
      <planomrade>true</planomrade>
    </Lage>
    <Indelning>
      <tema>Planeringsförutsättningar</tema>
      <grupp>Hydrologiska förhållanden</grupp>
    </Indelning>
  </Omfattning>
  <Omfattning>
    <identitet>pf_miljökvalitetsnormer01</identitet>
    <Lage>
      <planomrade>true</planomrade>
    </Lage>
    <Indelning>
      <tema>Planeringsförutsättningar</tema>
      <grupp>Miljökvalitetsnormer</grupp>
    </Indelning>
  </Omfattning>
  <Omfattning>
    <identitet>pf_teknik01</identitet>
    <Lage>
      <planomrade>true</planomrade>
    </Lage>
    <Indelning>
      <tema>Planeringsförutsättningar</tema>
      <grupp>Teknik</grupp>
    </Indelning>
  </Omfattning>
  <Omfattning>
    <identitet>gf_fastighetsrättsligafrågor01</identitet>
    <Lage>
      <planomrade>true</planomrade>
    </Lage>
    <Indelning>
      <tema>Genomförandefrågor</tema>
      <grupp>Fastighetsrättsliga frågor</grupp>
    </Indelning>
  </Omfattning>
  <Omfattning>
    <identitet>gf_planekonomiskbedömning01</identitet>
    <Lage>
      <planomrade>true</planomrade>
    </Lage>
    <Indelning>
      <tema>Genomförandefrågor</tema>
      <grupp>Ekonomiska frågor</grupp>
      <undergrupp>Planekonomisk bedömning</undergrupp>
    </Indelning>
  </Omfattning>
</Planbeskrivning>
</file>

<file path=customXml/itemProps1.xml><?xml version="1.0" encoding="utf-8"?>
<ds:datastoreItem xmlns:ds="http://schemas.openxmlformats.org/officeDocument/2006/customXml" ds:itemID="{b94947e5-408c-4d16-b8e4-44408f2a8623}">
  <ds:schemaRefs>
    <ds:schemaRef ds:uri="http://schemas.microsoft.com/vsto/samples"/>
  </ds:schemaRefs>
</ds:datastoreItem>
</file>

<file path=customXml/itemProps2.xml><?xml version="1.0" encoding="utf-8"?>
<ds:datastoreItem xmlns:ds="http://schemas.openxmlformats.org/officeDocument/2006/customXml" ds:itemID="8838a796-d801-4523-91b4-dd55aecf8267">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Styrdokument - Rapport etc</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Hanna Pettersson</dc:creator>
  <dcterms:created xsi:type="dcterms:W3CDTF">2023-11-20T20:29:00Z</dcterms:created>
  <cp:lastModifiedBy>Emelie Spreizer Aspeheim</cp:lastModifiedBy>
  <cp:lastPrinted>2023-09-14T06:54:00Z</cp:lastPrinted>
  <dcterms:modified xsi:type="dcterms:W3CDTF">2025-04-09T07:58:07Z</dcterms:modified>
  <cp:revision>9</cp:revision>
</cp:coreProperties>
</file>