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ackground w:color="FFFFFF"/>
  <w:body>
    <w:p>
      <w:pPr>
        <w:pStyle w:val="P5"/>
      </w:pPr>
    </w:p>
    <w:p/>
    <w:p/>
    <w:p>
      <w:pPr>
        <w:ind w:firstLine="360"/>
        <w:rPr>
          <w:rFonts w:ascii="Arial" w:hAnsi="Arial" w:cs="Arial"/>
        </w:rPr>
      </w:pPr>
    </w:p>
    <w:p>
      <w:pPr>
        <w:pStyle w:val="P1"/>
      </w:pPr>
    </w:p>
    <w:p>
      <w:pPr>
        <w:pStyle w:val="P1"/>
      </w:pPr>
    </w:p>
    <w:p>
      <w:pPr>
        <w:pStyle w:val="P1"/>
      </w:pPr>
      <w:r>
        <w:t>Detaljplan för</w:t>
      </w:r>
    </w:p>
    <w:p>
      <w:pPr>
        <w:pStyle w:val="P1"/>
      </w:pPr>
      <w:r>
        <w:rPr>
          <w:szCs w:val="36"/>
        </w:rPr>
        <w:t>bostäder vid Sturegatan/Stigaregatan</w:t>
      </w:r>
    </w:p>
    <w:p>
      <w:pPr>
        <w:pStyle w:val="P1"/>
      </w:pPr>
      <w:r>
        <w:t>i Falu kommun, Dalarnas län</w:t>
      </w:r>
    </w:p>
    <w:p>
      <w:pPr>
        <w:pStyle w:val="P4"/>
        <w:numPr>
          <w:ilvl w:val="0"/>
          <w:numId w:val="0"/>
        </w:numPr>
        <w:ind w:firstLine="0" w:left="142" w:right="810"/>
        <w:rPr>
          <w:sz w:val="32"/>
        </w:rPr>
      </w:pPr>
    </w:p>
    <w:p>
      <w:pPr>
        <w:pStyle w:val="P1"/>
      </w:pPr>
      <w:r>
        <w:t xml:space="preserve">Planbeskrivning </w:t>
        <w:tab/>
      </w:r>
    </w:p>
    <w:p>
      <w:r>
        <w:rPr>
          <w:noProof w:val="1"/>
          <w:lang w:eastAsia="sv-SE"/>
        </w:rPr>
        <mc:AlternateContent>
          <mc:Choice Requires="wps">
            <w:drawing>
              <wp:anchor xmlns:wp="http://schemas.openxmlformats.org/drawingml/2006/wordprocessingDrawing" distT="0" distB="0" distL="114300" distR="114300" simplePos="0" relativeHeight="3" behindDoc="0" locked="0" layoutInCell="1" allowOverlap="1">
                <wp:simplePos x="0" y="0"/>
                <wp:positionH relativeFrom="column">
                  <wp:posOffset>1401445</wp:posOffset>
                </wp:positionH>
                <wp:positionV relativeFrom="paragraph">
                  <wp:posOffset>1008380</wp:posOffset>
                </wp:positionV>
                <wp:extent cx="215900" cy="579120"/>
                <wp:effectExtent l="57150" t="19050" r="31750" b="49530"/>
                <wp:wrapNone/>
                <wp:docPr id="12" name="Rak pilkoppling 12"/>
                <wp:cNvGraphicFramePr/>
                <a:graphic xmlns:a="http://schemas.openxmlformats.org/drawingml/2006/main">
                  <a:graphicData uri="http://schemas.microsoft.com/office/word/2010/wordprocessingShape">
                    <wps:wsp>
                      <wps:cNvCnPr>
                        <a:stCxn id="0" idx="0"/>
                        <a:endCxn id="0" idx="0"/>
                      </wps:cNvCnPr>
                      <wps:spPr>
                        <a:xfrm flipV="1" rot="10800000">
                          <a:off x="0" y="0"/>
                          <a:ext cx="216343" cy="579672"/>
                        </a:xfrm>
                        <a:prstGeom prst="straightConnector1"/>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xmlns:o="urn:schemas-microsoft-com:office:office" id="_x0000_t32" coordsize="21600,21600" o:spt="32" path="m,l21600,21600e" filled="f">
                <v:path fillok="f" o:connecttype="none"/>
                <o:lock v:ext="edit" shapetype="t"/>
              </v:shapetype>
              <v:shape xmlns:o="urn:schemas-microsoft-com:office:office" type="#_x0000_t32" id="Rak pilkoppling 12" o:spid="_x0000_s1026" style="position:absolute;width:17pt;height:45.6pt;flip:y;z-index:3;mso-wrap-distance-left:9pt;mso-wrap-distance-top:0pt;mso-wrap-distance-right:9pt;mso-wrap-distance-bottom:0pt;margin-left:110.35pt;margin-top:79.4pt;mso-position-horizontal:absolute;mso-position-horizontal-relative:text;mso-position-vertical:absolute;mso-position-vertical-relative:text;rotation:180" strokecolor="#FF0000" strokeweight="2.25pt" stroked="t" o:allowincell="t">
                <v:stroke endarrow="block"/>
              </v:shape>
            </w:pict>
          </mc:Fallback>
        </mc:AlternateContent>
      </w:r>
      <w:r>
        <w:rPr>
          <w:noProof w:val="1"/>
          <w:lang w:eastAsia="sv-SE"/>
        </w:rPr>
        <mc:AlternateContent>
          <mc:Choice Requires="wps">
            <w:drawing>
              <wp:anchor xmlns:wp="http://schemas.openxmlformats.org/drawingml/2006/wordprocessingDrawing" distT="0" distB="0" distL="114300" distR="114300" simplePos="0" relativeHeight="5" behindDoc="0" locked="0" layoutInCell="1" allowOverlap="1">
                <wp:simplePos x="0" y="0"/>
                <wp:positionH relativeFrom="column">
                  <wp:posOffset>1315720</wp:posOffset>
                </wp:positionH>
                <wp:positionV relativeFrom="paragraph">
                  <wp:posOffset>1663065</wp:posOffset>
                </wp:positionV>
                <wp:extent cx="133350" cy="102235"/>
                <wp:effectExtent l="15240" t="22225" r="15240" b="15240"/>
                <wp:wrapNone/>
                <wp:docPr id="13" name="Ellips 13"/>
                <wp:cNvGraphicFramePr/>
                <a:graphic xmlns:a="http://schemas.openxmlformats.org/drawingml/2006/main">
                  <a:graphicData uri="http://schemas.microsoft.com/office/word/2010/wordprocessingShape">
                    <wps:wsp>
                      <wps:cNvSpPr/>
                      <wps:spPr>
                        <a:xfrm rot="3650024">
                          <a:off x="0" y="0"/>
                          <a:ext cx="133375" cy="102566"/>
                        </a:xfrm>
                        <a:prstGeom prst="ellipse"/>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13" o:spid="_x0000_s1027" style="position:absolute;width:10.5pt;height:8.05pt;z-index:5;mso-wrap-distance-left:9pt;mso-wrap-distance-top:0pt;mso-wrap-distance-right:9pt;mso-wrap-distance-bottom:0pt;margin-left:103.6pt;margin-top:130.95pt;mso-position-horizontal:absolute;mso-position-horizontal-relative:text;mso-position-vertical:absolute;mso-position-vertical-relative:text;v-text-anchor:middle;rotation:3986799fd" o:allowincell="t" fillcolor="#FF0000" strokecolor="#FF0000" strokeweight="1pt" stroked="t">
                <v:textbox inset="3mm,1mm,3mm,1mm">
                  <w:txbxContent>
                    <w:p/>
                  </w:txbxContent>
                </v:textbox>
              </v:oval>
            </w:pict>
          </mc:Fallback>
        </mc:AlternateContent>
      </w:r>
      <w:r>
        <w:rPr>
          <w:noProof w:val="1"/>
        </w:rPr>
        <w:drawing>
          <wp:inline xmlns:wp="http://schemas.openxmlformats.org/drawingml/2006/wordprocessingDrawing" distT="0" distB="0" distL="0" distR="0">
            <wp:extent cx="4531360" cy="3641090"/>
            <wp:effectExtent l="0" t="0" r="254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4"/>
                    <pic:cNvPicPr/>
                  </pic:nvPicPr>
                  <pic:blipFill dpi="0">
                    <a:blip xmlns:r="http://schemas.openxmlformats.org/officeDocument/2006/relationships" r:embed="Relimage1"/>
                    <a:srcRect l="14566" r="8561" b="7538"/>
                    <a:stretch>
                      <a:fillRect/>
                    </a:stretch>
                  </pic:blipFill>
                  <pic:spPr bwMode="auto">
                    <a:xfrm>
                      <a:off x="0" y="0"/>
                      <a:ext cx="4532448" cy="3642572"/>
                    </a:xfrm>
                    <a:prstGeom prst="rect"/>
                    <a:ln>
                      <a:noFill/>
                    </a:ln>
                  </pic:spPr>
                </pic:pic>
              </a:graphicData>
            </a:graphic>
          </wp:inline>
        </w:drawing>
      </w:r>
    </w:p>
    <w:p>
      <w:pPr>
        <w:pStyle w:val="P34"/>
      </w:pPr>
    </w:p>
    <w:p>
      <w:pPr>
        <w:pStyle w:val="P34"/>
      </w:pPr>
    </w:p>
    <w:p>
      <w:pPr>
        <w:pStyle w:val="P34"/>
      </w:pPr>
    </w:p>
    <w:p>
      <w:pPr>
        <w:pStyle w:val="P34"/>
      </w:pPr>
    </w:p>
    <w:p>
      <w:pPr>
        <w:pStyle w:val="P34"/>
        <w:tabs>
          <w:tab w:val="left" w:pos="1515" w:leader="none"/>
        </w:tabs>
      </w:pPr>
      <w:r>
        <w:tab/>
      </w:r>
    </w:p>
    <w:p>
      <w:pPr>
        <w:pStyle w:val="P2"/>
      </w:pPr>
      <w:r>
        <w:t>Handlingar</w:t>
      </w:r>
    </w:p>
    <w:p>
      <w:pPr>
        <w:numPr>
          <w:ilvl w:val="0"/>
          <w:numId w:val="6"/>
        </w:numPr>
        <w:spacing w:after="120" w:beforeAutospacing="0" w:afterAutospacing="0"/>
        <w:ind w:right="1916"/>
      </w:pPr>
      <w:r>
        <w:t>plankarta, skala 1:300, med planbestämmelser</w:t>
      </w:r>
    </w:p>
    <w:p>
      <w:pPr>
        <w:numPr>
          <w:ilvl w:val="0"/>
          <w:numId w:val="6"/>
        </w:numPr>
        <w:spacing w:after="120" w:beforeAutospacing="0" w:afterAutospacing="0"/>
        <w:ind w:right="1916"/>
      </w:pPr>
      <w:r>
        <w:t>planbeskrivning</w:t>
      </w:r>
    </w:p>
    <w:p>
      <w:pPr>
        <w:pStyle w:val="P2"/>
      </w:pPr>
      <w:r>
        <w:t>Planförfarande</w:t>
      </w:r>
    </w:p>
    <w:p>
      <w:pPr>
        <w:tabs>
          <w:tab w:val="left" w:pos="7371" w:leader="none"/>
        </w:tabs>
        <w:spacing w:after="120" w:beforeAutospacing="0" w:afterAutospacing="0"/>
        <w:ind w:right="1914"/>
      </w:pPr>
      <w:r>
        <w:t xml:space="preserve">Detaljplanen handläggs med standardförfarande. </w:t>
      </w:r>
    </w:p>
    <w:p>
      <w:pPr>
        <w:pStyle w:val="P2"/>
      </w:pPr>
      <w:r>
        <w:t>Planens syfte och huvuddrag</w:t>
      </w:r>
    </w:p>
    <w:p>
      <w:pPr>
        <w:spacing w:after="120" w:beforeAutospacing="0" w:afterAutospacing="0"/>
        <w:ind w:right="1914"/>
      </w:pPr>
      <w:bookmarkStart w:id="0" w:name="sy_syfte01"/>
      <w:r>
        <w:t>Syftet med planen är möjliggöra så att detaljplanen medger både bostäder och kontor. Detaljplanen säkerställer också fastighetens kulturhistoriska värden genom utformnings- och varsamhetsbestämmelser inom del av fastigheten Nya Bergsskolan 4. Syftet är också att justera fastighetsgränsen mot Nya Bergsskolan 2.</w:t>
      </w:r>
    </w:p>
    <w:p>
      <w:pPr>
        <w:pStyle w:val="P2"/>
      </w:pPr>
      <w:bookmarkEnd w:id="0"/>
      <w:r>
        <w:t>Förenligt med 3, 4 och 5 kap miljöbalken</w:t>
      </w:r>
    </w:p>
    <w:p>
      <w:pPr>
        <w:spacing w:after="120" w:beforeAutospacing="0" w:afterAutospacing="0"/>
        <w:ind w:right="1916"/>
      </w:pPr>
      <w:bookmarkStart w:id="1" w:name="pf_hushållningsbestämmelserenl3kap_mb01"/>
      <w:r>
        <w:t xml:space="preserve">Detaljplanen bedöms vara förenlig med miljöbalkens grundläggande bestämmelser för hushållning med mark- och vattenområden. Planområdet ligger inom Riksintresse för kulturmiljövården, liksom även av området för världsarvet. </w:t>
      </w:r>
    </w:p>
    <w:p>
      <w:pPr>
        <w:spacing w:after="120" w:beforeAutospacing="0" w:afterAutospacing="0"/>
        <w:ind w:right="1916"/>
      </w:pPr>
      <w:r>
        <w:t xml:space="preserve">Enligt miljöbalken 3 kap 6 § ska områden som är av riksintresse för kulturmiljövården skyddas mot åtgärder som påtagligt kan skada riksintresset. Detaljplanens genomförande bedöms inte innebära några åtgärder som kan medföra skada på Riksintresset. </w:t>
      </w:r>
    </w:p>
    <w:p>
      <w:pPr>
        <w:spacing w:after="120" w:beforeAutospacing="0" w:afterAutospacing="0"/>
        <w:ind w:right="1916"/>
      </w:pPr>
      <w:bookmarkEnd w:id="1"/>
      <w:bookmarkStart w:id="2" w:name="pf_miljökvalitetsnormer01"/>
      <w:r>
        <w:t>Inga miljökvalitetsnormer bedöms överskridas inom planområdet.</w:t>
      </w:r>
    </w:p>
    <w:p>
      <w:pPr>
        <w:pStyle w:val="P2"/>
        <w:numPr>
          <w:ilvl w:val="0"/>
          <w:numId w:val="0"/>
        </w:numPr>
        <w:ind w:firstLine="0" w:left="0"/>
        <w:rPr>
          <w:rFonts w:ascii="Garamond" w:hAnsi="Garamond"/>
        </w:rPr>
      </w:pPr>
      <w:bookmarkEnd w:id="2"/>
      <w:r>
        <w:t>Undersökning av betydande miljöpåverkan</w:t>
      </w:r>
    </w:p>
    <w:p>
      <w:pPr>
        <w:spacing w:after="120" w:beforeAutospacing="0" w:afterAutospacing="0"/>
        <w:ind w:right="1916"/>
      </w:pPr>
      <w:bookmarkStart w:id="3" w:name="pu_särskiltbeslutombetydandemiljöpåver01"/>
      <w:r>
        <w:t>En undersökning om planen antas medföra betydande miljöpåverkan har gjorts. Planens genomförande bedöms inte innebära en sådan betydande påverkan på miljön, hälsan och hushållningen med naturresurser att en miljökonsekvensbeskrivning enligt 4 kap. 34 § plan- och bygglagen, PBL behöver upprättas.</w:t>
      </w:r>
    </w:p>
    <w:p>
      <w:pPr>
        <w:spacing w:after="120" w:beforeAutospacing="0" w:afterAutospacing="0"/>
        <w:ind w:right="1916"/>
      </w:pPr>
      <w:r>
        <w:t xml:space="preserve">Kommunens bedömning är att detaljplanen inte medför någon betydande miljöpåverkan med hänsyn till de kriterier som anges i Miljöbedömningsförordningen (2017:966) 5 §. Någon miljökonsekvensbeskrivning enligt 6 kap 11 § miljöbalken behöver därför inte upprättas. </w:t>
      </w:r>
      <w:r>
        <w:rPr>
          <w:sz w:val="23"/>
          <w:szCs w:val="23"/>
        </w:rPr>
        <w:t>Länsstyrelsen delar kommunens bedömning att detaljplaneförslaget inte innebär betydande miljöpåverkan.</w:t>
      </w:r>
    </w:p>
    <w:p>
      <w:pPr>
        <w:spacing w:after="120" w:beforeAutospacing="0" w:afterAutospacing="0"/>
        <w:ind w:right="1916"/>
      </w:pPr>
      <w:bookmarkEnd w:id="3"/>
      <w:bookmarkStart w:id="4" w:name="ko_ställningstagande4kap33b_pbl01"/>
      <w:r>
        <w:t xml:space="preserve">Detaljplanen hanterar befintlig bebyggelse och bedöms därför ha mycket begränsad påverkan på miljön och klimatet. Det är positivt att befintlig bebyggelse kan få ny användning och bidra till större blandning av upplåtelseformer för boende i området. Fördelarna med att möjliggöra fortsatt användning av befintlig byggnad överväger den mycket begränsade miljöpåverkan som planen eventuellt kan bidra till. </w:t>
      </w:r>
    </w:p>
    <w:p>
      <w:pPr>
        <w:pStyle w:val="P2"/>
      </w:pPr>
      <w:bookmarkEnd w:id="4"/>
      <w:r>
        <w:t>Plandata</w:t>
      </w:r>
    </w:p>
    <w:p>
      <w:pPr>
        <w:pStyle w:val="P3"/>
      </w:pPr>
      <w:r>
        <w:t>Lägesbestämning</w:t>
      </w:r>
    </w:p>
    <w:p>
      <w:pPr>
        <w:ind w:right="1914"/>
      </w:pPr>
      <w:bookmarkStart w:id="5" w:name="be_heladetaljplan01"/>
      <w:r>
        <w:t>Planområdet ligger i de centrala delarna av innerstaden och omfattar delar av fastigheterna Nya Bergsskolan 4 och Nya Bergskolan 2. Planområdet avgränsas av Sturegatan i väster och Stigaregatan i söder.</w:t>
      </w:r>
    </w:p>
    <w:p>
      <w:pPr>
        <w:pStyle w:val="P3"/>
      </w:pPr>
      <w:bookmarkEnd w:id="5"/>
      <w:r>
        <w:t>Areal</w:t>
      </w:r>
    </w:p>
    <w:p>
      <w:bookmarkStart w:id="6" w:name="be_heladetaljplan02"/>
      <w:r>
        <w:t>Planområdet är ca 1400 m</w:t>
      </w:r>
      <w:r>
        <w:rPr>
          <w:vertAlign w:val="superscript"/>
        </w:rPr>
        <w:t>2</w:t>
      </w:r>
      <w:r>
        <w:t>.</w:t>
      </w:r>
    </w:p>
    <w:p>
      <w:pPr>
        <w:pStyle w:val="P2"/>
        <w:numPr>
          <w:ilvl w:val="0"/>
          <w:numId w:val="0"/>
        </w:numPr>
        <w:ind w:firstLine="0" w:left="0"/>
      </w:pPr>
      <w:bookmarkEnd w:id="6"/>
      <w:r>
        <w:t>Tidigare ställningstaganden</w:t>
      </w:r>
    </w:p>
    <w:p>
      <w:pPr>
        <w:pStyle w:val="P3"/>
      </w:pPr>
      <w:r>
        <w:t>Riksintressen och världsarv</w:t>
      </w:r>
    </w:p>
    <w:p>
      <w:pPr>
        <w:ind w:right="1914"/>
      </w:pPr>
      <w:bookmarkStart w:id="7" w:name="pf_kulturmiljövård01"/>
      <w:r>
        <w:t xml:space="preserve">Planområdet ingår i riksintresse för kulturmiljövården, Falun, W15. Uttryck för riksintresset är enligt riksintressebeskrivningen bland annat den rätvinkliga rutnätsplanen, tomtstrukturen och präktiga stadsgårdar i centrum. (RAÄ riksintressebeskrivning senast uppdaterad 2013-09-11.) Detaljplanen ligger också inom Världsarvet Falun. </w:t>
      </w:r>
    </w:p>
    <w:p>
      <w:pPr>
        <w:pStyle w:val="P3"/>
      </w:pPr>
      <w:bookmarkEnd w:id="7"/>
      <w:r>
        <w:t>Översiktliga planer</w:t>
      </w:r>
    </w:p>
    <w:p>
      <w:pPr>
        <w:pStyle w:val="P4"/>
      </w:pPr>
      <w:bookmarkStart w:id="8" w:name="pf_översiktsplan01"/>
      <w:r>
        <w:t>Översiktsplan FalunBorlänge</w:t>
      </w:r>
    </w:p>
    <w:p>
      <w:pPr>
        <w:ind w:right="1914"/>
        <w:rPr>
          <w:i w:val="1"/>
          <w:color w:val="FF0000"/>
        </w:rPr>
      </w:pPr>
      <w:r>
        <w:t xml:space="preserve">I översiktsplan FalunBorlänge, antagen av kommunfullmäktige 2014-06-12, är markanvändningen för det aktuella området </w:t>
      </w:r>
      <w:r>
        <w:rPr>
          <w:i w:val="1"/>
        </w:rPr>
        <w:t>Bebyggelse – tätorter och planlagda områden</w:t>
      </w:r>
      <w:r>
        <w:t xml:space="preserve">. </w:t>
      </w:r>
    </w:p>
    <w:p>
      <w:pPr>
        <w:ind w:right="1914"/>
        <w:rPr>
          <w:i w:val="1"/>
          <w:color w:val="FF0000"/>
        </w:rPr>
      </w:pPr>
    </w:p>
    <w:p>
      <w:pPr>
        <w:ind w:right="1914"/>
      </w:pPr>
      <w:r>
        <w:t>Översiktsplanen rekommenderar förtätning av stadskärnan där en variation av upplåtelseformer eftersträvas liksom en blandning av bostäder och arbetsplatser för att motverka segregation. Den lokala bebyggelse- och byggnadshistorien, dess utseende och struktur, är viktig att värna om och är särskilt viktig inom världsarvet. Nya och befintliga bostäder ska ha god tillgång till trygga och tillgängliga miljöer för lek och rekreation.</w:t>
      </w:r>
    </w:p>
    <w:p>
      <w:pPr>
        <w:ind w:right="1914"/>
      </w:pPr>
      <w:r>
        <w:t>Dagvatten ska tas omhand och renas på ett hållbart sätt. Hänsyn ska tas till störningar från buller och vibrationer. Hänsyn ska tas till förekomsten av förorenade områden. All planering ska utgå från nödvändigheten att minska påverkan på klimatet och att använda energi effektivt.</w:t>
      </w:r>
    </w:p>
    <w:p>
      <w:pPr>
        <w:pStyle w:val="P4"/>
        <w:rPr>
          <w:i w:val="0"/>
        </w:rPr>
      </w:pPr>
      <w:r>
        <w:t>Fördjupad översiktsplan Falu tätort och området runt Varpan</w:t>
      </w:r>
    </w:p>
    <w:p>
      <w:pPr>
        <w:spacing w:after="240" w:beforeAutospacing="0" w:afterAutospacing="0"/>
        <w:ind w:right="1914"/>
      </w:pPr>
      <w:r>
        <w:t xml:space="preserve">Kommunfullmäktige antog den gällande fördjupade översiktsplanen (FÖP) 2018-09-13. </w:t>
      </w:r>
    </w:p>
    <w:p>
      <w:pPr>
        <w:ind w:right="1914"/>
      </w:pPr>
      <w:r>
        <w:t xml:space="preserve">Planområdet återfinns i FÖP:en i ett område betecknat </w:t>
      </w:r>
      <w:r>
        <w:rPr>
          <w:i w:val="1"/>
        </w:rPr>
        <w:t>Stadsbygd, Oförändrad</w:t>
      </w:r>
      <w:r>
        <w:t>. Planområdet ingår i ett område med både äldre småskalig bebyggelse och mer storskalig bebyggelse från 1960- och 1980-talet. En tät innerstad med slutna kvarter eftersträvas. Omvandling till bostäder är möjlig till viss del men det är viktigt att behålla verksamheter för att få en blandstad.</w:t>
      </w:r>
    </w:p>
    <w:p>
      <w:pPr>
        <w:pStyle w:val="P3"/>
      </w:pPr>
      <w:bookmarkEnd w:id="8"/>
      <w:r>
        <w:t>Detaljplaner och områdesbestämmelser</w:t>
      </w:r>
    </w:p>
    <w:p>
      <w:pPr>
        <w:pStyle w:val="P4"/>
        <w:rPr>
          <w:color w:val="FF0000"/>
        </w:rPr>
      </w:pPr>
      <w:bookmarkStart w:id="9" w:name="pf_detaljplan01"/>
      <w:r>
        <w:t>Detaljplan för del av Kv Teatern och Nya Bergskolan</w:t>
      </w:r>
      <w:r>
        <w:rPr>
          <w:color w:val="FF0000"/>
        </w:rPr>
        <w:t xml:space="preserve"> </w:t>
      </w:r>
    </w:p>
    <w:p>
      <w:pPr>
        <w:ind w:right="1914"/>
      </w:pPr>
      <w:r>
        <w:t>För området gäller</w:t>
      </w:r>
      <w:r>
        <w:rPr>
          <w:color w:val="FF0000"/>
        </w:rPr>
        <w:t xml:space="preserve"> </w:t>
      </w:r>
      <w:r>
        <w:t xml:space="preserve">detaljplan för del av Kv Teatern och Nya Bergskolan, LK 2001-06-12. Markanvändningen inom aktuellt planbeskedsområde är kontor och hantverk. Planen ger skydd åt de kulturhistoriska byggnaderna inom planområdet genom varsamhetsbestämmelser vid ombyggnad och hänsynsbestämmelser för tillbyggnad. Byggnader ska utformas med hänsyn till gatans och byggnadernas historiska karaktär samt framkomlighet längs gatorna. </w:t>
      </w:r>
    </w:p>
    <w:p>
      <w:pPr>
        <w:pStyle w:val="P3"/>
      </w:pPr>
      <w:bookmarkEnd w:id="9"/>
      <w:r>
        <w:t>Kommunala beslut i övrigt</w:t>
      </w:r>
    </w:p>
    <w:p>
      <w:pPr>
        <w:pStyle w:val="P4"/>
      </w:pPr>
      <w:r>
        <w:t>Husen berättar. Bevarandeplan för Falu innerstad 2012</w:t>
      </w:r>
    </w:p>
    <w:p>
      <w:pPr>
        <w:ind w:right="1914"/>
      </w:pPr>
      <w:bookmarkStart w:id="10" w:name="pf_falubygdenberättar01"/>
      <w:r>
        <w:t xml:space="preserve">Enligt </w:t>
      </w:r>
      <w:r>
        <w:rPr>
          <w:i w:val="1"/>
        </w:rPr>
        <w:t>Husen berättar</w:t>
      </w:r>
      <w:r>
        <w:t xml:space="preserve">, finns kulturhistoriskt värdefulla byggnader inom alla klasser, I-III i kvarteret Nya Bergskolan 4. Inom området utmed Stigaregatan är en kontorsbyggnad, tidigare bostadshus, i timmer samt ett uthus som är av stort kulturhistoriskt värde (II). Huset längs Sturegatan, också i timmer, är klassat som byggnad med kulturhistoriskt och/eller miljömässigt värde (III). Falu-Kurirenhuset på Engelbrektsgatan 25 är kulturhistoriskt särskilt värdefull (I). </w:t>
      </w:r>
    </w:p>
    <w:p>
      <w:pPr>
        <w:pStyle w:val="P4"/>
      </w:pPr>
      <w:bookmarkEnd w:id="10"/>
      <w:r>
        <w:t>Cykelplan för Falu kommun</w:t>
      </w:r>
    </w:p>
    <w:p>
      <w:pPr>
        <w:ind w:right="1914"/>
      </w:pPr>
      <w:bookmarkStart w:id="11" w:name="pf_cykelplan01"/>
      <w:r>
        <w:t xml:space="preserve">I cykelplanen, antagen av kommunfullmäktige april 2014, påpekas vikten av bra möjlighet till parkering för cyklister och att parkeringarna håller en hög standard. Stigaregatan som passerar utmed planområdet ingår i cykelplanen och i ett av tätortens huvudcykelstråk (Lugnet-Gruvan och Ingarvet). </w:t>
      </w:r>
    </w:p>
    <w:p>
      <w:pPr>
        <w:pStyle w:val="P4"/>
      </w:pPr>
      <w:bookmarkEnd w:id="11"/>
      <w:r>
        <w:t>Dagvattenstrategi</w:t>
      </w:r>
    </w:p>
    <w:p>
      <w:pPr>
        <w:ind w:right="1914"/>
      </w:pPr>
      <w:bookmarkStart w:id="12" w:name="pf_dagvattenstrategi01"/>
      <w:r>
        <w:t xml:space="preserve">Dagvattenstrategi för Falu kommun antogs av kommunfullmäktige 2020-02-06 och innehåller bland annat kommunens riktlinjer för hållbar dagvattenhantering. Enligt strategin ska </w:t>
      </w:r>
      <w:bookmarkStart w:id="13" w:name="_Hlk50541813"/>
      <w:r>
        <w:t xml:space="preserve">dagvattenhantering planeras på ett sätt som tar hänsyn till klimatförändringar och till risken att nederbörden kan bli kraftigare i framtiden. </w:t>
      </w:r>
      <w:bookmarkEnd w:id="13"/>
      <w:r>
        <w:t xml:space="preserve">Dagvatten ska fördröjas på ett sätt så att recipientens flöde inte förorenas eller förändras och som undviker att dagvatten orsakar skador på byggnader och anläggningar. Dagvatten ska i första hand tas om hand och fördröjas lokalt inom kvartersmark. </w:t>
      </w:r>
    </w:p>
    <w:p>
      <w:pPr>
        <w:pStyle w:val="P4"/>
      </w:pPr>
      <w:bookmarkEnd w:id="12"/>
      <w:r>
        <w:t>Parkeringsnorm för bil och cykel</w:t>
      </w:r>
    </w:p>
    <w:p>
      <w:pPr>
        <w:ind w:right="1914"/>
      </w:pPr>
      <w:r>
        <w:t xml:space="preserve">I parkeringsnorm för bil och cykel för Falu kommun, antagen av kommunfullmäktige 2014-03-13 anges att det ska göras en särskild utredning vad gäller parkering för bostäder. Detta gäller både bil- och cykelplatser. </w:t>
      </w:r>
    </w:p>
    <w:p>
      <w:pPr>
        <w:pStyle w:val="P2"/>
      </w:pPr>
      <w:r>
        <w:t xml:space="preserve">Förutsättningar och förändringar </w:t>
      </w:r>
    </w:p>
    <w:p>
      <w:pPr>
        <w:pStyle w:val="P3"/>
      </w:pPr>
      <w:r>
        <w:t>Natur</w:t>
      </w:r>
    </w:p>
    <w:p>
      <w:pPr>
        <w:pStyle w:val="P4"/>
        <w:rPr>
          <w:b w:val="1"/>
        </w:rPr>
      </w:pPr>
      <w:r>
        <w:t>Mark och vegetation</w:t>
      </w:r>
    </w:p>
    <w:p>
      <w:pPr>
        <w:spacing w:after="120" w:beforeAutospacing="0" w:afterAutospacing="0"/>
        <w:ind w:right="1914"/>
        <w:rPr>
          <w:lang w:eastAsia="sv-SE"/>
        </w:rPr>
      </w:pPr>
      <w:r>
        <w:rPr>
          <w:lang w:eastAsia="sv-SE"/>
        </w:rPr>
        <w:t xml:space="preserve">Marken inom planområdet är </w:t>
      </w:r>
      <w:r>
        <w:t xml:space="preserve">relativt plant. </w:t>
      </w:r>
      <w:r>
        <w:rPr>
          <w:lang w:eastAsia="sv-SE"/>
        </w:rPr>
        <w:t xml:space="preserve">Det finns en innergård som består av en grusad yta. Grönska saknas helt förutom en ensam lind som ligger strax utanför föreslagen plangräns. </w:t>
      </w:r>
    </w:p>
    <w:p>
      <w:pPr>
        <w:pStyle w:val="P4"/>
      </w:pPr>
      <w:r>
        <w:t>Markbeskaffenhet och geotekniska förhållanden</w:t>
      </w:r>
    </w:p>
    <w:p>
      <w:pPr>
        <w:tabs>
          <w:tab w:val="left" w:pos="7371" w:leader="none"/>
        </w:tabs>
        <w:spacing w:after="120" w:beforeAutospacing="0" w:afterAutospacing="0"/>
        <w:ind w:right="1914"/>
      </w:pPr>
      <w:r>
        <w:t xml:space="preserve">Enligt Sveriges geologiska undersökningar (SGU) jordartskarta består marken av fyllning. Inga geotekniska undersökningar finns dokumenterade. </w:t>
      </w:r>
    </w:p>
    <w:p>
      <w:pPr>
        <w:pStyle w:val="P4"/>
      </w:pPr>
      <w:r>
        <w:t>Förorenad mark</w:t>
      </w:r>
    </w:p>
    <w:p>
      <w:pPr>
        <w:spacing w:after="240" w:beforeAutospacing="0" w:afterAutospacing="0"/>
        <w:ind w:right="1914"/>
      </w:pPr>
      <w:bookmarkStart w:id="14" w:name="pf_förorenadmark01"/>
      <w:r>
        <w:rPr>
          <w:lang w:eastAsia="sv-SE"/>
        </w:rPr>
        <w:t xml:space="preserve">En översiktlig miljöteknisk undersökning har utförts av Sweco för del av Nya Bergsskolan 4. Den visar att föroreningar förekommer i fyllnadsmassor inom fastigheten i kraftigt förhöjda halter. Föroreningarna utgörs av ämnen som generellt förekommer i förhöjda halter i marken i Falu tätort på grund av dess långa historia av gruvverksamhet (arsenik, bly, kadmium, koppar och </w:t>
      </w:r>
      <w:r>
        <w:t xml:space="preserve">zink). </w:t>
      </w:r>
      <w:r>
        <w:rPr>
          <w:lang w:eastAsia="sv-SE"/>
        </w:rPr>
        <w:t>Förhöjda halter (över Faluns hälsoriskbaserade riktvärden för bostadsmark) har påträffats i majoriteten av de undersökta punkterna samt över hela fyllningens mäktighet, som mest cirka 2 meter under markytan.</w:t>
      </w:r>
      <w:bookmarkEnd w:id="14"/>
    </w:p>
    <w:p>
      <w:pPr>
        <w:spacing w:after="240" w:beforeAutospacing="0" w:afterAutospacing="0"/>
        <w:ind w:right="1914"/>
        <w:rPr>
          <w:color w:val="000000"/>
        </w:rPr>
      </w:pPr>
      <w:bookmarkStart w:id="15" w:name="_bookmark0"/>
      <w:bookmarkEnd w:id="15"/>
      <w:bookmarkStart w:id="16" w:name="ko_förorenadmark01"/>
      <w:r>
        <w:t>Påträffade föroreningshalter bedöms medföra behov av riskreducerande åtgärder för att säkra människors hälsa och miljö vid planerad exploatering. Åtgärdsbehovet bedöms främst gälla för föroreningar som förekommer i den ytliga jorden (0-1 m) då dessa är mest tillgängliga för människor som vistas inom fastigheten. Exponering för föroreningar lokaliserade på större djup bedöms endast kunna ske i undantagsfall, exempelvis i samband med markarbeten för ledningar. Åtgärdsbehovet för föroreningar som är lokaliserade på djup större än en meter från markytan bedöms således inte lika motiverat ur ett hälsoperspektiv som åtgärdsbehovet för de ytligt belägna föroreningarna. Föroreningar som förekommer längre ner i markprofilen kan dock fortsatt utgöra en risk avseende negativ påverkan på miljön. För djupare belägna föroreningar bedöms denna påverkan främst utgöras av påverkan på grundvatten och ytvatten till recipienten, Faluån.</w:t>
      </w:r>
    </w:p>
    <w:p>
      <w:pPr>
        <w:spacing w:after="240" w:beforeAutospacing="0" w:afterAutospacing="0"/>
        <w:ind w:right="1914"/>
      </w:pPr>
      <w:bookmarkEnd w:id="16"/>
      <w:bookmarkStart w:id="17" w:name="pf_förorenadmark02"/>
      <w:r>
        <w:t xml:space="preserve">Området utgörs i dagsläget av grusad yta som används som parkering. Den förväntade vistelsetiden inom den förorenade ytan, och därmed exponeringen för den förorenade jorden, är således begränsad. Den identifierade föroreningssituationen bedöms sammanfattningsvis inte medföra något akut behov av åtgärd utan föroreningarna kan hanteras i samband med planerad exploatering. Omfattning av eventuella åtgärder samt tidpunkt för åtgärd (akut åtgärd eller åtgärd i samband med exploatering av fastigheten) avgörs slutligt av tillsynsmyndigheten. </w:t>
      </w:r>
    </w:p>
    <w:p>
      <w:pPr>
        <w:spacing w:after="240" w:beforeAutospacing="0" w:afterAutospacing="0"/>
        <w:ind w:right="1914"/>
      </w:pPr>
      <w:bookmarkEnd w:id="17"/>
      <w:bookmarkStart w:id="18" w:name="ko_förorenadmark02"/>
      <w:r>
        <w:t xml:space="preserve">Viktigt att notera gällande sanering är att det kan medföra masshantering och som i sin tur kan leda till höga kostnader eftersom massorna är svåra att återanvända. </w:t>
      </w:r>
    </w:p>
    <w:p>
      <w:pPr>
        <w:spacing w:after="240" w:beforeAutospacing="0" w:afterAutospacing="0"/>
        <w:ind w:right="1914"/>
        <w:rPr>
          <w:highlight w:val="yellow"/>
        </w:rPr>
      </w:pPr>
      <w:r>
        <w:t>Den</w:t>
      </w:r>
      <w:r>
        <w:rPr>
          <w:spacing w:val="-2"/>
        </w:rPr>
        <w:t xml:space="preserve"> </w:t>
      </w:r>
      <w:r>
        <w:t>stora</w:t>
      </w:r>
      <w:r>
        <w:rPr>
          <w:spacing w:val="1"/>
        </w:rPr>
        <w:t xml:space="preserve"> </w:t>
      </w:r>
      <w:r>
        <w:t>mängd</w:t>
      </w:r>
      <w:r>
        <w:rPr>
          <w:spacing w:val="1"/>
        </w:rPr>
        <w:t xml:space="preserve"> </w:t>
      </w:r>
      <w:r>
        <w:t>av organiskt</w:t>
      </w:r>
      <w:r>
        <w:rPr>
          <w:spacing w:val="-1"/>
        </w:rPr>
        <w:t xml:space="preserve"> </w:t>
      </w:r>
      <w:r>
        <w:t>material</w:t>
      </w:r>
      <w:r>
        <w:rPr>
          <w:spacing w:val="-2"/>
        </w:rPr>
        <w:t xml:space="preserve"> </w:t>
      </w:r>
      <w:r>
        <w:t>(trärester) som</w:t>
      </w:r>
      <w:r>
        <w:rPr>
          <w:spacing w:val="1"/>
        </w:rPr>
        <w:t xml:space="preserve"> </w:t>
      </w:r>
      <w:r>
        <w:t>observerats i</w:t>
      </w:r>
      <w:r>
        <w:rPr>
          <w:spacing w:val="-2"/>
        </w:rPr>
        <w:t xml:space="preserve"> </w:t>
      </w:r>
      <w:r>
        <w:t>fyllnadsmassor inom fastigheten</w:t>
      </w:r>
      <w:r>
        <w:rPr>
          <w:spacing w:val="-1"/>
        </w:rPr>
        <w:t xml:space="preserve"> </w:t>
      </w:r>
      <w:r>
        <w:t>skulle</w:t>
      </w:r>
      <w:r>
        <w:rPr>
          <w:spacing w:val="-1"/>
        </w:rPr>
        <w:t xml:space="preserve"> </w:t>
      </w:r>
      <w:r>
        <w:t>kunna</w:t>
      </w:r>
      <w:r>
        <w:rPr>
          <w:spacing w:val="1"/>
        </w:rPr>
        <w:t xml:space="preserve"> </w:t>
      </w:r>
      <w:r>
        <w:t>medföra</w:t>
      </w:r>
      <w:r>
        <w:rPr>
          <w:spacing w:val="-1"/>
        </w:rPr>
        <w:t xml:space="preserve"> </w:t>
      </w:r>
      <w:r>
        <w:t>risker kopplade</w:t>
      </w:r>
      <w:r>
        <w:rPr>
          <w:spacing w:val="-1"/>
        </w:rPr>
        <w:t xml:space="preserve"> </w:t>
      </w:r>
      <w:r>
        <w:t>till</w:t>
      </w:r>
      <w:r>
        <w:rPr>
          <w:spacing w:val="1"/>
        </w:rPr>
        <w:t xml:space="preserve"> </w:t>
      </w:r>
      <w:r>
        <w:t>metangasbildning,</w:t>
      </w:r>
      <w:r>
        <w:rPr>
          <w:spacing w:val="-1"/>
        </w:rPr>
        <w:t xml:space="preserve"> </w:t>
      </w:r>
      <w:r>
        <w:t>framförallt</w:t>
      </w:r>
      <w:r>
        <w:rPr>
          <w:spacing w:val="1"/>
        </w:rPr>
        <w:t xml:space="preserve"> </w:t>
      </w:r>
      <w:r>
        <w:t>om</w:t>
      </w:r>
      <w:r>
        <w:rPr>
          <w:spacing w:val="-1"/>
        </w:rPr>
        <w:t xml:space="preserve"> </w:t>
      </w:r>
      <w:r>
        <w:t>det aktuella</w:t>
      </w:r>
      <w:r>
        <w:rPr>
          <w:spacing w:val="1"/>
        </w:rPr>
        <w:t xml:space="preserve"> </w:t>
      </w:r>
      <w:r>
        <w:t>fyllnadsmaterialet förekommer över ett</w:t>
      </w:r>
      <w:r>
        <w:rPr>
          <w:spacing w:val="-1"/>
        </w:rPr>
        <w:t xml:space="preserve"> </w:t>
      </w:r>
      <w:r>
        <w:t>större</w:t>
      </w:r>
      <w:r>
        <w:rPr>
          <w:spacing w:val="1"/>
        </w:rPr>
        <w:t xml:space="preserve"> </w:t>
      </w:r>
      <w:r>
        <w:t>område.</w:t>
      </w:r>
      <w:r>
        <w:rPr>
          <w:spacing w:val="-1"/>
        </w:rPr>
        <w:t xml:space="preserve"> </w:t>
      </w:r>
      <w:r>
        <w:t>Fyllnadsmaterialets rumsliga</w:t>
      </w:r>
      <w:r>
        <w:rPr>
          <w:spacing w:val="-1"/>
        </w:rPr>
        <w:t xml:space="preserve"> </w:t>
      </w:r>
      <w:r>
        <w:t>utbredning</w:t>
      </w:r>
      <w:r>
        <w:rPr>
          <w:spacing w:val="-1"/>
        </w:rPr>
        <w:t xml:space="preserve"> </w:t>
      </w:r>
      <w:r>
        <w:t>har inte</w:t>
      </w:r>
      <w:r>
        <w:rPr>
          <w:spacing w:val="1"/>
        </w:rPr>
        <w:t xml:space="preserve"> </w:t>
      </w:r>
      <w:r>
        <w:t>avgränsats vid</w:t>
      </w:r>
      <w:r>
        <w:rPr>
          <w:spacing w:val="-1"/>
        </w:rPr>
        <w:t xml:space="preserve"> </w:t>
      </w:r>
      <w:r>
        <w:t>den</w:t>
      </w:r>
      <w:r>
        <w:rPr>
          <w:spacing w:val="1"/>
        </w:rPr>
        <w:t xml:space="preserve"> </w:t>
      </w:r>
      <w:r>
        <w:t>utförda</w:t>
      </w:r>
      <w:r>
        <w:rPr>
          <w:spacing w:val="-1"/>
        </w:rPr>
        <w:t xml:space="preserve"> </w:t>
      </w:r>
      <w:r>
        <w:t>undersökningen</w:t>
      </w:r>
      <w:r>
        <w:rPr>
          <w:spacing w:val="-1"/>
        </w:rPr>
        <w:t xml:space="preserve"> </w:t>
      </w:r>
      <w:r>
        <w:t>då</w:t>
      </w:r>
      <w:r>
        <w:rPr>
          <w:spacing w:val="-1"/>
        </w:rPr>
        <w:t xml:space="preserve"> </w:t>
      </w:r>
      <w:r>
        <w:t>undersökningsområdet</w:t>
      </w:r>
      <w:r>
        <w:rPr>
          <w:spacing w:val="1"/>
        </w:rPr>
        <w:t xml:space="preserve"> </w:t>
      </w:r>
      <w:r>
        <w:t>är relativt</w:t>
      </w:r>
      <w:r>
        <w:rPr>
          <w:spacing w:val="-1"/>
        </w:rPr>
        <w:t xml:space="preserve"> </w:t>
      </w:r>
      <w:r>
        <w:t>litet.</w:t>
      </w:r>
      <w:r>
        <w:rPr>
          <w:spacing w:val="1"/>
        </w:rPr>
        <w:t xml:space="preserve"> </w:t>
      </w:r>
      <w:r>
        <w:t>Förekomst</w:t>
      </w:r>
      <w:r>
        <w:rPr>
          <w:spacing w:val="1"/>
        </w:rPr>
        <w:t xml:space="preserve"> </w:t>
      </w:r>
      <w:r>
        <w:t>av</w:t>
      </w:r>
      <w:r>
        <w:rPr>
          <w:spacing w:val="3"/>
        </w:rPr>
        <w:t xml:space="preserve"> </w:t>
      </w:r>
      <w:r>
        <w:t>metangas,</w:t>
      </w:r>
      <w:r>
        <w:rPr>
          <w:spacing w:val="-1"/>
        </w:rPr>
        <w:t xml:space="preserve"> </w:t>
      </w:r>
      <w:r>
        <w:t>vilket</w:t>
      </w:r>
      <w:r>
        <w:rPr>
          <w:spacing w:val="-1"/>
        </w:rPr>
        <w:t xml:space="preserve"> </w:t>
      </w:r>
      <w:r>
        <w:t>främst</w:t>
      </w:r>
      <w:r>
        <w:rPr>
          <w:spacing w:val="-1"/>
        </w:rPr>
        <w:t xml:space="preserve"> </w:t>
      </w:r>
      <w:r>
        <w:t>förknippas med</w:t>
      </w:r>
      <w:r>
        <w:rPr>
          <w:spacing w:val="-1"/>
        </w:rPr>
        <w:t xml:space="preserve"> </w:t>
      </w:r>
      <w:r>
        <w:t>brand- och</w:t>
      </w:r>
      <w:r>
        <w:rPr>
          <w:spacing w:val="1"/>
        </w:rPr>
        <w:t xml:space="preserve"> </w:t>
      </w:r>
      <w:r>
        <w:t>explosionsrisker, har inte</w:t>
      </w:r>
      <w:r>
        <w:rPr>
          <w:spacing w:val="-1"/>
        </w:rPr>
        <w:t xml:space="preserve"> </w:t>
      </w:r>
      <w:r>
        <w:t>undersökts inom</w:t>
      </w:r>
      <w:r>
        <w:rPr>
          <w:spacing w:val="-1"/>
        </w:rPr>
        <w:t xml:space="preserve"> </w:t>
      </w:r>
      <w:r>
        <w:t>ramen</w:t>
      </w:r>
      <w:r>
        <w:rPr>
          <w:spacing w:val="-1"/>
        </w:rPr>
        <w:t xml:space="preserve"> </w:t>
      </w:r>
      <w:r>
        <w:t>för den</w:t>
      </w:r>
      <w:r>
        <w:rPr>
          <w:spacing w:val="-1"/>
        </w:rPr>
        <w:t xml:space="preserve"> </w:t>
      </w:r>
      <w:r>
        <w:t>utförda</w:t>
      </w:r>
      <w:r>
        <w:rPr>
          <w:spacing w:val="1"/>
        </w:rPr>
        <w:t xml:space="preserve"> </w:t>
      </w:r>
      <w:r>
        <w:t>undersökningen.</w:t>
      </w:r>
      <w:r>
        <w:rPr>
          <w:spacing w:val="1"/>
        </w:rPr>
        <w:t xml:space="preserve"> </w:t>
      </w:r>
      <w:r>
        <w:t>Förutsättningarna</w:t>
      </w:r>
      <w:r>
        <w:rPr>
          <w:spacing w:val="-2"/>
        </w:rPr>
        <w:t xml:space="preserve"> </w:t>
      </w:r>
      <w:r>
        <w:t>för metangasbildning</w:t>
      </w:r>
      <w:r>
        <w:rPr>
          <w:spacing w:val="1"/>
        </w:rPr>
        <w:t xml:space="preserve"> </w:t>
      </w:r>
      <w:r>
        <w:t>antas dock vara</w:t>
      </w:r>
      <w:r>
        <w:rPr>
          <w:spacing w:val="-1"/>
        </w:rPr>
        <w:t xml:space="preserve"> </w:t>
      </w:r>
      <w:r>
        <w:t>begränsad</w:t>
      </w:r>
      <w:r>
        <w:rPr>
          <w:spacing w:val="-1"/>
        </w:rPr>
        <w:t xml:space="preserve"> </w:t>
      </w:r>
      <w:r>
        <w:t>då</w:t>
      </w:r>
      <w:r>
        <w:rPr>
          <w:spacing w:val="1"/>
        </w:rPr>
        <w:t xml:space="preserve"> </w:t>
      </w:r>
      <w:r>
        <w:t>fyllnadsmaterialets observerade</w:t>
      </w:r>
      <w:r>
        <w:rPr>
          <w:spacing w:val="1"/>
        </w:rPr>
        <w:t xml:space="preserve"> </w:t>
      </w:r>
      <w:r>
        <w:t>mäktighet</w:t>
      </w:r>
      <w:r>
        <w:rPr>
          <w:spacing w:val="1"/>
        </w:rPr>
        <w:t xml:space="preserve"> </w:t>
      </w:r>
      <w:r>
        <w:t>är relativt</w:t>
      </w:r>
      <w:r>
        <w:rPr>
          <w:spacing w:val="-1"/>
        </w:rPr>
        <w:t xml:space="preserve"> </w:t>
      </w:r>
      <w:r>
        <w:t>liten,</w:t>
      </w:r>
      <w:r>
        <w:rPr>
          <w:spacing w:val="-1"/>
        </w:rPr>
        <w:t xml:space="preserve"> </w:t>
      </w:r>
      <w:r>
        <w:t>cirka</w:t>
      </w:r>
      <w:r>
        <w:rPr>
          <w:spacing w:val="-1"/>
        </w:rPr>
        <w:t xml:space="preserve"> </w:t>
      </w:r>
      <w:r>
        <w:t>0,5</w:t>
      </w:r>
      <w:r>
        <w:rPr>
          <w:spacing w:val="-1"/>
        </w:rPr>
        <w:t xml:space="preserve"> </w:t>
      </w:r>
      <w:r>
        <w:t>till</w:t>
      </w:r>
      <w:r>
        <w:rPr>
          <w:spacing w:val="-2"/>
        </w:rPr>
        <w:t xml:space="preserve"> </w:t>
      </w:r>
      <w:r>
        <w:t>1,5</w:t>
      </w:r>
      <w:r>
        <w:rPr>
          <w:spacing w:val="-1"/>
        </w:rPr>
        <w:t xml:space="preserve"> </w:t>
      </w:r>
      <w:r>
        <w:t xml:space="preserve">m. </w:t>
      </w:r>
    </w:p>
    <w:p>
      <w:pPr>
        <w:spacing w:after="240" w:beforeAutospacing="0" w:afterAutospacing="0"/>
        <w:ind w:right="1914"/>
      </w:pPr>
      <w:r>
        <w:t>Som en extra försiktighetsåtgärd rekommenderar Sweco att delar av innergården anläggs med genomsläppligt material där eventuell gas kan ta sig ut. Därför säkerställs plankartan med bestämmelsen att minst 80% av ytorna inom en meter från fasad mot innergård ska vara genomsläppliga och förses med plantering, gräs eller annan typ av vegetation (b</w:t>
      </w:r>
      <w:r>
        <w:rPr>
          <w:vertAlign w:val="subscript"/>
        </w:rPr>
        <w:t>2</w:t>
      </w:r>
      <w:r>
        <w:t>). Bestämmelsen (b</w:t>
      </w:r>
      <w:r>
        <w:rPr>
          <w:vertAlign w:val="subscript"/>
        </w:rPr>
        <w:t>3</w:t>
      </w:r>
      <w:r>
        <w:t>) anger att Minst 80% av marken ska hårdgöras.</w:t>
      </w:r>
    </w:p>
    <w:p>
      <w:pPr>
        <w:spacing w:after="240" w:beforeAutospacing="0" w:afterAutospacing="0"/>
        <w:ind w:right="1914"/>
      </w:pPr>
      <w:r>
        <w:t>Rörgenomföringar bör kontrolleras för att se till att de är täta och någon typ av genomsläpplig yta bör finnas ovan ledningar innan dessa går in i huset (genomsläppliga massor från ledning till markyta så att gasen kan ledas ut till atmosfärsluften istället för att transporteras in under/ in i byggnad). Man bör även se till att markgas inte blir stående under huset genom att tillse att det finns genomsläpplig jord hela vägen ner till grundläggningens underkant i de områden där genomsläppliga ytor placeras.</w:t>
      </w:r>
    </w:p>
    <w:p>
      <w:pPr>
        <w:ind w:right="1914"/>
      </w:pPr>
      <w:r>
        <w:t xml:space="preserve">Hanteringen av markföroreningar sker lämpligen i enlighet med gällande platsspecifika riktvärden (PSRV) samt i samråd med ansvarig tillsynsmyndighet, Falu kommuns miljöavdelning. Detta gäller även hanteringen av eventuell förekomst av metangasbildning inom området. </w:t>
      </w:r>
    </w:p>
    <w:p>
      <w:pPr>
        <w:ind w:right="1914"/>
      </w:pPr>
    </w:p>
    <w:p>
      <w:pPr>
        <w:ind w:right="1914"/>
      </w:pPr>
      <w:r>
        <w:t>Tillsynsmyndigheten ska underrättas om en förorening upptäcks, detta enligt krav i 10 kap. 11 § miljöbalken. En avhjälpandeåtgärd, som t.ex. sanering av föroreningar, ska anmälas till tillsynsmyndigheten senast 6 veckor innan avhjälpandet planeras att starta, detta enligt 28 § förordning om miljöfarlig verksamhet och hälsoskydd.</w:t>
      </w:r>
      <w:bookmarkEnd w:id="18"/>
      <w:r>
        <w:t xml:space="preserve"> </w:t>
      </w:r>
    </w:p>
    <w:p>
      <w:pPr>
        <w:pStyle w:val="P4"/>
        <w:rPr>
          <w:b w:val="1"/>
        </w:rPr>
      </w:pPr>
      <w:r>
        <w:t>Radon</w:t>
      </w:r>
    </w:p>
    <w:p>
      <w:pPr>
        <w:spacing w:after="120" w:beforeAutospacing="0" w:afterAutospacing="0"/>
        <w:ind w:right="1914"/>
        <w:rPr>
          <w:lang w:eastAsia="sv-SE"/>
        </w:rPr>
      </w:pPr>
      <w:bookmarkStart w:id="19" w:name="pf_radon01"/>
      <w:r>
        <w:rPr>
          <w:lang w:eastAsia="sv-SE"/>
        </w:rPr>
        <w:t xml:space="preserve">Fastigheten ligger inte inom högriskområde för radon. Radonmätning är inte gjord på fastigheten. </w:t>
      </w:r>
    </w:p>
    <w:p>
      <w:pPr>
        <w:spacing w:after="120" w:beforeAutospacing="0" w:afterAutospacing="0"/>
        <w:ind w:right="1914"/>
        <w:rPr>
          <w:lang w:eastAsia="sv-SE"/>
        </w:rPr>
      </w:pPr>
      <w:bookmarkEnd w:id="19"/>
      <w:bookmarkStart w:id="20" w:name="pf_radon02"/>
      <w:r>
        <w:rPr>
          <w:lang w:eastAsia="sv-SE"/>
        </w:rPr>
        <w:t>Generellt gäller att alla bostäder och lokaler som allmänheten har tillträde till samt rum i byggnader där människor vistas mer än tillfälligt ska klara gällande referens och gränsvärden för radongashalt i inomhusluften. Detta innebär att inom Falu kommun ska nybyggnationer uppföras i radonsäkert utförande eller föregås av en radonundersökning.</w:t>
      </w:r>
    </w:p>
    <w:p>
      <w:pPr>
        <w:pStyle w:val="P4"/>
        <w:rPr>
          <w:b w:val="1"/>
        </w:rPr>
      </w:pPr>
      <w:bookmarkEnd w:id="20"/>
      <w:r>
        <w:t>Höga vattenstånd</w:t>
      </w:r>
    </w:p>
    <w:p>
      <w:pPr>
        <w:spacing w:after="120" w:beforeAutospacing="0" w:afterAutospacing="0"/>
        <w:ind w:right="1914"/>
      </w:pPr>
      <w:bookmarkStart w:id="21" w:name="pf_riskföröversvämning01"/>
      <w:r>
        <w:t>Området är beläget över +112,7 meters-nivån, som är nuvarande planeringsnivå för höga vattenflöden runt Runn. (Koordinatsystem i höjd RH2000)</w:t>
      </w:r>
    </w:p>
    <w:p>
      <w:pPr>
        <w:pStyle w:val="P4"/>
        <w:rPr>
          <w:b w:val="1"/>
        </w:rPr>
      </w:pPr>
      <w:bookmarkEnd w:id="21"/>
      <w:r>
        <w:t xml:space="preserve">Fornlämningar </w:t>
      </w:r>
    </w:p>
    <w:p>
      <w:pPr>
        <w:spacing w:after="120" w:beforeAutospacing="0" w:afterAutospacing="0"/>
        <w:ind w:right="1914"/>
      </w:pPr>
      <w:bookmarkStart w:id="22" w:name="pf_fornlämningar01"/>
      <w:r>
        <w:t xml:space="preserve">Planområdet ingår i den fasta fornlämningen L2001:4288 (RAÄ-nummer Falun 68:1) som omfattar stora delar av centrala Falun. Fornlämningen består av ett ”område där kulturlager från medeltiden och 1600-talet kan påträffas”. Det kan också, enl. Riksantikvarieämbetet förväntas innehålla ”industrilämningar från medeltid och nyare tid av stort kulturhistoriskt värde”. </w:t>
      </w:r>
    </w:p>
    <w:p>
      <w:pPr>
        <w:spacing w:after="120" w:beforeAutospacing="0" w:afterAutospacing="0"/>
        <w:ind w:right="1914"/>
      </w:pPr>
      <w:r>
        <w:t>Fornlämningar skyddas enligt kulturmiljölagen (KML) och får inte skadas. Den som på något sätt vill ändra i ett område där det finns fasta fornlämningar måste ha tillstånd från Länsstyrelsen.</w:t>
      </w:r>
    </w:p>
    <w:p>
      <w:pPr>
        <w:pStyle w:val="P3"/>
      </w:pPr>
      <w:bookmarkEnd w:id="22"/>
      <w:r>
        <w:t xml:space="preserve">Bebyggelse </w:t>
      </w:r>
    </w:p>
    <w:p>
      <w:pPr>
        <w:pStyle w:val="P4"/>
      </w:pPr>
      <w:r>
        <w:t>Bebyggelsens historia</w:t>
      </w:r>
    </w:p>
    <w:p>
      <w:pPr>
        <w:spacing w:after="120" w:beforeAutospacing="0" w:afterAutospacing="0"/>
        <w:ind w:right="1914"/>
      </w:pPr>
      <w:bookmarkStart w:id="23" w:name="be_befintligt01"/>
      <w:r>
        <w:t xml:space="preserve">Byggnaderna inom planområdet bildar en kringbyggd gård och är av varierande ålder. </w:t>
      </w:r>
      <w:bookmarkStart w:id="24" w:name="_Hlk89851516"/>
      <w:r>
        <w:t xml:space="preserve">Byggnaden i hörnet Stigaregatan/Sturegatan </w:t>
      </w:r>
      <w:bookmarkEnd w:id="24"/>
      <w:r>
        <w:t>är troligtvis från början av 1800-talet. Den är välbevarad med få moderna förändringar och har en bevarad ålderdomlig karaktär. Byggnaden är av stort kulturhistoriskt värde (II). Byggnaden längs Sturegatan har tilläggsisolerats under senare tid men är också klassat som byggnad med kulturhistoriskt och/eller miljömässigt värde (III).</w:t>
      </w:r>
    </w:p>
    <w:p>
      <w:pPr>
        <w:pStyle w:val="P4"/>
      </w:pPr>
      <w:bookmarkEnd w:id="23"/>
      <w:r>
        <w:t>Bostäder och verksamhet</w:t>
      </w:r>
    </w:p>
    <w:p>
      <w:pPr>
        <w:spacing w:after="120" w:beforeAutospacing="0" w:afterAutospacing="0"/>
        <w:ind w:right="1914"/>
      </w:pPr>
      <w:bookmarkStart w:id="25" w:name="be_bostäderochkontor01"/>
      <w:r>
        <w:t xml:space="preserve">För stor del av planområdet medges bestämmelsen bostäder (B) och kontor (K). </w:t>
      </w:r>
    </w:p>
    <w:p>
      <w:pPr>
        <w:tabs>
          <w:tab w:val="left" w:pos="7371" w:leader="none"/>
        </w:tabs>
        <w:spacing w:after="120" w:beforeAutospacing="0" w:afterAutospacing="0"/>
        <w:ind w:right="1914"/>
      </w:pPr>
      <w:bookmarkEnd w:id="25"/>
      <w:bookmarkStart w:id="26" w:name="be_samlingslokalkontorochkultur01"/>
      <w:r>
        <w:t>En liten del av markytan (ca 30 m</w:t>
      </w:r>
      <w:r>
        <w:rPr>
          <w:vertAlign w:val="superscript"/>
        </w:rPr>
        <w:t>2</w:t>
      </w:r>
      <w:r>
        <w:t>) i den nordvästra delen av planområdet kommer att överföras till Nya Bergsskolan 2. Ytan är idag detaljplanelagt för samlingslokal (C</w:t>
      </w:r>
      <w:r>
        <w:rPr>
          <w:vertAlign w:val="subscript"/>
        </w:rPr>
        <w:t>1</w:t>
      </w:r>
      <w:r>
        <w:t>), kontor (K) och kultur (R</w:t>
      </w:r>
      <w:r>
        <w:rPr>
          <w:vertAlign w:val="subscript"/>
        </w:rPr>
        <w:t>1</w:t>
      </w:r>
      <w:r>
        <w:t xml:space="preserve">), bestämmelserna kommer vara detsamma i den här föreslagna detaljplanen. </w:t>
      </w:r>
    </w:p>
    <w:p>
      <w:pPr>
        <w:spacing w:after="120" w:beforeAutospacing="0" w:afterAutospacing="0"/>
        <w:ind w:right="1914"/>
      </w:pPr>
      <w:bookmarkEnd w:id="26"/>
      <w:bookmarkStart w:id="27" w:name="be_kvartersmark01"/>
      <w:r>
        <w:t xml:space="preserve">Bebyggelsens omfattning regleras dels genom så kallad prickmark, mark som inte får förses med byggnad, dels genom högsta nockhöjd i meter över angivet nollplan, mätt från medelmarknivå. Tillåten höjd överensstämmer med befintliga byggnaders nockhöjder. </w:t>
      </w:r>
    </w:p>
    <w:p>
      <w:pPr>
        <w:pStyle w:val="P4"/>
        <w:rPr>
          <w:b w:val="1"/>
        </w:rPr>
      </w:pPr>
      <w:bookmarkEnd w:id="27"/>
      <w:r>
        <w:t>Service</w:t>
      </w:r>
    </w:p>
    <w:p>
      <w:pPr>
        <w:spacing w:after="120" w:beforeAutospacing="0" w:afterAutospacing="0"/>
        <w:ind w:right="1914"/>
      </w:pPr>
      <w:bookmarkStart w:id="28" w:name="pf_service01"/>
      <w:r>
        <w:t xml:space="preserve">Närmaste förskola finns 500 meter sydöst om planområdet. Närmaste grundskola (F6) är Östra skolan och Västra skola 7-9 som ligger strax väster om planområdet. I närområdet finns även gymnasieskolor. </w:t>
      </w:r>
    </w:p>
    <w:p>
      <w:pPr>
        <w:spacing w:after="120" w:beforeAutospacing="0" w:afterAutospacing="0"/>
        <w:ind w:right="1914"/>
      </w:pPr>
      <w:r>
        <w:t xml:space="preserve">Det aktuella området ligger centralt i Falun i direkt anslutning till livsmedels- och andra butiker, restauranger, Dalarnas museum m.m. </w:t>
      </w:r>
    </w:p>
    <w:p>
      <w:pPr>
        <w:pStyle w:val="P4"/>
      </w:pPr>
      <w:bookmarkEnd w:id="28"/>
      <w:r>
        <w:t>Tillgänglighet</w:t>
      </w:r>
    </w:p>
    <w:p>
      <w:pPr>
        <w:tabs>
          <w:tab w:val="left" w:pos="7371" w:leader="none"/>
        </w:tabs>
        <w:spacing w:after="120" w:beforeAutospacing="0" w:afterAutospacing="0"/>
        <w:ind w:right="1914"/>
      </w:pPr>
      <w:bookmarkStart w:id="29" w:name="pf_sociala01"/>
      <w:r>
        <w:t xml:space="preserve">Kommunen bevakar i samband med hanteringen av bygglov att byggnaders och tomters tillgänglighet är god. Hårdgjorda ytor ska utföras på ett sätt som inte utgör något hinder ur tillgänglighetssynpunkt. Kommunens ambition är att rekommendationerna i skriften </w:t>
      </w:r>
      <w:r>
        <w:rPr>
          <w:i w:val="1"/>
        </w:rPr>
        <w:t>Bygg ikapp</w:t>
      </w:r>
      <w:r>
        <w:t xml:space="preserve"> ska tillämpas.</w:t>
      </w:r>
    </w:p>
    <w:p>
      <w:pPr>
        <w:pStyle w:val="P4"/>
        <w:rPr>
          <w:b w:val="1"/>
        </w:rPr>
      </w:pPr>
      <w:bookmarkEnd w:id="29"/>
      <w:r>
        <w:t>Byggnadskultur och gestaltning</w:t>
      </w:r>
    </w:p>
    <w:p>
      <w:pPr>
        <w:tabs>
          <w:tab w:val="left" w:pos="7371" w:leader="none"/>
        </w:tabs>
        <w:spacing w:after="120" w:beforeAutospacing="0" w:afterAutospacing="0"/>
        <w:ind w:right="1914"/>
      </w:pPr>
      <w:bookmarkStart w:id="30" w:name="be_befintligt02"/>
      <w:r>
        <w:t xml:space="preserve">En detaljplan kan genom planbestämmelser säkerställa kulturmiljövärden för befintliga byggnader genom skydds- och varsamhetsbestämmelser samt rivningsförbud. </w:t>
      </w:r>
    </w:p>
    <w:p>
      <w:pPr>
        <w:tabs>
          <w:tab w:val="left" w:pos="7371" w:leader="none"/>
        </w:tabs>
        <w:spacing w:after="120" w:beforeAutospacing="0" w:afterAutospacing="0"/>
        <w:ind w:right="1914"/>
      </w:pPr>
      <w:r>
        <w:t xml:space="preserve">Bebyggelsen inom Nya Bergskolan 2 och Nya Bergskolan 4 härstammar från förra sekelskiftet och utgör idag ett värdefullt inslag i stadsbilden. Även om ombyggnationer skett under årens lopp så har kvarterets karaktär som helhet bibehållits. </w:t>
      </w:r>
    </w:p>
    <w:p>
      <w:pPr>
        <w:pStyle w:val="P43"/>
        <w:rPr>
          <w:sz w:val="20"/>
          <w:szCs w:val="20"/>
        </w:rPr>
      </w:pPr>
      <w:bookmarkEnd w:id="30"/>
      <w:r>
        <w:rPr>
          <w:b w:val="1"/>
          <w:i w:val="1"/>
          <w:bCs w:val="1"/>
          <w:iCs w:val="1"/>
          <w:sz w:val="20"/>
          <w:szCs w:val="20"/>
        </w:rPr>
        <w:t xml:space="preserve">Rivningsförbud (r) </w:t>
      </w:r>
    </w:p>
    <w:p>
      <w:pPr>
        <w:spacing w:after="120" w:beforeAutospacing="0" w:afterAutospacing="0"/>
        <w:ind w:right="1914"/>
      </w:pPr>
      <w:bookmarkStart w:id="31" w:name="mo_motivtillreglering02"/>
      <w:r>
        <w:t>För byggnaden i hörnet av Stigaregatan/Sturegatan införs rivningsförbud (r₁), detta eftersom byggnaden anses vara av stort kulturhistoriskt värde. Byggnaderna ligger också inom område som utgör riksintresseområde för kulturmiljö och Världsarvet Falun, och utgör en värdefull del av denna särskilt kulturhistoriskt värdefulla helhetsmiljö.</w:t>
      </w:r>
    </w:p>
    <w:p>
      <w:pPr>
        <w:tabs>
          <w:tab w:val="left" w:pos="7371" w:leader="none"/>
        </w:tabs>
        <w:spacing w:after="120" w:beforeAutospacing="0" w:afterAutospacing="0"/>
        <w:ind w:right="1914"/>
        <w:rPr>
          <w:rFonts w:ascii="Arial" w:hAnsi="Arial" w:cs="Arial"/>
          <w:b w:val="1"/>
          <w:i w:val="1"/>
          <w:bCs w:val="1"/>
          <w:iCs w:val="1"/>
          <w:sz w:val="20"/>
          <w:szCs w:val="20"/>
        </w:rPr>
      </w:pPr>
      <w:bookmarkEnd w:id="31"/>
      <w:r>
        <w:rPr>
          <w:rFonts w:ascii="Arial" w:hAnsi="Arial" w:cs="Arial"/>
          <w:b w:val="1"/>
          <w:i w:val="1"/>
          <w:bCs w:val="1"/>
          <w:iCs w:val="1"/>
          <w:sz w:val="20"/>
          <w:szCs w:val="20"/>
        </w:rPr>
        <w:t>Varsamhet (k)</w:t>
      </w:r>
    </w:p>
    <w:p>
      <w:pPr>
        <w:tabs>
          <w:tab w:val="left" w:pos="7371" w:leader="none"/>
        </w:tabs>
        <w:spacing w:after="120" w:beforeAutospacing="0" w:afterAutospacing="0"/>
        <w:ind w:right="1914"/>
      </w:pPr>
      <w:bookmarkStart w:id="32" w:name="mo_motivtillreglering01"/>
      <w:r>
        <w:t>För att säkerställa att befintlig bebyggelse inte förändras på ett sätt som förvanskar dess kulturmiljövärden föreslås därför varsamhetsbestämmelser införas. De anger att byggnadens ursprungliga/befintliga karaktärsdrag vad gäller volym, proportioner, indelning, material och materialbehandling ska bibehållas (k</w:t>
      </w:r>
      <w:r>
        <w:rPr>
          <w:vertAlign w:val="subscript"/>
        </w:rPr>
        <w:t>1</w:t>
      </w:r>
      <w:r>
        <w:t>),</w:t>
      </w:r>
      <w:bookmarkEnd w:id="32"/>
      <w:r>
        <w:t xml:space="preserve"> </w:t>
      </w:r>
      <w:bookmarkStart w:id="33" w:name="mo_motivtillreglering03"/>
      <w:r>
        <w:t>samt att allt underhåll och ändring av byggnaden ska ske med hänsyn till byggnadens kulturhistoriska värde (k</w:t>
      </w:r>
      <w:r>
        <w:rPr>
          <w:vertAlign w:val="subscript"/>
        </w:rPr>
        <w:t>2</w:t>
      </w:r>
      <w:r>
        <w:t xml:space="preserve">).  Bestämmelserna syftar till att förtydliga kulturmiljövärden för att underlätta bygglovshandläggningen framgent för ändringar inom befintligt bestånd. </w:t>
      </w:r>
    </w:p>
    <w:p>
      <w:pPr>
        <w:tabs>
          <w:tab w:val="left" w:pos="7371" w:leader="none"/>
        </w:tabs>
        <w:spacing w:after="120" w:beforeAutospacing="0" w:afterAutospacing="0"/>
        <w:ind w:right="1914"/>
      </w:pPr>
      <w:bookmarkStart w:id="34" w:name="_Hlk120535134"/>
      <w:r>
        <w:t>Den röda ladan inom områdets östra del får flyttas om den utgör en risk</w:t>
      </w:r>
    </w:p>
    <w:p>
      <w:pPr>
        <w:tabs>
          <w:tab w:val="left" w:pos="7371" w:leader="none"/>
        </w:tabs>
        <w:spacing w:after="120" w:beforeAutospacing="0" w:afterAutospacing="0"/>
        <w:ind w:right="1914"/>
        <w:rPr>
          <w:rFonts w:ascii="Arial" w:hAnsi="Arial" w:cs="Arial"/>
          <w:b w:val="1"/>
          <w:i w:val="1"/>
          <w:bCs w:val="1"/>
          <w:iCs w:val="1"/>
          <w:sz w:val="20"/>
          <w:szCs w:val="20"/>
        </w:rPr>
      </w:pPr>
      <w:bookmarkEnd w:id="33"/>
      <w:bookmarkEnd w:id="34"/>
      <w:r>
        <w:rPr>
          <w:rFonts w:ascii="Arial" w:hAnsi="Arial" w:cs="Arial"/>
          <w:b w:val="1"/>
          <w:i w:val="1"/>
          <w:bCs w:val="1"/>
          <w:iCs w:val="1"/>
          <w:sz w:val="20"/>
          <w:szCs w:val="20"/>
        </w:rPr>
        <w:t>Utformning (f)</w:t>
      </w:r>
    </w:p>
    <w:p>
      <w:pPr>
        <w:tabs>
          <w:tab w:val="left" w:pos="7371" w:leader="none"/>
        </w:tabs>
        <w:spacing w:after="120" w:beforeAutospacing="0" w:afterAutospacing="0"/>
        <w:ind w:right="1914"/>
      </w:pPr>
      <w:bookmarkStart w:id="35" w:name="mo_motivtillreglering04"/>
      <w:r>
        <w:t xml:space="preserve">För att kunna inreda vinden för bostadsändamål krävs att takkupor uppförs för att ge ljusinsläpp och utblicksmöjlighet. </w:t>
      </w:r>
      <w:bookmarkStart w:id="36" w:name="_Hlk92282294"/>
      <w:r>
        <w:t xml:space="preserve">Ett generellt förhållningssätt i Faluns värdefulla områden, t.ex. trästadsdelarna, är att takkupor mot det offentliga rummet/gatumiljön, där allmänintresset är starkt, ska prövas mycket restriktivt. </w:t>
      </w:r>
      <w:bookmarkEnd w:id="36"/>
      <w:r>
        <w:t xml:space="preserve">Ett generösare förhållningssätt kan råda mot innergård, som utgör en mer privat sfär och inte påverkar allmänintresset kulturmiljö i lika stor utsträckning. Därför regleras plankartan så att takkupor endast får uppföras mot innergård och ska placeras så att </w:t>
      </w:r>
      <w:bookmarkStart w:id="37" w:name="_Hlk89853099"/>
      <w:r>
        <w:t>minst ett skift taktegel ryms mellan takyta och takfotens kant</w:t>
      </w:r>
      <w:bookmarkEnd w:id="37"/>
      <w:r>
        <w:t>. Takkupor bör anpassas till byggnadens arkitektur i skala, utformning, material och färgsättning (f</w:t>
      </w:r>
      <w:r>
        <w:rPr>
          <w:vertAlign w:val="subscript"/>
        </w:rPr>
        <w:t>1</w:t>
      </w:r>
      <w:r>
        <w:t xml:space="preserve">) se exempel nedan. </w:t>
      </w:r>
    </w:p>
    <w:p>
      <w:pPr>
        <w:tabs>
          <w:tab w:val="left" w:pos="7371" w:leader="none"/>
        </w:tabs>
        <w:spacing w:after="120" w:beforeAutospacing="0" w:afterAutospacing="0"/>
        <w:ind w:right="1914"/>
      </w:pPr>
      <w:r>
        <w:rPr>
          <w:noProof w:val="1"/>
        </w:rPr>
        <w:drawing>
          <wp:inline xmlns:wp="http://schemas.openxmlformats.org/drawingml/2006/wordprocessingDrawing" distT="0" distB="0" distL="0" distR="0">
            <wp:extent cx="4556760" cy="1547495"/>
            <wp:effectExtent l="0" t="0" r="0" b="0"/>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5"/>
                    <pic:cNvPicPr/>
                  </pic:nvPicPr>
                  <pic:blipFill dpi="0">
                    <a:blip xmlns:r="http://schemas.openxmlformats.org/officeDocument/2006/relationships" r:embed="Relimage2"/>
                    <a:srcRect/>
                    <a:stretch>
                      <a:fillRect/>
                    </a:stretch>
                  </pic:blipFill>
                  <pic:spPr>
                    <a:xfrm>
                      <a:off x="0" y="0"/>
                      <a:ext cx="4653156" cy="1580118"/>
                    </a:xfrm>
                    <a:prstGeom prst="rect"/>
                  </pic:spPr>
                </pic:pic>
              </a:graphicData>
            </a:graphic>
          </wp:inline>
        </w:drawing>
      </w:r>
    </w:p>
    <w:p>
      <w:pPr>
        <w:tabs>
          <w:tab w:val="left" w:pos="7371" w:leader="none"/>
        </w:tabs>
        <w:spacing w:after="120" w:beforeAutospacing="0" w:afterAutospacing="0"/>
        <w:ind w:right="1914"/>
        <w:rPr>
          <w:i w:val="1"/>
          <w:iCs w:val="1"/>
          <w:sz w:val="20"/>
          <w:szCs w:val="20"/>
        </w:rPr>
      </w:pPr>
      <w:r>
        <w:rPr>
          <w:i w:val="1"/>
          <w:iCs w:val="1"/>
          <w:sz w:val="20"/>
          <w:szCs w:val="20"/>
        </w:rPr>
        <w:t>Figur 1. Exempel på utformning av takkupor (mot innergården)</w:t>
      </w:r>
    </w:p>
    <w:p>
      <w:pPr>
        <w:spacing w:after="120" w:beforeAutospacing="0" w:afterAutospacing="0"/>
        <w:ind w:right="1914"/>
      </w:pPr>
      <w:r>
        <w:t xml:space="preserve">Takfönster får tillskapas i takfallet om behovet finns för att klara kravet för dagsljus. </w:t>
      </w:r>
    </w:p>
    <w:p>
      <w:pPr>
        <w:spacing w:after="120" w:beforeAutospacing="0" w:afterAutospacing="0"/>
        <w:ind w:right="1914"/>
      </w:pPr>
      <w:bookmarkEnd w:id="35"/>
      <w:bookmarkStart w:id="38" w:name="mo_motivtillreglering05"/>
      <w:r>
        <w:t>Fasaden ska ha en traditionell färgsättning som anknyter till färgskalan i angränsande kvarter. Fasadsmaterial ska bibehållas eller återställas till det ursprungliga fasadsmaterialet; puts (f</w:t>
      </w:r>
      <w:r>
        <w:rPr>
          <w:vertAlign w:val="subscript"/>
        </w:rPr>
        <w:t>3</w:t>
      </w:r>
      <w:r>
        <w:t>). Traditionell färgsättning innebär att färgsättning består av kulörer som baserar sig på traditionella pigment, t. ex guldockra, järnoxid, engelskt rött. Det handlar också om att förhålla sig till en färgsättning som har en historisk koppling till den enskilda byggnadens ålder och arkitektur och till det omgivande områdets historiska färgskala. Ändring av fasadkulör behöver utgå från en färganalys av den aktuella byggnaden, dvs basera sig på en dokumenterad äldre färgställning som huset har haft tidigare, eller eventuellt om det är möjligt att utgå från en historisk färgsättning som har varit typisk för den tid huset är uppfört.</w:t>
      </w:r>
    </w:p>
    <w:p>
      <w:pPr>
        <w:pStyle w:val="P3"/>
      </w:pPr>
      <w:bookmarkEnd w:id="38"/>
      <w:r>
        <w:t>Friytor</w:t>
      </w:r>
    </w:p>
    <w:p>
      <w:pPr>
        <w:pStyle w:val="P4"/>
        <w:rPr>
          <w:b w:val="1"/>
        </w:rPr>
      </w:pPr>
      <w:r>
        <w:t>Lek och rekreation</w:t>
      </w:r>
    </w:p>
    <w:p>
      <w:pPr>
        <w:pStyle w:val="P43"/>
        <w:ind w:right="1914"/>
        <w:rPr>
          <w:rFonts w:ascii="Times New Roman" w:hAnsi="Times New Roman" w:cs="Times New Roman"/>
        </w:rPr>
      </w:pPr>
      <w:bookmarkStart w:id="39" w:name="pf_fysiskmiljö01"/>
      <w:r>
        <w:rPr>
          <w:rFonts w:ascii="Times New Roman" w:hAnsi="Times New Roman" w:cs="Times New Roman"/>
        </w:rPr>
        <w:t xml:space="preserve">Tillgången till friytor är begränsad pga fastighetens centrala läge i Falun. </w:t>
      </w:r>
    </w:p>
    <w:p>
      <w:pPr>
        <w:tabs>
          <w:tab w:val="left" w:pos="7371" w:leader="none"/>
        </w:tabs>
        <w:spacing w:after="120" w:beforeAutospacing="0" w:afterAutospacing="0"/>
        <w:ind w:right="1914"/>
      </w:pPr>
      <w:r>
        <w:t>Den grusade innergården planeras göras om till en innergård anpassad för bostäder vilket skulle innebära en blandning av grönytor, grusytor och stenplattor.</w:t>
      </w:r>
    </w:p>
    <w:p>
      <w:pPr>
        <w:tabs>
          <w:tab w:val="left" w:pos="7371" w:leader="none"/>
        </w:tabs>
        <w:spacing w:after="120" w:beforeAutospacing="0" w:afterAutospacing="0"/>
        <w:ind w:right="1914"/>
      </w:pPr>
      <w:r>
        <w:t xml:space="preserve">Närmaste parkstråk finns längs med Faluån som kopplas till Tiskenområdet. Vid Nybroparken ca 500 meter norr om planområdet finns en Stadslekpark. </w:t>
      </w:r>
    </w:p>
    <w:p>
      <w:pPr>
        <w:pStyle w:val="P4"/>
        <w:rPr>
          <w:b w:val="1"/>
        </w:rPr>
      </w:pPr>
      <w:bookmarkEnd w:id="39"/>
      <w:r>
        <w:t>Trygghet och jämställdhet</w:t>
      </w:r>
    </w:p>
    <w:p>
      <w:pPr>
        <w:tabs>
          <w:tab w:val="left" w:pos="7371" w:leader="none"/>
        </w:tabs>
        <w:spacing w:after="120" w:beforeAutospacing="0" w:afterAutospacing="0"/>
        <w:ind w:right="1914"/>
      </w:pPr>
      <w:bookmarkStart w:id="40" w:name="ko_jämlikhet01"/>
      <w:r>
        <w:t>Detaljplanen möjliggör en förtätning av bostäder längst Stigaregatan/Sturegatan. Förtätning kan bidra till fler ögon på gatan, vilket kan öka den upplevda tryggheten i ett område. Planområdet ligger inom ett område med närhet till service och hållbara transporter, vilket anses som positivt ur ett jämställdhetsperspektiv.</w:t>
      </w:r>
    </w:p>
    <w:p>
      <w:pPr>
        <w:pStyle w:val="P3"/>
      </w:pPr>
      <w:bookmarkEnd w:id="40"/>
      <w:r>
        <w:t>Gator och trafik</w:t>
      </w:r>
    </w:p>
    <w:p>
      <w:pPr>
        <w:pStyle w:val="P4"/>
      </w:pPr>
      <w:r>
        <w:t>Gång- och cykeltrafik</w:t>
      </w:r>
    </w:p>
    <w:p>
      <w:pPr>
        <w:ind w:right="1914"/>
        <w:rPr>
          <w:rFonts w:ascii="Times New Roman" w:hAnsi="Times New Roman" w:cs="Times New Roman"/>
          <w:lang w:eastAsia="sv-SE"/>
        </w:rPr>
      </w:pPr>
      <w:bookmarkStart w:id="41" w:name="pf_gångochcykel01"/>
      <w:r>
        <w:rPr>
          <w:rFonts w:ascii="Times New Roman" w:hAnsi="Times New Roman" w:cs="Times New Roman"/>
          <w:lang w:eastAsia="sv-SE"/>
        </w:rPr>
        <w:t>Sturegatan är en länk i ett huvudcykelstråk som går genom centrum. De gång- och cykelvägar som finns kring planområdet kommer inte att påver</w:t>
      </w:r>
      <w:r>
        <w:rPr>
          <w:rFonts w:ascii="Times New Roman" w:hAnsi="Times New Roman" w:cs="Times New Roman"/>
          <w:lang w:eastAsia="sv-SE"/>
        </w:rPr>
        <w:t xml:space="preserve">kas av den nya detaljplanen. </w:t>
      </w:r>
    </w:p>
    <w:p>
      <w:pPr>
        <w:pStyle w:val="P4"/>
      </w:pPr>
      <w:bookmarkEnd w:id="41"/>
      <w:r>
        <w:t>Kollektivtrafik</w:t>
      </w:r>
    </w:p>
    <w:p>
      <w:pPr>
        <w:tabs>
          <w:tab w:val="left" w:pos="7371" w:leader="none"/>
        </w:tabs>
        <w:spacing w:after="120" w:beforeAutospacing="0" w:afterAutospacing="0"/>
        <w:ind w:right="1914"/>
        <w:rPr>
          <w:rFonts w:ascii="Times New Roman" w:hAnsi="Times New Roman" w:cs="Times New Roman"/>
          <w:lang w:eastAsia="sv-SE"/>
        </w:rPr>
      </w:pPr>
      <w:bookmarkStart w:id="42" w:name="pf_kollektivtrafik01"/>
      <w:r>
        <w:rPr>
          <w:rFonts w:ascii="Times New Roman" w:hAnsi="Times New Roman" w:cs="Times New Roman"/>
          <w:lang w:eastAsia="sv-SE"/>
        </w:rPr>
        <w:t>Närmaste busshållplats finns på Engelbrektsgatan, ca 100 från planområdet</w:t>
      </w:r>
    </w:p>
    <w:p>
      <w:pPr>
        <w:pStyle w:val="P4"/>
      </w:pPr>
      <w:bookmarkEnd w:id="42"/>
      <w:r>
        <w:t>Biltrafik</w:t>
      </w:r>
    </w:p>
    <w:p>
      <w:pPr>
        <w:ind w:right="1914"/>
        <w:rPr>
          <w:lang w:eastAsia="sv-SE"/>
        </w:rPr>
      </w:pPr>
      <w:bookmarkStart w:id="43" w:name="pf_biltrafik01"/>
      <w:r>
        <w:t>Stigaregatan är uppsamlingsgata för trafik och ingår i huvudcykelstråket Lugnet-Gruvan och Ingarvet. Sturegatan anges som lokalgata. Angöring till fastigheten Nya Bergsskolan 4 sker via Stigaregatan och ett portlider längs Sturegatan.</w:t>
      </w:r>
    </w:p>
    <w:p>
      <w:pPr>
        <w:pStyle w:val="P4"/>
      </w:pPr>
      <w:bookmarkEnd w:id="43"/>
      <w:r>
        <w:t xml:space="preserve">Parkering och utfarter </w:t>
      </w:r>
    </w:p>
    <w:p>
      <w:pPr>
        <w:ind w:right="1914"/>
      </w:pPr>
      <w:bookmarkStart w:id="44" w:name="ko_parkeringvarumottagningutfarter01"/>
      <w:r>
        <w:t xml:space="preserve">Enligt Falu kommuns parkeringsnorm ska det finnas ca 8 parkeringsplatser per 1000 m2 BTA. Byggnaden som kommer att byggas om till lägenheter är ca 1085 BTA. Det innebär att behovet är 8–9 parkeringsplatser. Illustrationen, nedan visar att det går att anordna ca 10 platser på gården. Enligt normen ska det även finnas ca 27 cykelparkeringar. </w:t>
      </w:r>
    </w:p>
    <w:p>
      <w:pPr>
        <w:rPr>
          <w:highlight w:val="yellow"/>
        </w:rPr>
      </w:pPr>
      <w:r>
        <w:rPr>
          <w:noProof w:val="1"/>
        </w:rPr>
        <w:drawing>
          <wp:inline xmlns:wp="http://schemas.openxmlformats.org/drawingml/2006/wordprocessingDrawing" distT="0" distB="0" distL="0" distR="0">
            <wp:extent cx="3067050" cy="2447925"/>
            <wp:effectExtent l="0" t="0" r="0" b="9525"/>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6"/>
                    <pic:cNvPicPr/>
                  </pic:nvPicPr>
                  <pic:blipFill dpi="0">
                    <a:blip xmlns:r="http://schemas.openxmlformats.org/officeDocument/2006/relationships" r:embed="Relimage3"/>
                    <a:srcRect r="6624" b="4788"/>
                    <a:stretch>
                      <a:fillRect/>
                    </a:stretch>
                  </pic:blipFill>
                  <pic:spPr bwMode="auto">
                    <a:xfrm>
                      <a:off x="0" y="0"/>
                      <a:ext cx="3084365" cy="2461800"/>
                    </a:xfrm>
                    <a:prstGeom prst="rect"/>
                    <a:ln>
                      <a:noFill/>
                    </a:ln>
                  </pic:spPr>
                </pic:pic>
              </a:graphicData>
            </a:graphic>
          </wp:inline>
        </w:drawing>
      </w:r>
    </w:p>
    <w:p>
      <w:pPr>
        <w:spacing w:before="240" w:beforeAutospacing="0" w:afterAutospacing="0"/>
        <w:rPr>
          <w:i w:val="1"/>
          <w:iCs w:val="1"/>
          <w:sz w:val="22"/>
          <w:szCs w:val="22"/>
        </w:rPr>
      </w:pPr>
      <w:r>
        <w:rPr>
          <w:i w:val="1"/>
          <w:iCs w:val="1"/>
          <w:sz w:val="22"/>
          <w:szCs w:val="22"/>
        </w:rPr>
        <w:t xml:space="preserve">Figur 2. Illustration på hur innergården kan utformas. </w:t>
      </w:r>
    </w:p>
    <w:p>
      <w:pPr>
        <w:pStyle w:val="P3"/>
      </w:pPr>
      <w:bookmarkEnd w:id="44"/>
      <w:r>
        <w:t>Störningar och risker</w:t>
      </w:r>
    </w:p>
    <w:p>
      <w:pPr>
        <w:tabs>
          <w:tab w:val="left" w:pos="7371" w:leader="none"/>
        </w:tabs>
        <w:spacing w:after="120" w:beforeAutospacing="0" w:afterAutospacing="0"/>
        <w:ind w:right="1914"/>
        <w:outlineLvl w:val="3"/>
      </w:pPr>
      <w:r>
        <w:rPr>
          <w:rFonts w:ascii="Arial" w:hAnsi="Arial"/>
          <w:i w:val="1"/>
          <w:iCs w:val="1"/>
          <w:sz w:val="22"/>
        </w:rPr>
        <w:t>Buller från vägtrafik</w:t>
      </w:r>
    </w:p>
    <w:p>
      <w:pPr>
        <w:tabs>
          <w:tab w:val="left" w:pos="7371" w:leader="none"/>
        </w:tabs>
        <w:spacing w:after="120" w:beforeAutospacing="0" w:afterAutospacing="0"/>
        <w:ind w:right="1914"/>
      </w:pPr>
      <w:bookmarkStart w:id="45" w:name="ko_beräkningavomgivningsbuller01"/>
      <w:r>
        <w:t>Enligt Förordning (2015:216) om trafikbuller vid bostadsbyggnader anges följande riktvärden för buller från spårtrafik och vägar:</w:t>
      </w:r>
    </w:p>
    <w:tbl>
      <w:tblPr>
        <w:tblStyle w:val="T2"/>
        <w:tblW w:w="0" w:type="auto"/>
        <w:tblLook w:val="04A0"/>
      </w:tblPr>
      <w:tblGrid/>
      <w:tr>
        <w:tc>
          <w:tcPr>
            <w:tcW w:w="2830" w:type="dxa"/>
            <w:shd w:val="clear" w:color="auto" w:fill="D9D9D9" w:themeFill="background1" w:themeFillShade="D9"/>
          </w:tcPr>
          <w:p>
            <w:pPr>
              <w:tabs>
                <w:tab w:val="left" w:pos="7371" w:leader="none"/>
              </w:tabs>
              <w:spacing w:after="120" w:beforeAutospacing="0" w:afterAutospacing="0"/>
              <w:ind w:right="35"/>
            </w:pPr>
            <w:r>
              <w:t>Riktvärde</w:t>
            </w:r>
          </w:p>
        </w:tc>
        <w:tc>
          <w:tcPr>
            <w:tcW w:w="4678" w:type="dxa"/>
            <w:gridSpan w:val="2"/>
            <w:shd w:val="clear" w:color="auto" w:fill="D9D9D9" w:themeFill="background1" w:themeFillShade="D9"/>
          </w:tcPr>
          <w:p>
            <w:pPr>
              <w:tabs>
                <w:tab w:val="left" w:pos="7371" w:leader="none"/>
              </w:tabs>
              <w:spacing w:after="120" w:beforeAutospacing="0" w:afterAutospacing="0"/>
              <w:ind w:right="273"/>
            </w:pPr>
            <w:r>
              <w:t>Kommentar</w:t>
            </w:r>
          </w:p>
        </w:tc>
      </w:tr>
      <w:tr>
        <w:tc>
          <w:tcPr>
            <w:tcW w:w="2830" w:type="dxa"/>
          </w:tcPr>
          <w:p>
            <w:pPr>
              <w:tabs>
                <w:tab w:val="left" w:pos="7371" w:leader="none"/>
              </w:tabs>
              <w:spacing w:after="120" w:beforeAutospacing="0" w:afterAutospacing="0"/>
              <w:ind w:right="15"/>
              <w:rPr>
                <w:sz w:val="20"/>
                <w:szCs w:val="20"/>
              </w:rPr>
            </w:pPr>
            <w:r>
              <w:rPr>
                <w:sz w:val="20"/>
                <w:szCs w:val="20"/>
              </w:rPr>
              <w:t>60 dBA ekv. ljudnivå</w:t>
            </w:r>
          </w:p>
        </w:tc>
        <w:tc>
          <w:tcPr>
            <w:tcW w:w="2127" w:type="dxa"/>
          </w:tcPr>
          <w:p>
            <w:pPr>
              <w:tabs>
                <w:tab w:val="left" w:pos="7371" w:leader="none"/>
              </w:tabs>
              <w:spacing w:after="120" w:beforeAutospacing="0" w:afterAutospacing="0"/>
              <w:ind w:right="85"/>
              <w:rPr>
                <w:sz w:val="20"/>
                <w:szCs w:val="20"/>
              </w:rPr>
            </w:pPr>
            <w:r>
              <w:rPr>
                <w:sz w:val="20"/>
                <w:szCs w:val="20"/>
              </w:rPr>
              <w:t>Vid fasad</w:t>
            </w:r>
          </w:p>
        </w:tc>
        <w:tc>
          <w:tcPr>
            <w:tcW w:w="2551" w:type="dxa"/>
          </w:tcPr>
          <w:p>
            <w:pPr>
              <w:tabs>
                <w:tab w:val="left" w:pos="7371" w:leader="none"/>
              </w:tabs>
              <w:spacing w:after="120" w:beforeAutospacing="0" w:afterAutospacing="0"/>
              <w:ind w:right="0"/>
            </w:pPr>
            <w:r>
              <w:rPr>
                <w:sz w:val="20"/>
                <w:szCs w:val="20"/>
              </w:rPr>
              <w:t xml:space="preserve">65 dBA om boytan är under 35 kvm. </w:t>
            </w:r>
          </w:p>
        </w:tc>
      </w:tr>
      <w:tr>
        <w:tc>
          <w:tcPr>
            <w:tcW w:w="2830" w:type="dxa"/>
          </w:tcPr>
          <w:p>
            <w:pPr>
              <w:tabs>
                <w:tab w:val="left" w:pos="7371" w:leader="none"/>
              </w:tabs>
              <w:spacing w:after="120" w:beforeAutospacing="0" w:afterAutospacing="0"/>
              <w:ind w:right="35"/>
              <w:rPr>
                <w:sz w:val="20"/>
                <w:szCs w:val="20"/>
              </w:rPr>
            </w:pPr>
            <w:r>
              <w:rPr>
                <w:sz w:val="20"/>
                <w:szCs w:val="20"/>
              </w:rPr>
              <w:t xml:space="preserve">50 dBA ekv. ljudnivå </w:t>
            </w:r>
          </w:p>
        </w:tc>
        <w:tc>
          <w:tcPr>
            <w:tcW w:w="4678" w:type="dxa"/>
            <w:gridSpan w:val="2"/>
          </w:tcPr>
          <w:p>
            <w:pPr>
              <w:tabs>
                <w:tab w:val="left" w:pos="7371" w:leader="none"/>
              </w:tabs>
              <w:spacing w:after="120" w:beforeAutospacing="0" w:afterAutospacing="0"/>
              <w:ind w:right="1914"/>
              <w:rPr>
                <w:sz w:val="20"/>
                <w:szCs w:val="20"/>
              </w:rPr>
            </w:pPr>
            <w:r>
              <w:rPr>
                <w:sz w:val="20"/>
                <w:szCs w:val="20"/>
              </w:rPr>
              <w:t>Vid uteplats</w:t>
            </w:r>
          </w:p>
        </w:tc>
      </w:tr>
      <w:tr>
        <w:tc>
          <w:tcPr>
            <w:tcW w:w="2830" w:type="dxa"/>
          </w:tcPr>
          <w:p>
            <w:pPr>
              <w:tabs>
                <w:tab w:val="left" w:pos="7371" w:leader="none"/>
              </w:tabs>
              <w:spacing w:after="120" w:beforeAutospacing="0" w:afterAutospacing="0"/>
              <w:ind w:right="35"/>
              <w:rPr>
                <w:sz w:val="20"/>
                <w:szCs w:val="20"/>
              </w:rPr>
            </w:pPr>
            <w:r>
              <w:rPr>
                <w:sz w:val="20"/>
                <w:szCs w:val="20"/>
              </w:rPr>
              <w:t xml:space="preserve">70 dBA max. ljudnivå </w:t>
            </w:r>
          </w:p>
        </w:tc>
        <w:tc>
          <w:tcPr>
            <w:tcW w:w="4678" w:type="dxa"/>
            <w:gridSpan w:val="2"/>
          </w:tcPr>
          <w:p>
            <w:pPr>
              <w:tabs>
                <w:tab w:val="left" w:pos="7371" w:leader="none"/>
              </w:tabs>
              <w:spacing w:after="120" w:beforeAutospacing="0" w:afterAutospacing="0"/>
              <w:ind w:right="1914"/>
              <w:rPr>
                <w:sz w:val="20"/>
                <w:szCs w:val="20"/>
              </w:rPr>
            </w:pPr>
            <w:r>
              <w:rPr>
                <w:sz w:val="20"/>
                <w:szCs w:val="20"/>
              </w:rPr>
              <w:t>Vid uteplats</w:t>
            </w:r>
          </w:p>
        </w:tc>
      </w:tr>
    </w:tbl>
    <w:p>
      <w:pPr>
        <w:tabs>
          <w:tab w:val="left" w:pos="7371" w:leader="none"/>
        </w:tabs>
        <w:spacing w:after="120" w:beforeAutospacing="0" w:afterAutospacing="0"/>
        <w:ind w:right="1914"/>
      </w:pPr>
      <w:r>
        <w:t xml:space="preserve">Om ljudnivån (60 dBA) ändå överskrids vid fasad bör: </w:t>
      </w:r>
    </w:p>
    <w:p>
      <w:pPr>
        <w:tabs>
          <w:tab w:val="left" w:pos="7371" w:leader="none"/>
        </w:tabs>
        <w:spacing w:after="120" w:beforeAutospacing="0" w:afterAutospacing="0"/>
        <w:ind w:right="1914"/>
      </w:pPr>
      <w:r>
        <w:t>• minst hälften av bostadsrummen i en bostad vara vända mot en sida där 55 dBA ekvivalent ljudnivå inte överskrids vid fasaden, och</w:t>
      </w:r>
    </w:p>
    <w:p>
      <w:pPr>
        <w:tabs>
          <w:tab w:val="left" w:pos="7371" w:leader="none"/>
        </w:tabs>
        <w:spacing w:after="120" w:beforeAutospacing="0" w:afterAutospacing="0"/>
        <w:ind w:right="1914"/>
      </w:pPr>
      <w:r>
        <w:t>• minst hälften av bostadsrummen vara vända mot en sida där 70 dBA maximal ljudnivå inte överskrids mellan kl. 22.00 och 06.00 vid fasaden.</w:t>
      </w:r>
    </w:p>
    <w:p>
      <w:pPr>
        <w:tabs>
          <w:tab w:val="left" w:pos="7371" w:leader="none"/>
        </w:tabs>
        <w:spacing w:after="120" w:beforeAutospacing="0" w:afterAutospacing="0"/>
        <w:ind w:right="1914"/>
      </w:pPr>
      <w:r>
        <w:t xml:space="preserve">En bullerutredning har tagits fram av Structor Akustik (2021-10-20) för att utreda ljudnivåer orsakade av vägtrafik (Sturegatan/Stigaregatan/Engelbrektsgatan) och av helikoptertrafik från Falu lasarett. Utredningen visar som högst 51 dBA dygnsekvivalent ljudnivå vid fasad mot Stigaregatan. Därmed klaras riktvärdet om 60 dBA med god marginal. Det innebär att planlösningar kan utformas utan särskild anpassning till buller. Uteplatser planeras mot innergården (balkonger och gemensam yta), där betydligt lägre än 50 dBA dygnsekvivalent och 70 dBA maximal ljudnivå beräknas. Riktvärden för uteplats klaras därmed utan åtgärder. </w:t>
      </w:r>
    </w:p>
    <w:p>
      <w:pPr>
        <w:tabs>
          <w:tab w:val="left" w:pos="7371" w:leader="none"/>
        </w:tabs>
        <w:spacing w:after="120" w:beforeAutospacing="0" w:afterAutospacing="0"/>
        <w:ind w:right="1914"/>
      </w:pPr>
      <w:r>
        <w:t xml:space="preserve">Den maximala ljudnivån nattetid beräknas som högst 77 dBA på första våningsplanet och på våning 2 beräknas något lägre på grund av att avståndet mellan Stigaregatan och fasaden är litet. </w:t>
      </w:r>
    </w:p>
    <w:p>
      <w:pPr>
        <w:tabs>
          <w:tab w:val="left" w:pos="7371" w:leader="none"/>
        </w:tabs>
        <w:spacing w:after="120" w:beforeAutospacing="0" w:afterAutospacing="0"/>
        <w:ind w:right="1914"/>
      </w:pPr>
      <w:r>
        <w:t>Riktvärdena för trafikbuller inomhus kan klaras med lämpligt val av fönster, fasad och uteluftsdon. Fasadisoleringen måste studeras mer i detalj i projekteringen.</w:t>
      </w:r>
    </w:p>
    <w:p>
      <w:pPr>
        <w:tabs>
          <w:tab w:val="left" w:pos="7371" w:leader="none"/>
        </w:tabs>
        <w:spacing w:after="120" w:beforeAutospacing="0" w:afterAutospacing="0"/>
        <w:ind w:right="1914"/>
        <w:outlineLvl w:val="3"/>
        <w:rPr>
          <w:rFonts w:ascii="Arial" w:hAnsi="Arial"/>
          <w:i w:val="1"/>
          <w:iCs w:val="1"/>
          <w:sz w:val="22"/>
        </w:rPr>
      </w:pPr>
      <w:bookmarkEnd w:id="45"/>
      <w:r>
        <w:rPr>
          <w:rFonts w:ascii="Arial" w:hAnsi="Arial"/>
          <w:i w:val="1"/>
          <w:iCs w:val="1"/>
          <w:sz w:val="22"/>
        </w:rPr>
        <w:t>Buller från helikoptertrafik</w:t>
      </w:r>
    </w:p>
    <w:p>
      <w:pPr>
        <w:tabs>
          <w:tab w:val="left" w:pos="7371" w:leader="none"/>
        </w:tabs>
        <w:spacing w:after="120" w:beforeAutospacing="0" w:afterAutospacing="0"/>
        <w:ind w:right="1914"/>
      </w:pPr>
      <w:bookmarkStart w:id="46" w:name="pf_omgivningsbuller01"/>
      <w:r>
        <w:t>Fastigheten påverkas även av buller från helikoptertrafik vid Falu lasarett, som ligger ca 1 km bort. I utredningen för HELIKOPTERPLATTA, FALU LASARETT (WSP, 2015) framgår att antalet flygrörelser är så pass lågt (totalt 200 per år) att FBN underskrider 55 dBA vid byggnader nära helikopterplattan. Givet avståndet till helikopterplattan och in- och utflygningsyta bedöms att FBN är lägre än 50 dBA vid fastigheten Nya Bergsskolan 4. Den maximala ljudnivån beräknas dock uppgå till 70–80 dBA i området, se bild nedan. Eftersom fastigheten ligger i utkanten av området där 70–80 dBA beräknas är nivån sannolikt närmre 70 än 80 dBA.</w:t>
      </w:r>
    </w:p>
    <w:p>
      <w:pPr>
        <w:tabs>
          <w:tab w:val="left" w:pos="7371" w:leader="none"/>
        </w:tabs>
        <w:spacing w:after="120" w:beforeAutospacing="0" w:afterAutospacing="0"/>
        <w:ind w:right="1914"/>
      </w:pPr>
      <w:r>
        <w:rPr>
          <w:noProof w:val="1"/>
        </w:rPr>
        <w:drawing>
          <wp:inline xmlns:wp="http://schemas.openxmlformats.org/drawingml/2006/wordprocessingDrawing" distT="0" distB="0" distL="0" distR="0">
            <wp:extent cx="4899660" cy="249936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
                    <pic:cNvPicPr/>
                  </pic:nvPicPr>
                  <pic:blipFill dpi="0">
                    <a:blip xmlns:r="http://schemas.openxmlformats.org/officeDocument/2006/relationships" r:embed="Relimage4" cstate="print"/>
                    <a:srcRect l="3588" t="2870" r="5602" b="11573"/>
                    <a:stretch>
                      <a:fillRect/>
                    </a:stretch>
                  </pic:blipFill>
                  <pic:spPr bwMode="auto">
                    <a:xfrm>
                      <a:off x="0" y="0"/>
                      <a:ext cx="4921894" cy="2510702"/>
                    </a:xfrm>
                    <a:prstGeom prst="rect"/>
                    <a:ln>
                      <a:noFill/>
                    </a:ln>
                  </pic:spPr>
                </pic:pic>
              </a:graphicData>
            </a:graphic>
          </wp:inline>
        </w:drawing>
      </w:r>
    </w:p>
    <w:p>
      <w:pPr>
        <w:tabs>
          <w:tab w:val="left" w:pos="7371" w:leader="none"/>
        </w:tabs>
        <w:spacing w:after="120" w:beforeAutospacing="0" w:afterAutospacing="0"/>
        <w:ind w:right="1914"/>
        <w:rPr>
          <w:i w:val="1"/>
          <w:iCs w:val="1"/>
          <w:sz w:val="20"/>
          <w:szCs w:val="20"/>
        </w:rPr>
      </w:pPr>
      <w:r>
        <w:rPr>
          <w:i w:val="1"/>
          <w:iCs w:val="1"/>
          <w:sz w:val="20"/>
          <w:szCs w:val="20"/>
        </w:rPr>
        <w:t xml:space="preserve">Figur 3. Maximal ljudnivå från helikoptertrafik (WSP, 2016-01-28) Aktuell fastighet markeras med blå streckad cirkel. </w:t>
      </w:r>
    </w:p>
    <w:p>
      <w:pPr>
        <w:tabs>
          <w:tab w:val="left" w:pos="7371" w:leader="none"/>
        </w:tabs>
        <w:spacing w:after="120" w:beforeAutospacing="0" w:afterAutospacing="0"/>
        <w:ind w:right="1914"/>
      </w:pPr>
      <w:r>
        <w:t>Buller från flygplatser bör inte överskrida 55 dBA FBN och 70 dBA maximal ljudnivå (flygtrafik) vid en bostadsbyggnads fasad. Om ljudnivån 70 dBA anges ovan överskrids, bör nivån inte överskridas mer än 16 gånger mellan kl 6 och 22 och 3 gånger mellan kl 22 och 06.</w:t>
      </w:r>
    </w:p>
    <w:p>
      <w:pPr>
        <w:tabs>
          <w:tab w:val="left" w:pos="7371" w:leader="none"/>
        </w:tabs>
        <w:spacing w:after="120" w:beforeAutospacing="0" w:afterAutospacing="0"/>
        <w:ind w:right="1914"/>
      </w:pPr>
      <w:r>
        <w:t xml:space="preserve">Det låga antalet flygrörelser, gör att högst 55 dBA maximal ljudnivå ska innehållas inomhus med avseende på helikopterbuller (dimensionerande maximal ljudnivå 75 dBA), eftersom riktvärdet 45 dBA får överskridas med högst 10 dBA 5 gånger per årsmedelnatt. Helikopterbullret påverkar alla sidor av byggnaden. Tak, väggar och fönster måste dimensioneras så att 45 dBA maximal ljudnivå uppfylls med avseende på både trafik- och helikopterbuller. Även om 55 dBA maximal ljudnivå från helikopter kan accepteras så rekommenderas att 45 dBA eftersträvas. </w:t>
      </w:r>
    </w:p>
    <w:p>
      <w:pPr>
        <w:pStyle w:val="P4"/>
      </w:pPr>
      <w:bookmarkEnd w:id="46"/>
      <w:r>
        <w:t>Räddningstjänstens insatstider</w:t>
      </w:r>
    </w:p>
    <w:p>
      <w:pPr>
        <w:tabs>
          <w:tab w:val="left" w:pos="7371" w:leader="none"/>
        </w:tabs>
        <w:spacing w:after="120" w:beforeAutospacing="0" w:afterAutospacing="0"/>
        <w:ind w:right="1914"/>
        <w:outlineLvl w:val="3"/>
      </w:pPr>
      <w:bookmarkStart w:id="47" w:name="pf_riskförolyckor01"/>
      <w:r>
        <w:t>Insatstiden för räddningstjänsten beräknas understiga 10 minuter.</w:t>
      </w:r>
    </w:p>
    <w:p>
      <w:pPr>
        <w:pStyle w:val="P3"/>
      </w:pPr>
      <w:bookmarkEnd w:id="47"/>
      <w:r>
        <w:t>Teknisk försörjning</w:t>
      </w:r>
    </w:p>
    <w:p>
      <w:pPr>
        <w:pStyle w:val="P4"/>
      </w:pPr>
      <w:r>
        <w:t>Vatten och avlopp</w:t>
      </w:r>
    </w:p>
    <w:p>
      <w:pPr>
        <w:tabs>
          <w:tab w:val="left" w:pos="7371" w:leader="none"/>
        </w:tabs>
        <w:spacing w:after="120" w:beforeAutospacing="0" w:afterAutospacing="0"/>
        <w:ind w:right="1914"/>
        <w:outlineLvl w:val="3"/>
      </w:pPr>
      <w:bookmarkStart w:id="48" w:name="pf_vattenochavloppp01"/>
      <w:r>
        <w:t xml:space="preserve">Planområdet ligger inom kommunalt verksamhetsområde för vatten- och spillvatten och fastigheten är ansluten idag. Vatten och spillvatten finns både i Engelbrektsgatan och i Sturegatan och det finns kapacitet i närheten för att bygga 12 lägenheter på fastigheten. </w:t>
      </w:r>
    </w:p>
    <w:p>
      <w:pPr>
        <w:pStyle w:val="P4"/>
      </w:pPr>
      <w:bookmarkEnd w:id="48"/>
      <w:r>
        <w:t>Dagvatten</w:t>
      </w:r>
    </w:p>
    <w:p>
      <w:pPr>
        <w:ind w:right="1914"/>
      </w:pPr>
      <w:bookmarkStart w:id="49" w:name="ko_dagvatten01"/>
      <w:r>
        <w:t xml:space="preserve">Under planarbetet har det tagits fram en dagvattenutredning (Sweco 2021-12-07) för att se över hur dagvattenflöden påverkas av föreslagen exploatering. Utredningen visar att området idag avvattnas genom infiltration och ytlig avrinning. Det vill säga inget dagvatten leds direkt ner i ledningar utan infiltrerar ner i marken eller rinner på marken före det leds ner i dagvattensystemet i gatan. Takvattnet från byggnaderna leds ut på omgivande mark och/eller gata beroende på takens lutning. </w:t>
      </w:r>
    </w:p>
    <w:p>
      <w:pPr>
        <w:ind w:right="1914"/>
      </w:pPr>
    </w:p>
    <w:p>
      <w:pPr>
        <w:ind w:right="1914"/>
      </w:pPr>
      <w:r>
        <w:t>Enligt de beräkningar som har gjorts kommer andelen grönyta som idag inte finns inom fastigheten att öka. Andelen grusyta minskar och andelen marksten ökar. Takytan kommer att vara oförändrad. Sammantaget kommer den reducerade arean att minska från 0,094 till 0,092.</w:t>
      </w:r>
    </w:p>
    <w:p>
      <w:pPr>
        <w:ind w:right="1914"/>
      </w:pPr>
    </w:p>
    <w:p>
      <w:pPr>
        <w:ind w:right="1914"/>
      </w:pPr>
      <w:r>
        <w:t>Enligt kommunens dagvattenstrategi anges att dagvatten i första hand ska tas omhand lokalt (LOD) inom kvartersmark innan det avleds från platsen. Fördröjningsåtgärder ska dimensioneras för att fördröja en volym om motsvarande minst 10 mm regn och om möjligt konstrueras att ha en tömningstid på ca 12 timmar. I strategin nämns också att dagvattenhanteringen inom området ska utformas på ett sådant sätt att den naturliga grundvattennivån inte påverkas negativt. Infiltration ska dock inte ske på platser eller på ett sådant sätt att grundvattnet riskerar att förorenas.</w:t>
      </w:r>
    </w:p>
    <w:p>
      <w:pPr>
        <w:ind w:right="1914"/>
      </w:pPr>
      <w:bookmarkStart w:id="50" w:name="_Hlk103158548"/>
    </w:p>
    <w:p>
      <w:pPr>
        <w:ind w:right="1914"/>
      </w:pPr>
      <w:r>
        <w:t>Inom området har markundersökningar utförda av Sweco hösten 2021 visat på förhöjda halter av metaller i fyllnadsmassorna. Som en rekommendation i PM:et för markundersökningen ges att det översta marklagret ner till en meters djup skall åtgärdas. se rubriken ”</w:t>
      </w:r>
      <w:r>
        <w:rPr>
          <w:i w:val="1"/>
          <w:iCs w:val="1"/>
        </w:rPr>
        <w:t xml:space="preserve">Förorenad mark” </w:t>
      </w:r>
      <w:r>
        <w:t>(sid 4). Ett grundvattenprov har tagits på platsen under samma tillfälle som markundersökningen. Provresultaten ser bra ut i jämförelse mot vad det kan göra på andra platser inom staden med liknande förutsättningar.</w:t>
      </w:r>
    </w:p>
    <w:p>
      <w:pPr>
        <w:ind w:right="1914"/>
      </w:pPr>
      <w:bookmarkEnd w:id="50"/>
    </w:p>
    <w:p>
      <w:pPr>
        <w:ind w:right="1914"/>
      </w:pPr>
      <w:r>
        <w:t>Fördröjningsanläggningarna som anläggs inom fastigheten behöver anläggas som täta för att förhindra infiltration av dagvattnet. Fördröjning av dagvatten från taken som leds mot innegården föreslås i växtbäddar (nedsänkta eller upphöjda) eller tätt magasin. Dagvatten från takytorna som leds ut mot gatan föreslås fortsättningsvis få rinna över gatan mot närmsta dagvattenbrunn. Övriga ytor på innergården förslås fördröjas i nedsänkta växtbäddar eller magasin under mark. Efter fördröjning i täta anläggningar ska dagvattnet ledas till det kommunala dagvattensystemet, förslagsvis i Sturegatan. För att säkerställa detta i detaljplanen införs en planbestämmelse om att</w:t>
      </w:r>
      <w:r>
        <w:rPr>
          <w:sz w:val="20"/>
          <w:szCs w:val="20"/>
        </w:rPr>
        <w:t xml:space="preserve"> </w:t>
      </w:r>
      <w:r>
        <w:t>Dagvatten (mot innergården) ska avledas till fördröjning med tät botten innan det leds till det allmänna dagvattennätet (b</w:t>
      </w:r>
      <w:r>
        <w:rPr>
          <w:vertAlign w:val="subscript"/>
        </w:rPr>
        <w:t>1</w:t>
      </w:r>
      <w:r>
        <w:t xml:space="preserve">). Om dagvattenanslutningen ska ske mot Sturegatan kan det eventuellt komma att behöva pumpas. </w:t>
      </w:r>
    </w:p>
    <w:p>
      <w:pPr>
        <w:ind w:right="1914"/>
      </w:pPr>
    </w:p>
    <w:p>
      <w:pPr>
        <w:ind w:right="1914"/>
      </w:pPr>
      <w:r>
        <w:t xml:space="preserve">Om infiltration genom förorenade massorna ska minimeras ska vattenutkast och hårdgjorda ytorna utformas så att vatten inte leds ner i de genomsläppliga ytorna. </w:t>
      </w:r>
    </w:p>
    <w:p>
      <w:pPr>
        <w:ind w:right="1914"/>
      </w:pPr>
    </w:p>
    <w:p>
      <w:pPr>
        <w:ind w:right="1914"/>
      </w:pPr>
      <w:r>
        <w:t>Vid höjdsättning av innergården behöver det säkerställas att dagvatten kan ta sig ut från innergården och att ett instängt område inte skapas. Ett instängt läge kan medföra översvämningar med skador på byggnaderna som följd.</w:t>
      </w:r>
    </w:p>
    <w:p>
      <w:pPr>
        <w:pStyle w:val="P4"/>
      </w:pPr>
      <w:bookmarkEnd w:id="49"/>
      <w:r>
        <w:t>Värme</w:t>
      </w:r>
    </w:p>
    <w:p>
      <w:pPr>
        <w:tabs>
          <w:tab w:val="left" w:pos="7371" w:leader="none"/>
        </w:tabs>
        <w:spacing w:after="120" w:beforeAutospacing="0" w:afterAutospacing="0"/>
        <w:ind w:right="1914"/>
        <w:rPr>
          <w:color w:val="FF0000"/>
        </w:rPr>
      </w:pPr>
      <w:bookmarkStart w:id="51" w:name="pf_fjärrvärme01"/>
      <w:r>
        <w:t>Fastigheten är i dagsläget inte ansluten till fjärrvärme. Det finns möjlighet att ansluta fastigheten.</w:t>
      </w:r>
    </w:p>
    <w:p>
      <w:pPr>
        <w:pStyle w:val="P4"/>
      </w:pPr>
      <w:bookmarkEnd w:id="51"/>
      <w:r>
        <w:t xml:space="preserve">El, IT och Tele </w:t>
      </w:r>
    </w:p>
    <w:p>
      <w:pPr>
        <w:tabs>
          <w:tab w:val="left" w:pos="7371" w:leader="none"/>
        </w:tabs>
        <w:spacing w:after="120" w:beforeAutospacing="0" w:afterAutospacing="0"/>
        <w:ind w:right="1914"/>
      </w:pPr>
      <w:bookmarkStart w:id="52" w:name="pf_elitochtele01"/>
      <w:r>
        <w:t>Fastigheten är ansluten till el och tele. Kanalisation angränsar området i den norra delen. Inom planområdet finns markförlagda teleledningar. Ledningarna ligger till största del inom kvartersmark som inte får bebyggas (prickmark). Om undanflyttningsåtgärder krävs för att möjliggöra exploateringen ska dessa bekostas av den part som initierar åtgärden.  </w:t>
      </w:r>
    </w:p>
    <w:p>
      <w:pPr>
        <w:pStyle w:val="P4"/>
      </w:pPr>
      <w:bookmarkEnd w:id="52"/>
      <w:r>
        <w:t>Avfall</w:t>
      </w:r>
    </w:p>
    <w:p>
      <w:pPr>
        <w:tabs>
          <w:tab w:val="left" w:pos="7371" w:leader="none"/>
        </w:tabs>
        <w:spacing w:after="120" w:beforeAutospacing="0" w:afterAutospacing="0"/>
        <w:ind w:right="1914"/>
        <w:outlineLvl w:val="3"/>
      </w:pPr>
      <w:bookmarkStart w:id="53" w:name="pf_avfall01"/>
      <w:r>
        <w:rPr>
          <w:sz w:val="23"/>
          <w:szCs w:val="23"/>
        </w:rPr>
        <w:t xml:space="preserve">Avfallshantering ska ske enligt de regler som gäller i Falu kommun. </w:t>
      </w:r>
    </w:p>
    <w:p>
      <w:pPr>
        <w:pStyle w:val="P4"/>
      </w:pPr>
      <w:bookmarkEnd w:id="53"/>
      <w:r>
        <w:t>Posthantering</w:t>
      </w:r>
    </w:p>
    <w:p>
      <w:pPr>
        <w:ind w:right="1914"/>
      </w:pPr>
      <w:bookmarkStart w:id="54" w:name="gf_upplysningar01"/>
      <w:r>
        <w:t>För flerbostadshus ska postlådor i första hand placeras samlat i varje trapphus eller i en lådsamling samlat på fastigheten.</w:t>
      </w:r>
    </w:p>
    <w:p>
      <w:pPr>
        <w:pStyle w:val="P3"/>
      </w:pPr>
      <w:bookmarkEnd w:id="54"/>
      <w:r>
        <w:t>Administrativa frågor</w:t>
      </w:r>
    </w:p>
    <w:p>
      <w:pPr>
        <w:ind w:right="1914"/>
      </w:pPr>
      <w:bookmarkStart w:id="55" w:name="gf_annat01"/>
      <w:r>
        <w:t>En markmiljöundersökning har genomförts som visar att det finns föroreningar i marken från den verksamhet som idag finns på platsen. Marken ska saneras till nivån känslig markanvändning innan lov för bostäder får ges, vilket regleras i plankartan.</w:t>
      </w:r>
    </w:p>
    <w:p>
      <w:pPr>
        <w:pStyle w:val="P2"/>
      </w:pPr>
      <w:bookmarkEnd w:id="55"/>
      <w:r>
        <w:t>Genomförande frågor</w:t>
      </w:r>
    </w:p>
    <w:p>
      <w:pPr>
        <w:pStyle w:val="P3"/>
      </w:pPr>
      <w:r>
        <w:t>Organisatoriska frågor</w:t>
      </w:r>
    </w:p>
    <w:p>
      <w:pPr>
        <w:pStyle w:val="P4"/>
      </w:pPr>
      <w:r>
        <w:t>Tidplan</w:t>
      </w:r>
    </w:p>
    <w:p>
      <w:pPr>
        <w:tabs>
          <w:tab w:val="left" w:pos="7371" w:leader="none"/>
        </w:tabs>
        <w:spacing w:after="120" w:beforeAutospacing="0" w:afterAutospacing="0"/>
        <w:ind w:right="1914"/>
        <w:outlineLvl w:val="3"/>
        <w:rPr>
          <w:sz w:val="28"/>
          <w:szCs w:val="28"/>
        </w:rPr>
      </w:pPr>
      <w:bookmarkStart w:id="56" w:name="gf_tidplan01"/>
      <w:r>
        <w:t>Detaljplanen handläggs enligt reglerna om standardförfarande. Detaljplanen beräknas kunna antas av miljö- och samhällsbyggnadsnämnden under våren 2023.</w:t>
      </w:r>
    </w:p>
    <w:p>
      <w:pPr>
        <w:pStyle w:val="P4"/>
      </w:pPr>
      <w:bookmarkEnd w:id="56"/>
      <w:r>
        <w:t>Genomförandetid</w:t>
      </w:r>
    </w:p>
    <w:p>
      <w:pPr>
        <w:tabs>
          <w:tab w:val="left" w:pos="7371" w:leader="none"/>
        </w:tabs>
        <w:spacing w:after="120" w:beforeAutospacing="0" w:afterAutospacing="0"/>
        <w:ind w:right="1914"/>
      </w:pPr>
      <w:bookmarkStart w:id="57" w:name="be_genomförandetid01"/>
      <w:r>
        <w:t xml:space="preserve">Genomförandetiden för detaljplanen är 5 år från den dag planen vinner laga kraft. </w:t>
      </w:r>
    </w:p>
    <w:p>
      <w:pPr>
        <w:tabs>
          <w:tab w:val="left" w:pos="7371" w:leader="none"/>
        </w:tabs>
        <w:spacing w:after="120" w:beforeAutospacing="0" w:afterAutospacing="0"/>
        <w:ind w:right="1914"/>
      </w:pPr>
      <w:r>
        <w:t>När genomförandetiden gått ut fortsätter planen att gälla tills den ersätts, ändras eller upphävs. När genomförandetiden gått ut har dock fastighetsägaren inte någon rätt att erhålla ersättning för förlorad byggrätt om detaljplanen ersätts, ändras eller upphävs.</w:t>
      </w:r>
    </w:p>
    <w:p>
      <w:pPr>
        <w:pStyle w:val="P4"/>
      </w:pPr>
      <w:bookmarkEnd w:id="57"/>
      <w:r>
        <w:t>Huvudmannaskap</w:t>
      </w:r>
    </w:p>
    <w:p>
      <w:pPr>
        <w:tabs>
          <w:tab w:val="left" w:pos="7371" w:leader="none"/>
        </w:tabs>
        <w:spacing w:after="120" w:beforeAutospacing="0" w:afterAutospacing="0"/>
        <w:ind w:right="1914"/>
        <w:rPr>
          <w:sz w:val="28"/>
          <w:szCs w:val="28"/>
        </w:rPr>
      </w:pPr>
      <w:bookmarkStart w:id="58" w:name="be_huvudmannaskap01"/>
      <w:r>
        <w:t>Kommunen är huvudman för allmän plats, dock finns ingen allmän plats inom planområdet.</w:t>
      </w:r>
    </w:p>
    <w:p>
      <w:pPr>
        <w:pStyle w:val="P3"/>
      </w:pPr>
      <w:bookmarkEnd w:id="58"/>
      <w:r>
        <w:t>Fastighetsrättsliga frågor</w:t>
      </w:r>
    </w:p>
    <w:p>
      <w:pPr>
        <w:pStyle w:val="P4"/>
      </w:pPr>
      <w:r>
        <w:t>Fastighetsägare</w:t>
      </w:r>
    </w:p>
    <w:p>
      <w:pPr>
        <w:tabs>
          <w:tab w:val="left" w:pos="7371" w:leader="none"/>
        </w:tabs>
        <w:spacing w:after="120" w:beforeAutospacing="0" w:afterAutospacing="0"/>
        <w:ind w:right="1914"/>
      </w:pPr>
      <w:bookmarkStart w:id="59" w:name="gf_förändradfastighetsindelning01"/>
      <w:r>
        <w:t>Nya Bergsskolan 4 ägs av Diös Fastigheter Falun III AB. Nya Bergsskolan 2 ägs av Falu kommun.</w:t>
      </w:r>
    </w:p>
    <w:p>
      <w:pPr>
        <w:pStyle w:val="P4"/>
      </w:pPr>
      <w:bookmarkStart w:id="60" w:name="_Hlk104380437"/>
      <w:r>
        <w:t>Fastighetsbildning, servitut, gemensamhetsanläggningar m.m.</w:t>
      </w:r>
    </w:p>
    <w:p>
      <w:pPr>
        <w:tabs>
          <w:tab w:val="left" w:pos="7371" w:leader="none"/>
        </w:tabs>
        <w:spacing w:after="120" w:beforeAutospacing="0" w:afterAutospacing="0"/>
        <w:ind w:right="1914"/>
      </w:pPr>
      <w:bookmarkEnd w:id="60"/>
      <w:r>
        <w:t>En del om ca 30 m</w:t>
      </w:r>
      <w:r>
        <w:rPr>
          <w:vertAlign w:val="superscript"/>
        </w:rPr>
        <w:t>2</w:t>
      </w:r>
      <w:r>
        <w:t xml:space="preserve"> av Nya Bergsskolan 4 ska genom fastighetsreglering överföras till Nya Bergsskolan 2. Området är i detaljplanen utlagt för samlingslokal (C</w:t>
      </w:r>
      <w:r>
        <w:rPr>
          <w:vertAlign w:val="subscript"/>
        </w:rPr>
        <w:t>1</w:t>
      </w:r>
      <w:r>
        <w:t>), kontor (K) och kultur (R</w:t>
      </w:r>
      <w:r>
        <w:rPr>
          <w:vertAlign w:val="subscript"/>
        </w:rPr>
        <w:t>1</w:t>
      </w:r>
      <w:r>
        <w:t xml:space="preserve">). </w:t>
      </w:r>
    </w:p>
    <w:p>
      <w:pPr>
        <w:tabs>
          <w:tab w:val="left" w:pos="7371" w:leader="none"/>
        </w:tabs>
        <w:spacing w:after="120" w:beforeAutospacing="0" w:afterAutospacing="0"/>
        <w:ind w:right="1914"/>
      </w:pPr>
      <w:r>
        <w:t>Regleringen medför en fastighetsindelning som stämmer överens med hur de båda fastigheterna används. Falu kommun ansvarar för att ansökan inkommer till Lantmäteriet som handlägger och fattar beslut i ärenden om fastighetsbildning. Falu kommun ska svara för förrättningskostnaderna för denna fastighetsreglering.</w:t>
      </w:r>
    </w:p>
    <w:p>
      <w:pPr>
        <w:tabs>
          <w:tab w:val="left" w:pos="7371" w:leader="none"/>
        </w:tabs>
        <w:spacing w:after="120" w:beforeAutospacing="0" w:afterAutospacing="0"/>
        <w:ind w:right="1914"/>
      </w:pPr>
      <w:r>
        <w:t>Den nya detaljplanen tillåter att Nya Bergsskolan 4 avstyckas till flera fastigheter.</w:t>
      </w:r>
    </w:p>
    <w:tbl>
      <w:tblPr>
        <w:tblW w:w="0" w:type="auto"/>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Layout w:type="fixed"/>
        <w:tblLook w:val="01E0"/>
      </w:tblPr>
      <w:tblGrid/>
      <w:tr>
        <w:trPr>
          <w:cantSplit/>
        </w:trPr>
        <w:tc>
          <w:tcPr>
            <w:tcW w:w="2824" w:type="dxa"/>
            <w:shd w:val="clear" w:color="auto" w:fill="auto"/>
          </w:tcPr>
          <w:p>
            <w:pPr>
              <w:tabs>
                <w:tab w:val="left" w:pos="7371" w:leader="none"/>
              </w:tabs>
              <w:spacing w:after="120" w:beforeAutospacing="0" w:afterAutospacing="0"/>
              <w:ind w:right="56"/>
              <w:rPr>
                <w:rFonts w:ascii="Arial" w:hAnsi="Arial" w:cs="Arial"/>
              </w:rPr>
            </w:pPr>
            <w:r>
              <w:rPr>
                <w:rFonts w:ascii="Arial" w:hAnsi="Arial" w:cs="Arial"/>
              </w:rPr>
              <w:t>Fastighet</w:t>
            </w:r>
          </w:p>
        </w:tc>
        <w:tc>
          <w:tcPr>
            <w:tcW w:w="2824" w:type="dxa"/>
            <w:shd w:val="clear" w:color="auto" w:fill="auto"/>
          </w:tcPr>
          <w:p>
            <w:pPr>
              <w:tabs>
                <w:tab w:val="left" w:pos="7371" w:leader="none"/>
              </w:tabs>
              <w:spacing w:after="120" w:beforeAutospacing="0" w:afterAutospacing="0"/>
              <w:ind w:right="187"/>
              <w:rPr>
                <w:rFonts w:ascii="Arial" w:hAnsi="Arial" w:cs="Arial"/>
              </w:rPr>
            </w:pPr>
            <w:r>
              <w:rPr>
                <w:rFonts w:ascii="Arial" w:hAnsi="Arial" w:cs="Arial"/>
              </w:rPr>
              <w:t>Åtgärd</w:t>
            </w:r>
          </w:p>
        </w:tc>
        <w:tc>
          <w:tcPr>
            <w:tcW w:w="2824" w:type="dxa"/>
            <w:shd w:val="clear" w:color="auto" w:fill="auto"/>
          </w:tcPr>
          <w:p>
            <w:pPr>
              <w:tabs>
                <w:tab w:val="left" w:pos="7371" w:leader="none"/>
              </w:tabs>
              <w:spacing w:after="120" w:beforeAutospacing="0" w:afterAutospacing="0"/>
              <w:ind w:right="34"/>
              <w:rPr>
                <w:rFonts w:ascii="Arial" w:hAnsi="Arial" w:cs="Arial"/>
              </w:rPr>
            </w:pPr>
            <w:r>
              <w:rPr>
                <w:rFonts w:ascii="Arial" w:hAnsi="Arial" w:cs="Arial"/>
              </w:rPr>
              <w:t>Areal (m</w:t>
            </w:r>
            <w:r>
              <w:rPr>
                <w:rFonts w:ascii="Arial" w:hAnsi="Arial" w:cs="Arial"/>
                <w:vertAlign w:val="superscript"/>
              </w:rPr>
              <w:t>2</w:t>
            </w:r>
            <w:r>
              <w:rPr>
                <w:rFonts w:ascii="Arial" w:hAnsi="Arial" w:cs="Arial"/>
              </w:rPr>
              <w:t>)</w:t>
            </w:r>
          </w:p>
        </w:tc>
      </w:tr>
      <w:tr>
        <w:tc>
          <w:tcPr>
            <w:tcW w:w="2824" w:type="dxa"/>
            <w:shd w:val="clear" w:color="auto" w:fill="auto"/>
          </w:tcPr>
          <w:p>
            <w:pPr>
              <w:tabs>
                <w:tab w:val="left" w:pos="7371" w:leader="none"/>
              </w:tabs>
              <w:spacing w:after="120" w:beforeAutospacing="0" w:afterAutospacing="0"/>
              <w:ind w:right="56"/>
            </w:pPr>
            <w:r>
              <w:t>Nya Bergsskolan 2</w:t>
            </w:r>
          </w:p>
          <w:p>
            <w:pPr>
              <w:tabs>
                <w:tab w:val="left" w:pos="7371" w:leader="none"/>
              </w:tabs>
              <w:spacing w:after="120" w:beforeAutospacing="0" w:afterAutospacing="0"/>
              <w:ind w:right="56"/>
            </w:pPr>
            <w:r>
              <w:t>Nya Bergsskolan 4</w:t>
            </w:r>
          </w:p>
        </w:tc>
        <w:tc>
          <w:tcPr>
            <w:tcW w:w="2824" w:type="dxa"/>
            <w:shd w:val="clear" w:color="auto" w:fill="auto"/>
          </w:tcPr>
          <w:p>
            <w:pPr>
              <w:tabs>
                <w:tab w:val="left" w:pos="7371" w:leader="none"/>
              </w:tabs>
              <w:spacing w:after="120" w:beforeAutospacing="0" w:afterAutospacing="0"/>
              <w:ind w:right="56"/>
            </w:pPr>
            <w:r>
              <w:t>Fastighetsreglering. Del av Nya Bergsskolan 4 regleras till Nya Bergsskolan 2.</w:t>
            </w:r>
          </w:p>
        </w:tc>
        <w:tc>
          <w:tcPr>
            <w:tcW w:w="2824" w:type="dxa"/>
            <w:shd w:val="clear" w:color="auto" w:fill="auto"/>
          </w:tcPr>
          <w:p>
            <w:pPr>
              <w:tabs>
                <w:tab w:val="left" w:pos="7371" w:leader="none"/>
              </w:tabs>
              <w:spacing w:after="120" w:beforeAutospacing="0" w:afterAutospacing="0"/>
              <w:ind w:right="56"/>
              <w:rPr>
                <w:vertAlign w:val="superscript"/>
              </w:rPr>
            </w:pPr>
            <w:r>
              <w:t>Ca 30 m</w:t>
            </w:r>
            <w:r>
              <w:rPr>
                <w:vertAlign w:val="superscript"/>
              </w:rPr>
              <w:t>2</w:t>
            </w:r>
          </w:p>
        </w:tc>
      </w:tr>
    </w:tbl>
    <w:p>
      <w:pPr>
        <w:tabs>
          <w:tab w:val="left" w:pos="10348" w:leader="none"/>
        </w:tabs>
        <w:spacing w:after="120" w:beforeAutospacing="0" w:afterAutospacing="0"/>
        <w:ind w:right="1914"/>
      </w:pPr>
    </w:p>
    <w:p/>
    <w:p/>
    <w:p/>
    <w:p/>
    <w:p/>
    <w:p/>
    <w:p/>
    <w:p/>
    <w:p/>
    <w:p/>
    <w:p/>
    <w:p>
      <w:pPr>
        <w:keepNext w:val="1"/>
        <w:tabs>
          <w:tab w:val="left" w:pos="10348" w:leader="none"/>
        </w:tabs>
        <w:spacing w:after="120" w:beforeAutospacing="0" w:afterAutospacing="0"/>
        <w:ind w:right="1914"/>
      </w:pPr>
      <w:r>
        <w:rPr>
          <w:noProof w:val="1"/>
        </w:rPr>
        <w:drawing>
          <wp:inline xmlns:wp="http://schemas.openxmlformats.org/drawingml/2006/wordprocessingDrawing" distT="0" distB="0" distL="0" distR="0">
            <wp:extent cx="5383530" cy="4422140"/>
            <wp:effectExtent l="0" t="0" r="7620" b="0"/>
            <wp:docPr id="4" name="Bildobjekt 4"/>
            <wp:cNvGraphicFramePr/>
            <a:graphic xmlns:a="http://schemas.openxmlformats.org/drawingml/2006/main">
              <a:graphicData uri="http://schemas.openxmlformats.org/drawingml/2006/picture">
                <pic:pic xmlns:pic="http://schemas.openxmlformats.org/drawingml/2006/picture">
                  <pic:nvPicPr>
                    <pic:cNvPr id="4" name="Bildobjekt 4"/>
                    <pic:cNvPicPr/>
                  </pic:nvPicPr>
                  <pic:blipFill dpi="0">
                    <a:blip xmlns:r="http://schemas.openxmlformats.org/officeDocument/2006/relationships" r:embed="Relimage5"/>
                    <a:srcRect/>
                    <a:stretch>
                      <a:fillRect/>
                    </a:stretch>
                  </pic:blipFill>
                  <pic:spPr>
                    <a:xfrm>
                      <a:off x="0" y="0"/>
                      <a:ext cx="5383530" cy="4422140"/>
                    </a:xfrm>
                    <a:prstGeom prst="rect"/>
                  </pic:spPr>
                </pic:pic>
              </a:graphicData>
            </a:graphic>
          </wp:inline>
        </w:drawing>
      </w:r>
    </w:p>
    <w:p>
      <w:pPr>
        <w:pStyle w:val="P45"/>
        <w:ind w:right="2055"/>
        <w:rPr>
          <w:sz w:val="20"/>
          <w:szCs w:val="20"/>
        </w:rPr>
      </w:pPr>
      <w:r>
        <w:rPr>
          <w:sz w:val="20"/>
          <w:szCs w:val="20"/>
        </w:rPr>
        <w:t>Figur 4. Rosa yta ska genom fastighetsreglering överföras till Nya Bergsskolan 2</w:t>
      </w:r>
    </w:p>
    <w:p>
      <w:pPr>
        <w:pStyle w:val="P3"/>
      </w:pPr>
      <w:bookmarkEnd w:id="59"/>
      <w:r>
        <w:t>Ekonomiska frågor</w:t>
      </w:r>
    </w:p>
    <w:p>
      <w:pPr>
        <w:pStyle w:val="P4"/>
      </w:pPr>
      <w:r>
        <w:t>Planavgift</w:t>
      </w:r>
    </w:p>
    <w:p>
      <w:pPr>
        <w:tabs>
          <w:tab w:val="left" w:pos="7371" w:leader="none"/>
        </w:tabs>
        <w:spacing w:after="120" w:beforeAutospacing="0" w:afterAutospacing="0"/>
        <w:ind w:right="1914"/>
        <w:outlineLvl w:val="3"/>
      </w:pPr>
      <w:bookmarkStart w:id="61" w:name="gf_planavgift01"/>
      <w:r>
        <w:t>Detaljplanen bekostas av fastighetsägaren och därför ska det inte tas ut någon planavgift i samband med bygglov.</w:t>
      </w:r>
    </w:p>
    <w:p>
      <w:pPr>
        <w:pStyle w:val="P4"/>
      </w:pPr>
      <w:bookmarkEnd w:id="61"/>
      <w:r>
        <w:t>Avtal</w:t>
      </w:r>
    </w:p>
    <w:p>
      <w:pPr>
        <w:tabs>
          <w:tab w:val="left" w:pos="540" w:leader="none"/>
          <w:tab w:val="left" w:pos="10348" w:leader="none"/>
        </w:tabs>
        <w:spacing w:after="120" w:beforeAutospacing="0" w:afterAutospacing="0"/>
        <w:ind w:right="1914"/>
        <w:outlineLvl w:val="3"/>
      </w:pPr>
      <w:bookmarkStart w:id="62" w:name="gf_avtal01"/>
      <w:r>
        <w:t>En överenskommelse om fastighetsreglering ska upprättas mellan Falu kommun och Diös Fastigheter Falun III AB.</w:t>
      </w:r>
    </w:p>
    <w:p>
      <w:pPr>
        <w:tabs>
          <w:tab w:val="left" w:pos="540" w:leader="none"/>
          <w:tab w:val="left" w:pos="10348" w:leader="none"/>
        </w:tabs>
        <w:spacing w:after="120" w:beforeAutospacing="0" w:afterAutospacing="0"/>
        <w:ind w:right="1914"/>
        <w:outlineLvl w:val="3"/>
      </w:pPr>
      <w:r>
        <w:t>Ett detaljplaneavtal, med förbindelse om att fastighetsägaren inte kommer att ställa krav på ersättning från kommunen för de rivningsförbud och varsamhetsbestämmelser (r</w:t>
      </w:r>
      <w:r>
        <w:rPr>
          <w:vertAlign w:val="subscript"/>
        </w:rPr>
        <w:t>1</w:t>
      </w:r>
      <w:r>
        <w:t>, k</w:t>
      </w:r>
      <w:r>
        <w:rPr>
          <w:vertAlign w:val="subscript"/>
        </w:rPr>
        <w:t>1</w:t>
      </w:r>
      <w:r>
        <w:t>, k</w:t>
      </w:r>
      <w:r>
        <w:rPr>
          <w:vertAlign w:val="subscript"/>
        </w:rPr>
        <w:t>2</w:t>
      </w:r>
      <w:r>
        <w:t>) som detaljplanen innehåller, ska upprättas mellan Falu kommun och Diös Fastigheter Falun III AB.</w:t>
      </w:r>
    </w:p>
    <w:p>
      <w:pPr>
        <w:pStyle w:val="P2"/>
      </w:pPr>
      <w:bookmarkEnd w:id="62"/>
      <w:r>
        <w:t>Konsekvenser av planens genomförande</w:t>
      </w:r>
    </w:p>
    <w:p>
      <w:pPr>
        <w:tabs>
          <w:tab w:val="left" w:pos="10348" w:leader="none"/>
        </w:tabs>
        <w:spacing w:after="120" w:beforeAutospacing="0" w:afterAutospacing="0"/>
        <w:ind w:right="1914"/>
      </w:pPr>
      <w:bookmarkStart w:id="63" w:name="ko_annat01"/>
      <w:r>
        <w:t xml:space="preserve">Detaljplaneområdet är sedan tidigare ianspråktaget för kontor och hantverk. Det är ett centralt läge i staden med närhet till god infrastruktur och god tillgänglighet till kollektiva färdmedel och service. Att använda området för bostäder är en god resurshushållning. </w:t>
      </w:r>
    </w:p>
    <w:p>
      <w:pPr>
        <w:tabs>
          <w:tab w:val="left" w:pos="10348" w:leader="none"/>
        </w:tabs>
        <w:spacing w:after="120" w:beforeAutospacing="0" w:afterAutospacing="0"/>
        <w:ind w:right="1914"/>
      </w:pPr>
      <w:bookmarkEnd w:id="63"/>
      <w:bookmarkStart w:id="64" w:name="ko_kulturmiljövård01"/>
      <w:r>
        <w:t xml:space="preserve">Stadsdelen ligger inom riksintresse för kulturmiljövård och världsarvet och befintlig bebyggelse är klassad som särskilt värdefull eller värdefull ur kulturmiljösynpunkt. Detaljplanen säkerställer att ett antal planbestämmelser med syfte att skydda kulturmiljövärden för befintlig bebyggelse införs. </w:t>
      </w:r>
    </w:p>
    <w:p>
      <w:pPr>
        <w:tabs>
          <w:tab w:val="left" w:pos="10348" w:leader="none"/>
        </w:tabs>
        <w:spacing w:after="120" w:beforeAutospacing="0" w:afterAutospacing="0"/>
        <w:ind w:right="1914"/>
      </w:pPr>
      <w:bookmarkEnd w:id="64"/>
      <w:bookmarkStart w:id="65" w:name="ko_miljökvalitetsnormer01"/>
      <w:r>
        <w:t>Planens genomförande bedöms inte ge ytterligare bidrag till eventuella överskridanden av miljökvalitetsnormer eller till att människor utsätts för varaktig störning i högre grad, än vad som får betraktas som normalt i centrumkärnor av detta slag.</w:t>
      </w:r>
    </w:p>
    <w:p>
      <w:pPr>
        <w:pStyle w:val="P2"/>
        <w:tabs>
          <w:tab w:val="left" w:pos="0" w:leader="none"/>
        </w:tabs>
        <w:rPr>
          <w:rFonts w:ascii="Times New Roman" w:hAnsi="Times New Roman"/>
          <w:b w:val="0"/>
          <w:sz w:val="24"/>
        </w:rPr>
      </w:pPr>
      <w:bookmarkEnd w:id="65"/>
      <w:r>
        <w:t xml:space="preserve">Utredningar </w:t>
      </w:r>
    </w:p>
    <w:p>
      <w:bookmarkStart w:id="66" w:name="pu_bullerutredning01"/>
      <w:r>
        <w:t>Bullerutredning, Structor (2021-10-20)</w:t>
      </w:r>
    </w:p>
    <w:p>
      <w:bookmarkEnd w:id="66"/>
      <w:bookmarkStart w:id="67" w:name="pu_dagvattenutredning01"/>
      <w:r>
        <w:t>Dagvattenutredning, Sweco (2021-12-07)</w:t>
      </w:r>
    </w:p>
    <w:p>
      <w:bookmarkEnd w:id="67"/>
      <w:bookmarkStart w:id="68" w:name="pu_markmiljöutredning01"/>
      <w:r>
        <w:t>Förorenad mark, Sweco (2021-11-26)</w:t>
      </w:r>
    </w:p>
    <w:p>
      <w:pPr>
        <w:pStyle w:val="P2"/>
      </w:pPr>
      <w:bookmarkEnd w:id="68"/>
      <w:r>
        <w:t>Medverkande tjänstepersoner</w:t>
      </w:r>
    </w:p>
    <w:p>
      <w:pPr>
        <w:tabs>
          <w:tab w:val="left" w:pos="10348" w:leader="none"/>
        </w:tabs>
        <w:spacing w:after="120" w:beforeAutospacing="0" w:afterAutospacing="0"/>
        <w:ind w:right="1914"/>
      </w:pPr>
      <w:bookmarkStart w:id="69" w:name="be_ärendeinformation01"/>
      <w:r>
        <w:t>Planhandlingarna har upprättats av Mariam Ghasemi och Terés Berglund, miljö- och samhällsbyggnadsförvaltningen, i samråd med berörda inom kommunorganisationen.</w:t>
      </w:r>
    </w:p>
    <w:p>
      <w:pPr>
        <w:pStyle w:val="P2"/>
      </w:pPr>
      <w:bookmarkEnd w:id="69"/>
      <w:r>
        <w:t>Tolkning av detaljplan</w:t>
      </w:r>
    </w:p>
    <w:p>
      <w:pPr>
        <w:tabs>
          <w:tab w:val="left" w:pos="7371" w:leader="none"/>
        </w:tabs>
        <w:spacing w:after="120" w:beforeAutospacing="0" w:afterAutospacing="0"/>
        <w:ind w:right="1914"/>
        <w:outlineLvl w:val="3"/>
      </w:pPr>
      <w:bookmarkStart w:id="70" w:name="be_ärendeinformation02"/>
      <w:r>
        <w:t xml:space="preserve">Framtagandet av detaljplanen påbörjades under 2021. Vid tolkning av detaljplanen ska PBL Kunskapsbanken från Boverket (2015-01-02) och Boverkets allmänna råd (2014:5) om planbestämmelser för detaljplan användas. </w:t>
      </w:r>
    </w:p>
    <w:p>
      <w:pPr>
        <w:pStyle w:val="P2"/>
      </w:pPr>
      <w:bookmarkEnd w:id="70"/>
      <w:r>
        <w:t>Planskeden</w:t>
      </w:r>
    </w:p>
    <w:tbl>
      <w:tblPr>
        <w:tblW w:w="0" w:type="auto"/>
        <w:tblInd w:w="55" w:type="dxa"/>
        <w:tblLayout w:type="fixed"/>
        <w:tblCellMar>
          <w:top w:w="55" w:type="dxa"/>
          <w:left w:w="55" w:type="dxa"/>
          <w:bottom w:w="55" w:type="dxa"/>
          <w:right w:w="55" w:type="dxa"/>
        </w:tblCellMar>
        <w:tblLook w:val="0000"/>
      </w:tblPr>
      <w:tblGrid/>
      <w:tr>
        <w:tc>
          <w:tcPr>
            <w:tcW w:w="2977" w:type="dxa"/>
          </w:tcPr>
          <w:p>
            <w:pPr>
              <w:pStyle w:val="P21"/>
              <w:tabs>
                <w:tab w:val="left" w:pos="7371" w:leader="none"/>
              </w:tabs>
              <w:spacing w:after="120" w:beforeAutospacing="0" w:afterAutospacing="0"/>
              <w:ind w:right="0"/>
              <w:rPr>
                <w:rFonts w:ascii="Arial" w:hAnsi="Arial"/>
                <w:sz w:val="16"/>
                <w:szCs w:val="16"/>
              </w:rPr>
            </w:pPr>
            <w:bookmarkStart w:id="71" w:name="be_ärendeinformation09" w:colFirst="0" w:colLast="2"/>
            <w:r>
              <w:rPr>
                <w:rFonts w:ascii="Arial" w:hAnsi="Arial"/>
                <w:sz w:val="16"/>
                <w:szCs w:val="16"/>
              </w:rPr>
              <w:t>Plan- och bygglagen: 2010:900</w:t>
            </w:r>
          </w:p>
        </w:tc>
        <w:tc>
          <w:tcPr>
            <w:tcW w:w="3260" w:type="dxa"/>
          </w:tcPr>
          <w:p>
            <w:pPr>
              <w:pStyle w:val="P21"/>
              <w:tabs>
                <w:tab w:val="left" w:pos="7371" w:leader="none"/>
              </w:tabs>
              <w:spacing w:after="120" w:beforeAutospacing="0" w:afterAutospacing="0"/>
              <w:ind w:right="0"/>
              <w:rPr>
                <w:rFonts w:ascii="Arial" w:hAnsi="Arial"/>
                <w:sz w:val="16"/>
                <w:szCs w:val="16"/>
              </w:rPr>
            </w:pPr>
          </w:p>
        </w:tc>
        <w:tc>
          <w:tcPr>
            <w:tcW w:w="1134" w:type="dxa"/>
          </w:tcPr>
          <w:p>
            <w:pPr>
              <w:pStyle w:val="P21"/>
              <w:tabs>
                <w:tab w:val="left" w:pos="7371" w:leader="none"/>
              </w:tabs>
              <w:spacing w:after="120" w:beforeAutospacing="0" w:afterAutospacing="0"/>
              <w:ind w:right="0"/>
              <w:rPr>
                <w:rFonts w:ascii="Arial" w:hAnsi="Arial"/>
                <w:sz w:val="16"/>
                <w:szCs w:val="16"/>
              </w:rPr>
            </w:pPr>
          </w:p>
        </w:tc>
      </w:tr>
      <w:tr>
        <w:tc>
          <w:tcPr>
            <w:tcW w:w="2977" w:type="dxa"/>
          </w:tcPr>
          <w:p>
            <w:pPr>
              <w:pStyle w:val="P21"/>
              <w:tabs>
                <w:tab w:val="left" w:pos="7371" w:leader="none"/>
              </w:tabs>
              <w:spacing w:after="120" w:beforeAutospacing="0" w:afterAutospacing="0"/>
              <w:ind w:right="0"/>
              <w:rPr>
                <w:rFonts w:ascii="Arial" w:hAnsi="Arial"/>
                <w:sz w:val="16"/>
                <w:szCs w:val="16"/>
              </w:rPr>
            </w:pPr>
            <w:bookmarkEnd w:id="71"/>
            <w:bookmarkStart w:id="72" w:name="be_ärendeinformation08" w:colFirst="0" w:colLast="2"/>
          </w:p>
        </w:tc>
        <w:tc>
          <w:tcPr>
            <w:tcW w:w="3260"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Instans</w:t>
            </w:r>
          </w:p>
        </w:tc>
        <w:tc>
          <w:tcPr>
            <w:tcW w:w="1134"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Datum</w:t>
            </w:r>
          </w:p>
        </w:tc>
      </w:tr>
      <w:tr>
        <w:tc>
          <w:tcPr>
            <w:tcW w:w="2977" w:type="dxa"/>
          </w:tcPr>
          <w:p>
            <w:pPr>
              <w:pStyle w:val="P21"/>
              <w:tabs>
                <w:tab w:val="left" w:pos="7371" w:leader="none"/>
              </w:tabs>
              <w:spacing w:after="120" w:beforeAutospacing="0" w:afterAutospacing="0"/>
              <w:ind w:right="0"/>
              <w:rPr>
                <w:rFonts w:ascii="Arial" w:hAnsi="Arial"/>
                <w:sz w:val="16"/>
                <w:szCs w:val="16"/>
              </w:rPr>
            </w:pPr>
            <w:bookmarkEnd w:id="72"/>
            <w:bookmarkStart w:id="73" w:name="be_ärendeinformation07" w:colFirst="0" w:colLast="2"/>
            <w:r>
              <w:rPr>
                <w:rFonts w:ascii="Arial" w:hAnsi="Arial"/>
                <w:sz w:val="16"/>
                <w:szCs w:val="16"/>
              </w:rPr>
              <w:t>Planbesked (el. planuppdrag)</w:t>
            </w:r>
          </w:p>
        </w:tc>
        <w:tc>
          <w:tcPr>
            <w:tcW w:w="3260" w:type="dxa"/>
          </w:tcPr>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Miljö- och samhällsbyggnadsnämnden</w:t>
            </w:r>
          </w:p>
        </w:tc>
        <w:tc>
          <w:tcPr>
            <w:tcW w:w="1134"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2019-12-16</w:t>
            </w:r>
          </w:p>
        </w:tc>
      </w:tr>
      <w:tr>
        <w:tc>
          <w:tcPr>
            <w:tcW w:w="2977" w:type="dxa"/>
          </w:tcPr>
          <w:p>
            <w:pPr>
              <w:pStyle w:val="P21"/>
              <w:tabs>
                <w:tab w:val="left" w:pos="7371" w:leader="none"/>
              </w:tabs>
              <w:spacing w:after="120" w:beforeAutospacing="0" w:afterAutospacing="0"/>
              <w:ind w:right="0"/>
              <w:rPr>
                <w:rFonts w:ascii="Arial" w:hAnsi="Arial"/>
                <w:sz w:val="16"/>
                <w:szCs w:val="16"/>
              </w:rPr>
            </w:pPr>
            <w:bookmarkEnd w:id="73"/>
            <w:bookmarkStart w:id="74" w:name="be_ärendeinformation06" w:colFirst="0" w:colLast="2"/>
            <w:r>
              <w:rPr>
                <w:rFonts w:ascii="Arial" w:hAnsi="Arial"/>
                <w:sz w:val="16"/>
                <w:szCs w:val="16"/>
              </w:rPr>
              <w:t>Godkänd för samråd</w:t>
            </w:r>
          </w:p>
        </w:tc>
        <w:tc>
          <w:tcPr>
            <w:tcW w:w="3260" w:type="dxa"/>
          </w:tcPr>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Miljö- och samhällsbyggnadsnämnden</w:t>
            </w:r>
          </w:p>
          <w:p>
            <w:pPr>
              <w:pStyle w:val="P21"/>
              <w:tabs>
                <w:tab w:val="left" w:pos="7371" w:leader="none"/>
              </w:tabs>
              <w:spacing w:after="120" w:beforeAutospacing="0" w:afterAutospacing="0"/>
              <w:ind w:left="5" w:right="0"/>
              <w:rPr>
                <w:rFonts w:ascii="Arial" w:hAnsi="Arial"/>
                <w:sz w:val="16"/>
                <w:szCs w:val="16"/>
              </w:rPr>
            </w:pPr>
            <w:bookmarkStart w:id="75" w:name="_Hlk100752898"/>
            <w:r>
              <w:rPr>
                <w:rFonts w:ascii="Arial" w:hAnsi="Arial"/>
                <w:sz w:val="16"/>
                <w:szCs w:val="16"/>
              </w:rPr>
              <w:t>(delegation)</w:t>
            </w:r>
            <w:bookmarkEnd w:id="75"/>
          </w:p>
        </w:tc>
        <w:tc>
          <w:tcPr>
            <w:tcW w:w="1134" w:type="dxa"/>
          </w:tcPr>
          <w:p>
            <w:pPr>
              <w:pStyle w:val="P21"/>
              <w:tabs>
                <w:tab w:val="left" w:pos="7371" w:leader="none"/>
              </w:tabs>
              <w:spacing w:after="120" w:beforeAutospacing="0" w:afterAutospacing="0"/>
              <w:ind w:firstLine="10" w:left="-10" w:right="0"/>
              <w:rPr>
                <w:rFonts w:ascii="Arial" w:hAnsi="Arial"/>
                <w:sz w:val="16"/>
                <w:szCs w:val="16"/>
                <w:highlight w:val="yellow"/>
              </w:rPr>
            </w:pPr>
            <w:r>
              <w:rPr>
                <w:rFonts w:ascii="Arial" w:hAnsi="Arial"/>
                <w:sz w:val="16"/>
                <w:szCs w:val="16"/>
              </w:rPr>
              <w:t>2022-01-21</w:t>
            </w:r>
          </w:p>
        </w:tc>
      </w:tr>
      <w:tr>
        <w:tc>
          <w:tcPr>
            <w:tcW w:w="2977" w:type="dxa"/>
          </w:tcPr>
          <w:p>
            <w:pPr>
              <w:pStyle w:val="P21"/>
              <w:tabs>
                <w:tab w:val="left" w:pos="7371" w:leader="none"/>
              </w:tabs>
              <w:spacing w:after="120" w:beforeAutospacing="0" w:afterAutospacing="0"/>
              <w:ind w:right="0"/>
              <w:rPr>
                <w:rFonts w:ascii="Arial" w:hAnsi="Arial"/>
                <w:sz w:val="16"/>
                <w:szCs w:val="16"/>
              </w:rPr>
            </w:pPr>
            <w:bookmarkEnd w:id="74"/>
            <w:bookmarkStart w:id="76" w:name="be_ärendeinformation05" w:colFirst="0" w:colLast="2"/>
            <w:r>
              <w:rPr>
                <w:rFonts w:ascii="Arial" w:hAnsi="Arial"/>
                <w:sz w:val="16"/>
                <w:szCs w:val="16"/>
              </w:rPr>
              <w:t>Godkänd för granskning</w:t>
            </w:r>
          </w:p>
        </w:tc>
        <w:tc>
          <w:tcPr>
            <w:tcW w:w="3260" w:type="dxa"/>
          </w:tcPr>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Miljö- och samhällsbyggnadsnämnden</w:t>
            </w:r>
          </w:p>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(delegation)</w:t>
            </w:r>
          </w:p>
        </w:tc>
        <w:tc>
          <w:tcPr>
            <w:tcW w:w="1134" w:type="dxa"/>
          </w:tcPr>
          <w:p>
            <w:pPr>
              <w:pStyle w:val="P21"/>
              <w:tabs>
                <w:tab w:val="left" w:pos="7371" w:leader="none"/>
              </w:tabs>
              <w:spacing w:after="120" w:beforeAutospacing="0" w:afterAutospacing="0"/>
              <w:ind w:firstLine="10" w:left="-10" w:right="0"/>
              <w:rPr>
                <w:rFonts w:ascii="Arial" w:hAnsi="Arial"/>
                <w:sz w:val="16"/>
                <w:szCs w:val="16"/>
                <w:highlight w:val="yellow"/>
              </w:rPr>
            </w:pPr>
            <w:r>
              <w:rPr>
                <w:rFonts w:ascii="Arial" w:hAnsi="Arial"/>
                <w:sz w:val="16"/>
                <w:szCs w:val="16"/>
              </w:rPr>
              <w:t>2023-01-25</w:t>
            </w:r>
          </w:p>
        </w:tc>
      </w:tr>
      <w:tr>
        <w:tc>
          <w:tcPr>
            <w:tcW w:w="2977" w:type="dxa"/>
          </w:tcPr>
          <w:p>
            <w:pPr>
              <w:pStyle w:val="P21"/>
              <w:tabs>
                <w:tab w:val="left" w:pos="7371" w:leader="none"/>
              </w:tabs>
              <w:spacing w:after="120" w:beforeAutospacing="0" w:afterAutospacing="0"/>
              <w:ind w:right="0"/>
              <w:rPr>
                <w:rFonts w:ascii="Arial" w:hAnsi="Arial"/>
                <w:sz w:val="16"/>
                <w:szCs w:val="16"/>
              </w:rPr>
            </w:pPr>
            <w:bookmarkEnd w:id="76"/>
            <w:bookmarkStart w:id="77" w:name="be_ärendeinformation04" w:colFirst="0" w:colLast="2"/>
            <w:r>
              <w:rPr>
                <w:rFonts w:ascii="Arial" w:hAnsi="Arial"/>
                <w:sz w:val="16"/>
                <w:szCs w:val="16"/>
              </w:rPr>
              <w:t>Antagen</w:t>
            </w:r>
          </w:p>
        </w:tc>
        <w:tc>
          <w:tcPr>
            <w:tcW w:w="3260" w:type="dxa"/>
          </w:tcPr>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Miljö- och samhällsbyggnadsnämnden</w:t>
            </w:r>
          </w:p>
        </w:tc>
        <w:tc>
          <w:tcPr>
            <w:tcW w:w="1134" w:type="dxa"/>
          </w:tcPr>
          <w:p>
            <w:pPr>
              <w:pStyle w:val="P21"/>
              <w:tabs>
                <w:tab w:val="left" w:pos="7371" w:leader="none"/>
              </w:tabs>
              <w:spacing w:after="120" w:beforeAutospacing="0" w:afterAutospacing="0"/>
              <w:ind w:firstLine="10" w:left="-10" w:right="0"/>
              <w:rPr>
                <w:rFonts w:ascii="Arial" w:hAnsi="Arial"/>
                <w:sz w:val="16"/>
                <w:szCs w:val="16"/>
              </w:rPr>
            </w:pPr>
            <w:r>
              <w:rPr>
                <w:rFonts w:ascii="Arial" w:hAnsi="Arial"/>
                <w:sz w:val="16"/>
                <w:szCs w:val="16"/>
              </w:rPr>
              <w:t>2023-04-25</w:t>
            </w:r>
          </w:p>
        </w:tc>
      </w:tr>
      <w:tr>
        <w:tc>
          <w:tcPr>
            <w:tcW w:w="2977" w:type="dxa"/>
          </w:tcPr>
          <w:p>
            <w:pPr>
              <w:pStyle w:val="P21"/>
              <w:tabs>
                <w:tab w:val="left" w:pos="7371" w:leader="none"/>
              </w:tabs>
              <w:spacing w:after="120" w:beforeAutospacing="0" w:afterAutospacing="0"/>
              <w:ind w:right="0"/>
              <w:rPr>
                <w:rFonts w:ascii="Arial" w:hAnsi="Arial"/>
                <w:sz w:val="16"/>
                <w:szCs w:val="16"/>
              </w:rPr>
            </w:pPr>
            <w:bookmarkEnd w:id="77"/>
            <w:bookmarkStart w:id="78" w:name="be_ärendeinformation03" w:colFirst="0" w:colLast="2"/>
            <w:r>
              <w:rPr>
                <w:rFonts w:ascii="Arial" w:hAnsi="Arial"/>
                <w:sz w:val="16"/>
                <w:szCs w:val="16"/>
              </w:rPr>
              <w:t>Vunnit laga kraft</w:t>
            </w:r>
          </w:p>
        </w:tc>
        <w:tc>
          <w:tcPr>
            <w:tcW w:w="3260" w:type="dxa"/>
          </w:tcPr>
          <w:p>
            <w:pPr>
              <w:pStyle w:val="P21"/>
              <w:tabs>
                <w:tab w:val="left" w:pos="7371" w:leader="none"/>
              </w:tabs>
              <w:spacing w:after="120" w:beforeAutospacing="0" w:afterAutospacing="0"/>
              <w:ind w:left="5" w:right="0"/>
              <w:rPr>
                <w:rFonts w:ascii="Arial" w:hAnsi="Arial"/>
                <w:sz w:val="16"/>
                <w:szCs w:val="16"/>
              </w:rPr>
            </w:pPr>
          </w:p>
        </w:tc>
        <w:tc>
          <w:tcPr>
            <w:tcW w:w="1134" w:type="dxa"/>
          </w:tcPr>
          <w:p>
            <w:pPr>
              <w:pStyle w:val="P21"/>
              <w:tabs>
                <w:tab w:val="left" w:pos="7371" w:leader="none"/>
              </w:tabs>
              <w:spacing w:after="120" w:beforeAutospacing="0" w:afterAutospacing="0"/>
              <w:ind w:firstLine="10" w:left="-10" w:right="0"/>
              <w:rPr>
                <w:rFonts w:ascii="Arial" w:hAnsi="Arial"/>
                <w:sz w:val="16"/>
                <w:szCs w:val="16"/>
              </w:rPr>
            </w:pPr>
            <w:r>
              <w:rPr>
                <w:rFonts w:ascii="Arial" w:hAnsi="Arial"/>
                <w:sz w:val="16"/>
                <w:szCs w:val="16"/>
              </w:rPr>
              <w:t>2023-05-18</w:t>
            </w:r>
          </w:p>
        </w:tc>
      </w:tr>
    </w:tbl>
    <w:p>
      <w:pPr>
        <w:pStyle w:val="P23"/>
        <w:tabs>
          <w:tab w:val="left" w:pos="7371" w:leader="none"/>
        </w:tabs>
        <w:spacing w:after="120" w:beforeAutospacing="0" w:afterAutospacing="0"/>
        <w:ind w:right="0"/>
      </w:pPr>
      <w:bookmarkEnd w:id="78"/>
    </w:p>
    <w:sectPr>
      <w:headerReference xmlns:r="http://schemas.openxmlformats.org/officeDocument/2006/relationships" w:type="first" r:id="RelHdr1"/>
      <w:footerReference xmlns:r="http://schemas.openxmlformats.org/officeDocument/2006/relationships" w:type="default" r:id="RelFtr1"/>
      <w:footerReference xmlns:r="http://schemas.openxmlformats.org/officeDocument/2006/relationships" w:type="even" r:id="RelFtr2"/>
      <w:footnotePr>
        <w:pos w:val="beneathText"/>
      </w:footnotePr>
      <w:endnotePr/>
      <w:type w:val="nextPage"/>
      <w:pgSz w:w="11905" w:h="16837" w:code="0"/>
      <w:pgMar w:left="2223" w:right="397" w:top="1701" w:bottom="1843" w:header="720" w:footer="1134" w:gutter="0"/>
      <w:pgNumType w:start="0" w:chapSep="period"/>
      <w:cols w:equalWidth="1" w:space="72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p/>
    <w:p/>
  </w:endnote>
  <w:endnote w:type="continuationSeparator" w:id="0">
    <w:p>
      <w:r>
        <w:continuationSeparator/>
      </w:r>
    </w:p>
    <w:p/>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8"/>
      <w:rPr>
        <w:rFonts w:ascii="Arial" w:hAnsi="Arial"/>
        <w:b w:val="1"/>
        <w:bCs w:val="1"/>
        <w:sz w:val="12"/>
        <w:szCs w:val="12"/>
      </w:rPr>
    </w:pPr>
  </w:p>
  <w:p>
    <w:pPr>
      <w:pStyle w:val="P18"/>
      <w:rPr>
        <w:rFonts w:ascii="Arial" w:hAnsi="Arial"/>
        <w:b w:val="1"/>
        <w:bCs w:val="1"/>
        <w:sz w:val="12"/>
        <w:szCs w:val="12"/>
      </w:rPr>
    </w:pPr>
  </w:p>
  <w:p>
    <w:pPr>
      <w:pStyle w:val="P18"/>
      <w:rPr>
        <w:rFonts w:ascii="Arial" w:hAnsi="Arial"/>
        <w:b w:val="1"/>
        <w:bCs w:val="1"/>
        <w:sz w:val="12"/>
        <w:szCs w:val="12"/>
      </w:rPr>
    </w:pPr>
  </w:p>
  <w:p>
    <w:pPr>
      <w:pStyle w:val="P18"/>
      <w:rPr>
        <w:rFonts w:ascii="Arial" w:hAnsi="Arial"/>
        <w:b w:val="1"/>
        <w:bCs w:val="1"/>
        <w:sz w:val="18"/>
        <w:szCs w:val="18"/>
      </w:rPr>
    </w:pPr>
    <w:r>
      <w:rPr>
        <w:noProof w:val="1"/>
      </w:rPr>
      <mc:AlternateContent>
        <mc:Choice Requires="wps">
          <w:drawing>
            <wp:anchor xmlns:wp="http://schemas.openxmlformats.org/drawingml/2006/wordprocessingDrawing" distT="0" distB="0" distL="114300" distR="114300" simplePos="0" relativeHeight="251655168" behindDoc="1" locked="0" layoutInCell="1" allowOverlap="1">
              <wp:simplePos x="0" y="0"/>
              <wp:positionH relativeFrom="column">
                <wp:posOffset>31115</wp:posOffset>
              </wp:positionH>
              <wp:positionV relativeFrom="paragraph">
                <wp:posOffset>1905</wp:posOffset>
              </wp:positionV>
              <wp:extent cx="5146675" cy="0"/>
              <wp:effectExtent l="0" t="0" r="0" b="0"/>
              <wp:wrapNone/>
              <wp:docPr id="9" name=" 3"/>
              <wp:cNvGraphicFramePr/>
              <a:graphic xmlns:a="http://schemas.openxmlformats.org/drawingml/2006/main">
                <a:graphicData uri="http://schemas.microsoft.com/office/word/2010/wordprocessingShape">
                  <wps:wsp>
                    <wps:cNvCnPr>
                      <a:stCxn id="0" idx="0"/>
                      <a:endCxn id="0" idx="0"/>
                    </wps:cNvCnPr>
                    <wps:spPr bwMode="auto">
                      <a:xfrm>
                        <a:off x="0" y="0"/>
                        <a:ext cx="5146675" cy="0"/>
                      </a:xfrm>
                      <a:prstGeom prst="line"/>
                      <a:noFill/>
                      <a:ln w="6350">
                        <a:solidFill>
                          <a:srgbClr val="000000"/>
                        </a:solidFill>
                        <a:round/>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ps:wsp>
                </a:graphicData>
              </a:graphic>
            </wp:anchor>
          </w:drawing>
        </mc:Choice>
        <mc:Fallback>
          <w:pict>
            <v:line xmlns:o="urn:schemas-microsoft-com:office:office" id=" 3" o:spid="_x0000_s1028" style="position:absolute;z-index:251655168;mso-wrap-distance-left:9pt;mso-wrap-distance-top:0pt;mso-wrap-distance-right:9pt;mso-wrap-distance-bottom:0pt;mso-position-horizontal:absolute;mso-position-horizontal-relative:text;mso-position-vertical:absolute;mso-position-vertical-relative:text" filled="f" strokecolor="#000000" strokeweight="0.5pt" stroked="t" o:allowincell="t" from="2.45pt,0.15pt" to="407.7pt,0.15pt"/>
          </w:pict>
        </mc:Fallback>
      </mc:AlternateContent>
    </w:r>
    <w:r>
      <w:rPr>
        <w:noProof w:val="1"/>
      </w:rPr>
      <mc:AlternateContent>
        <mc:Choice Requires="wps">
          <w:drawing>
            <wp:anchor xmlns:wp="http://schemas.openxmlformats.org/drawingml/2006/wordprocessingDrawing" distT="0" distB="0" distL="0" distR="0" simplePos="0" relativeHeight="1" behindDoc="0" locked="0" layoutInCell="1" allowOverlap="1">
              <wp:simplePos x="0" y="0"/>
              <wp:positionH relativeFrom="column">
                <wp:posOffset>2389505</wp:posOffset>
              </wp:positionH>
              <wp:positionV relativeFrom="paragraph">
                <wp:posOffset>109220</wp:posOffset>
              </wp:positionV>
              <wp:extent cx="207645" cy="215265"/>
              <wp:effectExtent l="0" t="0" r="1905" b="0"/>
              <wp:wrapNone/>
              <wp:docPr id="8" name=" 4"/>
              <wp:cNvGraphicFramePr/>
              <a:graphic xmlns:a="http://schemas.openxmlformats.org/drawingml/2006/main">
                <a:graphicData uri="http://schemas.microsoft.com/office/word/2010/wordprocessingShape">
                  <wps:wsp>
                    <wps:cNvSpPr txBox="1"/>
                    <wps:spPr bwMode="auto">
                      <a:xfrm>
                        <a:off x="0" y="0"/>
                        <a:ext cx="207645" cy="215265"/>
                      </a:xfrm>
                      <a:prstGeom prst="rect"/>
                      <a:solidFill>
                        <a:srgbClr val="FFFFFF"/>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9"/>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w:t>
                          </w:r>
                          <w:r>
                            <w:rPr>
                              <w:sz w:val="20"/>
                              <w:szCs w:val="20"/>
                            </w:rPr>
                            <w:fldChar w:fldCharType="end"/>
                          </w:r>
                        </w:p>
                      </w:txbxContent>
                    </wps:txbx>
                    <wps:bodyPr rot="0" vert="horz" wrap="square" lIns="0" tIns="0" rIns="0" bIns="0" anchor="t" anchorCtr="0" upright="1">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 4" o:spid="_x0000_s1029" style="position:absolute;width:16.35pt;height:16.95pt;z-index:1;mso-wrap-distance-left:0pt;mso-wrap-distance-top:0pt;mso-wrap-distance-right:0pt;mso-wrap-distance-bottom:0pt;margin-left:188.15pt;margin-top:8.6pt;mso-position-horizontal:absolute;mso-position-horizontal-relative:text;mso-position-vertical:absolute;mso-position-vertical-relative:text" o:allowincell="t" fillcolor="#FFFFFF" stroked="f">
              <v:textbox inset="0mm,0mm,0mm,0mm">
                <w:txbxContent>
                  <w:p>
                    <w:pPr>
                      <w:pStyle w:val="P19"/>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w:t>
                    </w:r>
                    <w:r>
                      <w:rPr>
                        <w:sz w:val="20"/>
                        <w:szCs w:val="20"/>
                      </w:rPr>
                      <w:fldChar w:fldCharType="end"/>
                    </w:r>
                  </w:p>
                </w:txbxContent>
              </v:textbox>
            </v:shape>
          </w:pict>
        </mc:Fallback>
      </mc:AlternateContent>
    </w:r>
  </w:p>
  <w:p>
    <w:pPr>
      <w:pStyle w:val="P18"/>
      <w:tabs>
        <w:tab w:val="right" w:pos="8222" w:leader="none"/>
        <w:tab w:val="clear" w:pos="9072" w:leader="none"/>
      </w:tabs>
      <w:spacing w:lineRule="atLeast" w:line="100" w:beforeAutospacing="0" w:afterAutospacing="0"/>
      <w:rPr>
        <w:rFonts w:ascii="Arial" w:hAnsi="Arial"/>
        <w:b w:val="1"/>
        <w:bCs w:val="1"/>
        <w:sz w:val="18"/>
        <w:szCs w:val="18"/>
      </w:rPr>
    </w:pPr>
    <w:r>
      <w:rPr>
        <w:rFonts w:ascii="Arial" w:hAnsi="Arial"/>
        <w:bCs w:val="1"/>
        <w:sz w:val="18"/>
        <w:szCs w:val="18"/>
      </w:rPr>
      <w:t>Falu kommun</w:t>
    </w:r>
    <w:r>
      <w:rPr>
        <w:rFonts w:ascii="Arial" w:hAnsi="Arial"/>
        <w:b w:val="1"/>
        <w:bCs w:val="1"/>
        <w:sz w:val="18"/>
        <w:szCs w:val="18"/>
      </w:rPr>
      <w:t xml:space="preserve"> </w:t>
      <w:tab/>
    </w:r>
  </w:p>
  <w:p>
    <w:pPr>
      <w:pStyle w:val="P18"/>
      <w:tabs>
        <w:tab w:val="right" w:pos="8222" w:leader="none"/>
        <w:tab w:val="clear" w:pos="9072" w:leader="none"/>
      </w:tabs>
      <w:spacing w:lineRule="atLeast" w:line="100" w:beforeAutospacing="0" w:afterAutospacing="0"/>
      <w:rPr>
        <w:rFonts w:ascii="Arial" w:hAnsi="Arial"/>
        <w:sz w:val="18"/>
        <w:szCs w:val="18"/>
      </w:rPr>
    </w:pPr>
    <w:r>
      <w:rPr>
        <w:rFonts w:ascii="Arial" w:hAnsi="Arial"/>
        <w:sz w:val="18"/>
        <w:szCs w:val="18"/>
      </w:rPr>
      <w:t>Miljö- och samhällsbyggnadsförvaltningen</w:t>
      <w:tab/>
      <w:t>Planbeskrivning</w:t>
    </w:r>
  </w:p>
  <w:p>
    <w:pPr>
      <w:pStyle w:val="P18"/>
      <w:tabs>
        <w:tab w:val="right" w:pos="8222" w:leader="none"/>
        <w:tab w:val="clear" w:pos="9072" w:leader="none"/>
      </w:tabs>
      <w:spacing w:lineRule="atLeast" w:line="100" w:beforeAutospacing="0" w:afterAutospacing="0"/>
      <w:rPr>
        <w:rFonts w:ascii="Arial" w:hAnsi="Arial"/>
        <w:sz w:val="18"/>
        <w:szCs w:val="18"/>
      </w:rPr>
    </w:pPr>
    <w:r>
      <w:rPr>
        <w:rFonts w:ascii="Arial" w:hAnsi="Arial"/>
        <w:sz w:val="18"/>
        <w:szCs w:val="18"/>
      </w:rPr>
      <w:t>Hållbarhet och planering</w:t>
      <w:tab/>
    </w: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8"/>
      <w:rPr>
        <w:rFonts w:ascii="Arial" w:hAnsi="Arial"/>
        <w:b w:val="1"/>
        <w:bCs w:val="1"/>
        <w:sz w:val="12"/>
        <w:szCs w:val="12"/>
      </w:rPr>
    </w:pPr>
  </w:p>
  <w:p>
    <w:pPr>
      <w:pStyle w:val="P18"/>
      <w:rPr>
        <w:rFonts w:ascii="Arial" w:hAnsi="Arial"/>
        <w:b w:val="1"/>
        <w:bCs w:val="1"/>
        <w:sz w:val="12"/>
        <w:szCs w:val="12"/>
      </w:rPr>
    </w:pPr>
  </w:p>
  <w:p>
    <w:pPr>
      <w:pStyle w:val="P18"/>
      <w:rPr>
        <w:rFonts w:ascii="Arial" w:hAnsi="Arial"/>
        <w:b w:val="1"/>
        <w:bCs w:val="1"/>
        <w:sz w:val="12"/>
        <w:szCs w:val="12"/>
      </w:rPr>
    </w:pPr>
  </w:p>
  <w:p>
    <w:pPr>
      <w:pStyle w:val="P18"/>
      <w:rPr>
        <w:rFonts w:ascii="Arial" w:hAnsi="Arial"/>
        <w:b w:val="1"/>
        <w:bCs w:val="1"/>
        <w:sz w:val="18"/>
        <w:szCs w:val="18"/>
      </w:rPr>
    </w:pPr>
    <w:r>
      <w:rPr>
        <w:noProof w:val="1"/>
      </w:rPr>
      <mc:AlternateContent>
        <mc:Choice Requires="wps">
          <w:drawing>
            <wp:anchor xmlns:wp="http://schemas.openxmlformats.org/drawingml/2006/wordprocessingDrawing" distT="0" distB="0" distL="114300" distR="114300" simplePos="0" relativeHeight="251655169" behindDoc="1" locked="0" layoutInCell="1" allowOverlap="1">
              <wp:simplePos x="0" y="0"/>
              <wp:positionH relativeFrom="column">
                <wp:posOffset>31115</wp:posOffset>
              </wp:positionH>
              <wp:positionV relativeFrom="paragraph">
                <wp:posOffset>1905</wp:posOffset>
              </wp:positionV>
              <wp:extent cx="5146675" cy="0"/>
              <wp:effectExtent l="0" t="0" r="0" b="0"/>
              <wp:wrapNone/>
              <wp:docPr id="11" name=" 8"/>
              <wp:cNvGraphicFramePr/>
              <a:graphic xmlns:a="http://schemas.openxmlformats.org/drawingml/2006/main">
                <a:graphicData uri="http://schemas.microsoft.com/office/word/2010/wordprocessingShape">
                  <wps:wsp>
                    <wps:cNvCnPr>
                      <a:stCxn id="0" idx="0"/>
                      <a:endCxn id="0" idx="0"/>
                    </wps:cNvCnPr>
                    <wps:spPr bwMode="auto">
                      <a:xfrm>
                        <a:off x="0" y="0"/>
                        <a:ext cx="5146675" cy="0"/>
                      </a:xfrm>
                      <a:prstGeom prst="line"/>
                      <a:noFill/>
                      <a:ln w="6350">
                        <a:solidFill>
                          <a:srgbClr val="000000"/>
                        </a:solidFill>
                        <a:round/>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ps:wsp>
                </a:graphicData>
              </a:graphic>
            </wp:anchor>
          </w:drawing>
        </mc:Choice>
        <mc:Fallback>
          <w:pict>
            <v:line xmlns:o="urn:schemas-microsoft-com:office:office" id=" 8" o:spid="_x0000_s1030" style="position:absolute;z-index:251655169;mso-wrap-distance-left:9pt;mso-wrap-distance-top:0pt;mso-wrap-distance-right:9pt;mso-wrap-distance-bottom:0pt;mso-position-horizontal:absolute;mso-position-horizontal-relative:text;mso-position-vertical:absolute;mso-position-vertical-relative:text" filled="f" strokecolor="#000000" strokeweight="0.5pt" stroked="t" o:allowincell="t" from="2.45pt,0.15pt" to="407.7pt,0.15pt"/>
          </w:pict>
        </mc:Fallback>
      </mc:AlternateContent>
    </w:r>
    <w:r>
      <w:rPr>
        <w:noProof w:val="1"/>
      </w:rPr>
      <mc:AlternateContent>
        <mc:Choice Requires="wps">
          <w:drawing>
            <wp:anchor xmlns:wp="http://schemas.openxmlformats.org/drawingml/2006/wordprocessingDrawing" distT="0" distB="0" distL="0" distR="0" simplePos="0" relativeHeight="4" behindDoc="0" locked="0" layoutInCell="1" allowOverlap="1">
              <wp:simplePos x="0" y="0"/>
              <wp:positionH relativeFrom="column">
                <wp:posOffset>2389505</wp:posOffset>
              </wp:positionH>
              <wp:positionV relativeFrom="paragraph">
                <wp:posOffset>109220</wp:posOffset>
              </wp:positionV>
              <wp:extent cx="207645" cy="215265"/>
              <wp:effectExtent l="0" t="0" r="1905" b="0"/>
              <wp:wrapNone/>
              <wp:docPr id="10" name=" 9"/>
              <wp:cNvGraphicFramePr/>
              <a:graphic xmlns:a="http://schemas.openxmlformats.org/drawingml/2006/main">
                <a:graphicData uri="http://schemas.microsoft.com/office/word/2010/wordprocessingShape">
                  <wps:wsp>
                    <wps:cNvSpPr txBox="1"/>
                    <wps:spPr bwMode="auto">
                      <a:xfrm>
                        <a:off x="0" y="0"/>
                        <a:ext cx="207645" cy="215265"/>
                      </a:xfrm>
                      <a:prstGeom prst="rect"/>
                      <a:solidFill>
                        <a:srgbClr val="FFFFFF"/>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9"/>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w:t>
                          </w:r>
                          <w:r>
                            <w:rPr>
                              <w:sz w:val="20"/>
                              <w:szCs w:val="20"/>
                            </w:rPr>
                            <w:fldChar w:fldCharType="end"/>
                          </w:r>
                        </w:p>
                      </w:txbxContent>
                    </wps:txbx>
                    <wps:bodyPr rot="0" vert="horz" wrap="square" lIns="0" tIns="0" rIns="0" bIns="0" anchor="t" anchorCtr="0" upright="1">
                      <a:noAutofit/>
                    </wps:bodyPr>
                  </wps:wsp>
                </a:graphicData>
              </a:graphic>
            </wp:anchor>
          </w:drawing>
        </mc:Choice>
        <mc:Fallback>
          <w:pict>
            <v:shape xmlns:o="urn:schemas-microsoft-com:office:office" type="#_x0000_t202" id=" 9" o:spid="_x0000_s1031" style="position:absolute;width:16.35pt;height:16.95pt;z-index:4;mso-wrap-distance-left:0pt;mso-wrap-distance-top:0pt;mso-wrap-distance-right:0pt;mso-wrap-distance-bottom:0pt;margin-left:188.15pt;margin-top:8.6pt;mso-position-horizontal:absolute;mso-position-horizontal-relative:text;mso-position-vertical:absolute;mso-position-vertical-relative:text" o:allowincell="t" fillcolor="#FFFFFF" stroked="f">
              <v:textbox inset="0mm,0mm,0mm,0mm">
                <w:txbxContent>
                  <w:p>
                    <w:pPr>
                      <w:pStyle w:val="P19"/>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w:t>
                    </w:r>
                    <w:r>
                      <w:rPr>
                        <w:sz w:val="20"/>
                        <w:szCs w:val="20"/>
                      </w:rPr>
                      <w:fldChar w:fldCharType="end"/>
                    </w:r>
                  </w:p>
                </w:txbxContent>
              </v:textbox>
            </v:shape>
          </w:pict>
        </mc:Fallback>
      </mc:AlternateContent>
    </w:r>
  </w:p>
  <w:p>
    <w:pPr>
      <w:pStyle w:val="P18"/>
      <w:tabs>
        <w:tab w:val="right" w:pos="8222" w:leader="none"/>
        <w:tab w:val="clear" w:pos="9072" w:leader="none"/>
      </w:tabs>
      <w:spacing w:lineRule="atLeast" w:line="100" w:beforeAutospacing="0" w:afterAutospacing="0"/>
      <w:rPr>
        <w:rFonts w:ascii="Arial" w:hAnsi="Arial"/>
        <w:b w:val="1"/>
        <w:bCs w:val="1"/>
        <w:sz w:val="18"/>
        <w:szCs w:val="18"/>
      </w:rPr>
    </w:pPr>
    <w:r>
      <w:rPr>
        <w:rFonts w:ascii="Arial" w:hAnsi="Arial"/>
        <w:bCs w:val="1"/>
        <w:sz w:val="18"/>
        <w:szCs w:val="18"/>
      </w:rPr>
      <w:t>Falu kommun</w:t>
    </w:r>
    <w:r>
      <w:rPr>
        <w:rFonts w:ascii="Arial" w:hAnsi="Arial"/>
        <w:b w:val="1"/>
        <w:bCs w:val="1"/>
        <w:sz w:val="18"/>
        <w:szCs w:val="18"/>
      </w:rPr>
      <w:t xml:space="preserve"> </w:t>
      <w:tab/>
    </w:r>
  </w:p>
  <w:p>
    <w:pPr>
      <w:pStyle w:val="P18"/>
      <w:tabs>
        <w:tab w:val="right" w:pos="8222" w:leader="none"/>
        <w:tab w:val="clear" w:pos="9072" w:leader="none"/>
      </w:tabs>
      <w:spacing w:lineRule="atLeast" w:line="100" w:beforeAutospacing="0" w:afterAutospacing="0"/>
      <w:rPr>
        <w:rFonts w:ascii="Arial" w:hAnsi="Arial"/>
        <w:sz w:val="18"/>
        <w:szCs w:val="18"/>
      </w:rPr>
    </w:pPr>
    <w:r>
      <w:rPr>
        <w:rFonts w:ascii="Arial" w:hAnsi="Arial"/>
        <w:sz w:val="18"/>
        <w:szCs w:val="18"/>
      </w:rPr>
      <w:t>Miljö- och samhällsbyggnadsförvaltningen</w:t>
      <w:tab/>
      <w:t>Planbeskrivning</w:t>
    </w:r>
  </w:p>
  <w:p>
    <w:pPr>
      <w:pStyle w:val="P18"/>
      <w:tabs>
        <w:tab w:val="right" w:pos="8222" w:leader="none"/>
        <w:tab w:val="clear" w:pos="9072" w:leader="none"/>
      </w:tabs>
      <w:spacing w:lineRule="atLeast" w:line="100" w:beforeAutospacing="0" w:afterAutospacing="0"/>
      <w:rPr>
        <w:rFonts w:ascii="Arial" w:hAnsi="Arial"/>
        <w:sz w:val="18"/>
        <w:szCs w:val="18"/>
      </w:rPr>
    </w:pPr>
    <w:r>
      <w:rPr>
        <w:rFonts w:ascii="Arial" w:hAnsi="Arial"/>
        <w:sz w:val="18"/>
        <w:szCs w:val="18"/>
      </w:rPr>
      <w:t>Hållbarhet och planering</w:t>
      <w:tab/>
    </w: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p/>
    <w:p/>
  </w:footnote>
  <w:footnote w:type="continuationSeparator" w:id="0">
    <w:p>
      <w:r>
        <w:continuationSeparator/>
      </w:r>
    </w:p>
    <w:p/>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tabs>
        <w:tab w:val="right" w:pos="9072" w:leader="none"/>
      </w:tabs>
      <w:ind w:left="-709" w:right="0"/>
      <w:rPr>
        <w:rFonts w:ascii="Arial" w:hAnsi="Arial"/>
        <w:sz w:val="16"/>
        <w:lang w:eastAsia="sv-SE"/>
      </w:rPr>
    </w:pPr>
    <w:r>
      <w:rPr>
        <w:rFonts w:ascii="Arial" w:hAnsi="Arial"/>
        <w:noProof w:val="1"/>
        <w:sz w:val="16"/>
        <w:lang w:eastAsia="sv-SE"/>
      </w:rPr>
      <w:drawing>
        <wp:anchor xmlns:wp="http://schemas.openxmlformats.org/drawingml/2006/wordprocessingDrawing" distT="0" distB="0" distL="114300" distR="114300" simplePos="0" relativeHeight="2" behindDoc="0" locked="0" layoutInCell="1" allowOverlap="1">
          <wp:simplePos x="0" y="0"/>
          <wp:positionH relativeFrom="column">
            <wp:posOffset>-441325</wp:posOffset>
          </wp:positionH>
          <wp:positionV relativeFrom="paragraph">
            <wp:posOffset>-149860</wp:posOffset>
          </wp:positionV>
          <wp:extent cx="1478280" cy="295910"/>
          <wp:effectExtent l="0" t="0" r="0" b="0"/>
          <wp:wrapNone/>
          <wp:docPr id="37" name="Bild 6"/>
          <wp:cNvGraphicFramePr/>
          <a:graphic xmlns:a="http://schemas.openxmlformats.org/drawingml/2006/main">
            <a:graphicData uri="http://schemas.openxmlformats.org/drawingml/2006/picture">
              <pic:pic xmlns:pic="http://schemas.openxmlformats.org/drawingml/2006/picture">
                <pic:nvPicPr>
                  <pic:cNvPr id="37" name="Bild 6"/>
                  <pic:cNvPicPr/>
                </pic:nvPicPr>
                <pic:blipFill dpi="0">
                  <a:blip xmlns:r="http://schemas.openxmlformats.org/officeDocument/2006/relationships" r:embed="Relimage6"/>
                  <a:srcRect/>
                  <a:stretch>
                    <a:fillRect/>
                  </a:stretch>
                </pic:blipFill>
                <pic:spPr bwMode="auto">
                  <a:xfrm>
                    <a:off x="0" y="0"/>
                    <a:ext cx="1478280" cy="295910"/>
                  </a:xfrm>
                  <a:prstGeom prst="rect"/>
                  <a:noFill/>
                  <a:ln>
                    <a:noFill/>
                  </a:ln>
                </pic:spPr>
              </pic:pic>
            </a:graphicData>
          </a:graphic>
        </wp:anchor>
      </w:drawing>
    </w:r>
  </w:p>
  <w:p>
    <w:pPr>
      <w:tabs>
        <w:tab w:val="right" w:pos="9072" w:leader="none"/>
      </w:tabs>
      <w:ind w:left="-709" w:right="0"/>
      <w:rPr>
        <w:rFonts w:ascii="Arial" w:hAnsi="Arial"/>
        <w:sz w:val="16"/>
        <w:lang w:eastAsia="sv-SE"/>
      </w:rPr>
    </w:pPr>
  </w:p>
  <w:p>
    <w:pPr>
      <w:ind w:left="-709" w:right="0"/>
      <w:rPr>
        <w:rFonts w:ascii="Arial" w:hAnsi="Arial"/>
        <w:sz w:val="16"/>
        <w:lang w:eastAsia="sv-SE"/>
      </w:rPr>
    </w:pPr>
    <w:r>
      <w:rPr>
        <w:rFonts w:ascii="Arial" w:hAnsi="Arial"/>
        <w:sz w:val="16"/>
        <w:lang w:eastAsia="sv-SE"/>
      </w:rPr>
      <w:tab/>
      <w:tab/>
      <w:tab/>
      <w:tab/>
    </w:r>
  </w:p>
  <w:p>
    <w:pPr>
      <w:tabs>
        <w:tab w:val="right" w:pos="8222" w:leader="none"/>
      </w:tabs>
      <w:ind w:left="-709" w:right="0"/>
      <w:rPr>
        <w:rFonts w:ascii="Arial" w:hAnsi="Arial"/>
        <w:sz w:val="18"/>
        <w:szCs w:val="18"/>
        <w:lang w:eastAsia="sv-SE"/>
      </w:rPr>
    </w:pPr>
    <w:r>
      <w:rPr>
        <w:rFonts w:ascii="Arial" w:hAnsi="Arial"/>
        <w:sz w:val="18"/>
        <w:szCs w:val="18"/>
        <w:lang w:eastAsia="sv-SE"/>
      </w:rPr>
      <w:t xml:space="preserve">Falu kommun </w:t>
      <w:tab/>
      <w:t>Laga kraft 2023-05-18</w:t>
      <w:br w:type="textWrapping"/>
      <w:t>Miljö- och samhällsbyggnadsförvaltningen</w:t>
      <w:tab/>
    </w:r>
    <w:r>
      <w:rPr>
        <w:rFonts w:ascii="Arial" w:hAnsi="Arial"/>
        <w:bCs w:val="1"/>
        <w:sz w:val="18"/>
        <w:szCs w:val="18"/>
      </w:rPr>
      <w:t>MSN0383/19</w:t>
    </w:r>
  </w:p>
  <w:p>
    <w:pPr>
      <w:tabs>
        <w:tab w:val="center" w:pos="7513" w:leader="none"/>
        <w:tab w:val="right" w:pos="9356" w:leader="none"/>
      </w:tabs>
      <w:ind w:left="-709" w:right="0"/>
      <w:rPr>
        <w:rFonts w:ascii="Arial" w:hAnsi="Arial"/>
        <w:sz w:val="16"/>
        <w:szCs w:val="16"/>
        <w:lang w:eastAsia="sv-SE"/>
      </w:rPr>
    </w:pPr>
    <w:r>
      <w:rPr>
        <w:rFonts w:ascii="Arial" w:hAnsi="Arial"/>
        <w:sz w:val="18"/>
        <w:szCs w:val="18"/>
        <w:lang w:eastAsia="sv-SE"/>
      </w:rPr>
      <w:t>Hållbarhet och planering</w:t>
    </w:r>
  </w:p>
</w:hdr>
</file>

<file path=word/numbering.xml><?xml version="1.0" encoding="utf-8"?>
<w:numbering xmlns:w="http://schemas.openxmlformats.org/wordprocessingml/2006/main">
  <w:abstractNum w:abstractNumId="0">
    <w:nsid w:val="FFFFFF88"/>
    <w:multiLevelType w:val="hybridMultilevel"/>
    <w:lvl w:ilvl="0">
      <w:start w:val="1"/>
      <w:numFmt w:val="decimal"/>
      <w:pStyle w:val="P42"/>
      <w:suff w:val="tab"/>
      <w:lvlText w:val="%1."/>
      <w:lvlJc w:val="left"/>
      <w:pPr>
        <w:ind w:hanging="360" w:left="360"/>
        <w:tabs>
          <w:tab w:val="num" w:pos="360" w:leader="none"/>
        </w:tabs>
      </w:pPr>
      <w:rPr/>
    </w:lvl>
    <w:lvl w:ilvl="1" w:tplc="4FA2B0C5">
      <w:start w:val="1"/>
      <w:numFmt w:val="decimal"/>
      <w:suff w:val="tab"/>
      <w:lvlText w:val="%1."/>
      <w:lvlJc w:val="left"/>
      <w:pPr/>
      <w:rPr/>
    </w:lvl>
    <w:lvl w:ilvl="2" w:tplc="3585F372">
      <w:start w:val="1"/>
      <w:numFmt w:val="decimal"/>
      <w:suff w:val="tab"/>
      <w:lvlText w:val="%1."/>
      <w:lvlJc w:val="left"/>
      <w:pPr/>
      <w:rPr/>
    </w:lvl>
    <w:lvl w:ilvl="3" w:tplc="230BA046">
      <w:start w:val="1"/>
      <w:numFmt w:val="decimal"/>
      <w:suff w:val="tab"/>
      <w:lvlText w:val="%1."/>
      <w:lvlJc w:val="left"/>
      <w:pPr/>
      <w:rPr/>
    </w:lvl>
    <w:lvl w:ilvl="4" w:tplc="7A806F72">
      <w:start w:val="1"/>
      <w:numFmt w:val="decimal"/>
      <w:suff w:val="tab"/>
      <w:lvlText w:val="%1."/>
      <w:lvlJc w:val="left"/>
      <w:pPr/>
      <w:rPr/>
    </w:lvl>
    <w:lvl w:ilvl="5" w:tplc="535E88D0">
      <w:start w:val="1"/>
      <w:numFmt w:val="decimal"/>
      <w:suff w:val="tab"/>
      <w:lvlText w:val="%1."/>
      <w:lvlJc w:val="left"/>
      <w:pPr/>
      <w:rPr/>
    </w:lvl>
    <w:lvl w:ilvl="6" w:tplc="3FE2A595">
      <w:start w:val="1"/>
      <w:numFmt w:val="decimal"/>
      <w:suff w:val="tab"/>
      <w:lvlText w:val="%1."/>
      <w:lvlJc w:val="left"/>
      <w:pPr/>
      <w:rPr/>
    </w:lvl>
    <w:lvl w:ilvl="7" w:tplc="18F6D2A8">
      <w:start w:val="1"/>
      <w:numFmt w:val="decimal"/>
      <w:suff w:val="tab"/>
      <w:lvlText w:val="%1."/>
      <w:lvlJc w:val="left"/>
      <w:pPr/>
      <w:rPr/>
    </w:lvl>
    <w:lvl w:ilvl="8" w:tplc="205EA2BB">
      <w:start w:val="1"/>
      <w:numFmt w:val="decimal"/>
      <w:suff w:val="tab"/>
      <w:lvlText w:val="%1."/>
      <w:lvlJc w:val="left"/>
      <w:pPr/>
      <w:rPr/>
    </w:lvl>
  </w:abstractNum>
  <w:abstractNum w:abstractNumId="1">
    <w:nsid w:val="00000001"/>
    <w:multiLevelType w:val="multilevel"/>
    <w:lvl w:ilvl="0">
      <w:start w:val="1"/>
      <w:numFmt w:val="none"/>
      <w:pStyle w:val="P1"/>
      <w:suff w:val="nothing"/>
      <w:lvlText w:val=""/>
      <w:lvlJc w:val="left"/>
      <w:pPr>
        <w:ind w:firstLine="0" w:left="0"/>
        <w:tabs>
          <w:tab w:val="num" w:pos="0" w:leader="none"/>
        </w:tabs>
      </w:pPr>
      <w:rPr/>
    </w:lvl>
    <w:lvl w:ilvl="1">
      <w:start w:val="1"/>
      <w:numFmt w:val="none"/>
      <w:pStyle w:val="P2"/>
      <w:suff w:val="nothing"/>
      <w:lvlText w:val=""/>
      <w:lvlJc w:val="left"/>
      <w:pPr>
        <w:ind w:firstLine="0" w:left="0"/>
        <w:tabs>
          <w:tab w:val="num" w:pos="0" w:leader="none"/>
        </w:tabs>
      </w:pPr>
      <w:rPr/>
    </w:lvl>
    <w:lvl w:ilvl="2">
      <w:start w:val="1"/>
      <w:numFmt w:val="none"/>
      <w:pStyle w:val="P3"/>
      <w:suff w:val="nothing"/>
      <w:lvlText w:val=""/>
      <w:lvlJc w:val="left"/>
      <w:pPr>
        <w:ind w:firstLine="0" w:left="0"/>
        <w:tabs>
          <w:tab w:val="num" w:pos="0" w:leader="none"/>
        </w:tabs>
      </w:pPr>
      <w:rPr/>
    </w:lvl>
    <w:lvl w:ilvl="3">
      <w:start w:val="1"/>
      <w:numFmt w:val="none"/>
      <w:pStyle w:val="P4"/>
      <w:suff w:val="nothing"/>
      <w:lvlText w:val=""/>
      <w:lvlJc w:val="left"/>
      <w:pPr>
        <w:ind w:firstLine="0" w:left="0"/>
        <w:tabs>
          <w:tab w:val="num" w:pos="0" w:leader="none"/>
        </w:tabs>
      </w:pPr>
      <w:rPr/>
    </w:lvl>
    <w:lvl w:ilvl="4">
      <w:start w:val="1"/>
      <w:numFmt w:val="none"/>
      <w:pStyle w:val="P5"/>
      <w:suff w:val="nothing"/>
      <w:lvlText w:val=""/>
      <w:lvlJc w:val="left"/>
      <w:pPr>
        <w:ind w:firstLine="0" w:left="0"/>
        <w:tabs>
          <w:tab w:val="num" w:pos="0" w:leader="none"/>
        </w:tabs>
      </w:pPr>
      <w:rPr/>
    </w:lvl>
    <w:lvl w:ilvl="5">
      <w:start w:val="1"/>
      <w:numFmt w:val="none"/>
      <w:pStyle w:val="P6"/>
      <w:suff w:val="nothing"/>
      <w:lvlText w:val=""/>
      <w:lvlJc w:val="left"/>
      <w:pPr>
        <w:ind w:firstLine="0" w:left="0"/>
        <w:tabs>
          <w:tab w:val="num" w:pos="0" w:leader="none"/>
        </w:tabs>
      </w:pPr>
      <w:rPr/>
    </w:lvl>
    <w:lvl w:ilvl="6">
      <w:start w:val="1"/>
      <w:numFmt w:val="none"/>
      <w:pStyle w:val="P7"/>
      <w:suff w:val="nothing"/>
      <w:lvlText w:val=""/>
      <w:lvlJc w:val="left"/>
      <w:pPr>
        <w:ind w:firstLine="0" w:left="0"/>
        <w:tabs>
          <w:tab w:val="num" w:pos="0" w:leader="none"/>
        </w:tabs>
      </w:pPr>
      <w:rPr/>
    </w:lvl>
    <w:lvl w:ilvl="7">
      <w:start w:val="1"/>
      <w:numFmt w:val="none"/>
      <w:pStyle w:val="P8"/>
      <w:suff w:val="nothing"/>
      <w:lvlText w:val=""/>
      <w:lvlJc w:val="left"/>
      <w:pPr>
        <w:ind w:firstLine="0" w:left="0"/>
        <w:tabs>
          <w:tab w:val="num" w:pos="0" w:leader="none"/>
        </w:tabs>
      </w:pPr>
      <w:rPr/>
    </w:lvl>
    <w:lvl w:ilvl="8">
      <w:start w:val="1"/>
      <w:numFmt w:val="none"/>
      <w:pStyle w:val="P9"/>
      <w:suff w:val="nothing"/>
      <w:lvlText w:val=""/>
      <w:lvlJc w:val="left"/>
      <w:pPr>
        <w:ind w:firstLine="0" w:left="0"/>
        <w:tabs>
          <w:tab w:val="num" w:pos="0" w:leader="none"/>
        </w:tabs>
      </w:pPr>
      <w:rPr/>
    </w:lvl>
  </w:abstractNum>
  <w:abstractNum w:abstractNumId="2">
    <w:nsid w:val="00000002"/>
    <w:multiLevelType w:val="multilevel"/>
    <w:lvl w:ilvl="0">
      <w:start w:val="1"/>
      <w:numFmt w:val="none"/>
      <w:pStyle w:val="P30"/>
      <w:suff w:val="nothing"/>
      <w:lvlText w:val=""/>
      <w:lvlJc w:val="left"/>
      <w:pPr>
        <w:ind w:firstLine="0" w:left="0"/>
        <w:tabs>
          <w:tab w:val="num" w:pos="0" w:leader="none"/>
        </w:tabs>
      </w:pPr>
      <w:rPr/>
    </w:lvl>
    <w:lvl w:ilvl="1">
      <w:start w:val="1"/>
      <w:numFmt w:val="none"/>
      <w:suff w:val="nothing"/>
      <w:lvlText w:val=""/>
      <w:lvlJc w:val="left"/>
      <w:pPr>
        <w:ind w:firstLine="0" w:left="0"/>
        <w:tabs>
          <w:tab w:val="num" w:pos="0" w:leader="none"/>
        </w:tabs>
      </w:pPr>
      <w:rPr/>
    </w:lvl>
    <w:lvl w:ilvl="2">
      <w:start w:val="1"/>
      <w:numFmt w:val="none"/>
      <w:suff w:val="nothing"/>
      <w:lvlText w:val=""/>
      <w:lvlJc w:val="left"/>
      <w:pPr>
        <w:ind w:firstLine="0" w:left="0"/>
        <w:tabs>
          <w:tab w:val="num" w:pos="0" w:leader="none"/>
        </w:tabs>
      </w:pPr>
      <w:rPr/>
    </w:lvl>
    <w:lvl w:ilvl="3">
      <w:start w:val="1"/>
      <w:numFmt w:val="none"/>
      <w:suff w:val="nothing"/>
      <w:lvlText w:val=""/>
      <w:lvlJc w:val="left"/>
      <w:pPr>
        <w:ind w:firstLine="0" w:left="0"/>
        <w:tabs>
          <w:tab w:val="num" w:pos="0" w:leader="none"/>
        </w:tabs>
      </w:pPr>
      <w:rPr/>
    </w:lvl>
    <w:lvl w:ilvl="4">
      <w:start w:val="1"/>
      <w:numFmt w:val="none"/>
      <w:suff w:val="nothing"/>
      <w:lvlText w:val=""/>
      <w:lvlJc w:val="left"/>
      <w:pPr>
        <w:ind w:firstLine="0" w:left="0"/>
        <w:tabs>
          <w:tab w:val="num" w:pos="0" w:leader="none"/>
        </w:tabs>
      </w:pPr>
      <w:rPr/>
    </w:lvl>
    <w:lvl w:ilvl="5">
      <w:start w:val="1"/>
      <w:numFmt w:val="none"/>
      <w:suff w:val="nothing"/>
      <w:lvlText w:val=""/>
      <w:lvlJc w:val="left"/>
      <w:pPr>
        <w:ind w:firstLine="0" w:left="0"/>
        <w:tabs>
          <w:tab w:val="num" w:pos="0" w:leader="none"/>
        </w:tabs>
      </w:pPr>
      <w:rPr/>
    </w:lvl>
    <w:lvl w:ilvl="6">
      <w:start w:val="1"/>
      <w:numFmt w:val="none"/>
      <w:suff w:val="nothing"/>
      <w:lvlText w:val=""/>
      <w:lvlJc w:val="left"/>
      <w:pPr>
        <w:ind w:firstLine="0" w:left="0"/>
        <w:tabs>
          <w:tab w:val="num" w:pos="0" w:leader="none"/>
        </w:tabs>
      </w:pPr>
      <w:rPr/>
    </w:lvl>
    <w:lvl w:ilvl="7">
      <w:start w:val="1"/>
      <w:numFmt w:val="none"/>
      <w:suff w:val="nothing"/>
      <w:lvlText w:val=""/>
      <w:lvlJc w:val="left"/>
      <w:pPr>
        <w:ind w:firstLine="0" w:left="0"/>
        <w:tabs>
          <w:tab w:val="num" w:pos="0" w:leader="none"/>
        </w:tabs>
      </w:pPr>
      <w:rPr/>
    </w:lvl>
    <w:lvl w:ilvl="8">
      <w:start w:val="1"/>
      <w:numFmt w:val="none"/>
      <w:suff w:val="nothing"/>
      <w:lvlText w:val=""/>
      <w:lvlJc w:val="left"/>
      <w:pPr>
        <w:ind w:firstLine="0" w:left="0"/>
        <w:tabs>
          <w:tab w:val="num" w:pos="0" w:leader="none"/>
        </w:tabs>
      </w:pPr>
      <w:rPr/>
    </w:lvl>
  </w:abstractNum>
  <w:abstractNum w:abstractNumId="3">
    <w:nsid w:val="00000003"/>
    <w:multiLevelType w:val="multilevel"/>
    <w:lvl w:ilvl="0">
      <w:start w:val="1"/>
      <w:numFmt w:val="bullet"/>
      <w:suff w:val="tab"/>
      <w:lvlText w:val=""/>
      <w:lvlJc w:val="left"/>
      <w:pPr>
        <w:ind w:hanging="227" w:left="227"/>
        <w:tabs>
          <w:tab w:val="num" w:pos="709" w:leader="none"/>
        </w:tabs>
      </w:pPr>
      <w:rPr>
        <w:rFonts w:ascii="Symbol" w:hAnsi="Symbol"/>
      </w:rPr>
    </w:lvl>
    <w:lvl w:ilvl="1">
      <w:start w:val="1"/>
      <w:numFmt w:val="bullet"/>
      <w:suff w:val="tab"/>
      <w:lvlText w:val=""/>
      <w:lvlJc w:val="left"/>
      <w:pPr>
        <w:ind w:hanging="360" w:left="1080"/>
        <w:tabs>
          <w:tab w:val="num" w:pos="1080" w:leader="none"/>
        </w:tabs>
      </w:pPr>
      <w:rPr>
        <w:rFonts w:ascii="Symbol" w:hAnsi="Symbol"/>
      </w:rPr>
    </w:lvl>
    <w:lvl w:ilvl="2">
      <w:start w:val="1"/>
      <w:numFmt w:val="bullet"/>
      <w:suff w:val="tab"/>
      <w:lvlText w:val=""/>
      <w:lvlJc w:val="left"/>
      <w:pPr>
        <w:ind w:hanging="360" w:left="1440"/>
        <w:tabs>
          <w:tab w:val="num" w:pos="1440" w:leader="none"/>
        </w:tabs>
      </w:pPr>
      <w:rPr>
        <w:rFonts w:ascii="Symbol" w:hAnsi="Symbol"/>
      </w:rPr>
    </w:lvl>
    <w:lvl w:ilvl="3">
      <w:start w:val="1"/>
      <w:numFmt w:val="bullet"/>
      <w:suff w:val="tab"/>
      <w:lvlText w:val=""/>
      <w:lvlJc w:val="left"/>
      <w:pPr>
        <w:ind w:hanging="360" w:left="1800"/>
        <w:tabs>
          <w:tab w:val="num" w:pos="1800" w:leader="none"/>
        </w:tabs>
      </w:pPr>
      <w:rPr>
        <w:rFonts w:ascii="Symbol" w:hAnsi="Symbol"/>
      </w:rPr>
    </w:lvl>
    <w:lvl w:ilvl="4">
      <w:start w:val="1"/>
      <w:numFmt w:val="bullet"/>
      <w:suff w:val="tab"/>
      <w:lvlText w:val=""/>
      <w:lvlJc w:val="left"/>
      <w:pPr>
        <w:ind w:hanging="360" w:left="2160"/>
        <w:tabs>
          <w:tab w:val="num" w:pos="2160" w:leader="none"/>
        </w:tabs>
      </w:pPr>
      <w:rPr>
        <w:rFonts w:ascii="Symbol" w:hAnsi="Symbol"/>
      </w:rPr>
    </w:lvl>
    <w:lvl w:ilvl="5">
      <w:start w:val="1"/>
      <w:numFmt w:val="bullet"/>
      <w:suff w:val="tab"/>
      <w:lvlText w:val=""/>
      <w:lvlJc w:val="left"/>
      <w:pPr>
        <w:ind w:hanging="360" w:left="2520"/>
        <w:tabs>
          <w:tab w:val="num" w:pos="2520" w:leader="none"/>
        </w:tabs>
      </w:pPr>
      <w:rPr>
        <w:rFonts w:ascii="Symbol" w:hAnsi="Symbol"/>
      </w:rPr>
    </w:lvl>
    <w:lvl w:ilvl="6">
      <w:start w:val="1"/>
      <w:numFmt w:val="bullet"/>
      <w:suff w:val="tab"/>
      <w:lvlText w:val=""/>
      <w:lvlJc w:val="left"/>
      <w:pPr>
        <w:ind w:hanging="360" w:left="2880"/>
        <w:tabs>
          <w:tab w:val="num" w:pos="2880" w:leader="none"/>
        </w:tabs>
      </w:pPr>
      <w:rPr>
        <w:rFonts w:ascii="Symbol" w:hAnsi="Symbol"/>
      </w:rPr>
    </w:lvl>
    <w:lvl w:ilvl="7">
      <w:start w:val="1"/>
      <w:numFmt w:val="bullet"/>
      <w:suff w:val="tab"/>
      <w:lvlText w:val=""/>
      <w:lvlJc w:val="left"/>
      <w:pPr>
        <w:ind w:hanging="360" w:left="3240"/>
        <w:tabs>
          <w:tab w:val="num" w:pos="3240" w:leader="none"/>
        </w:tabs>
      </w:pPr>
      <w:rPr>
        <w:rFonts w:ascii="Symbol" w:hAnsi="Symbol"/>
      </w:rPr>
    </w:lvl>
    <w:lvl w:ilvl="8">
      <w:start w:val="1"/>
      <w:numFmt w:val="bullet"/>
      <w:suff w:val="tab"/>
      <w:lvlText w:val=""/>
      <w:lvlJc w:val="left"/>
      <w:pPr>
        <w:ind w:hanging="360" w:left="3600"/>
        <w:tabs>
          <w:tab w:val="num" w:pos="3600" w:leader="none"/>
        </w:tabs>
      </w:pPr>
      <w:rPr>
        <w:rFonts w:ascii="Symbol" w:hAnsi="Symbol"/>
      </w:rPr>
    </w:lvl>
  </w:abstractNum>
  <w:abstractNum w:abstractNumId="4">
    <w:nsid w:val="00000004"/>
    <w:multiLevelType w:val="multilevel"/>
    <w:lvl w:ilvl="0">
      <w:start w:val="1"/>
      <w:numFmt w:val="none"/>
      <w:suff w:val="nothing"/>
      <w:lvlText w:val=""/>
      <w:lvlJc w:val="left"/>
      <w:pPr>
        <w:ind w:firstLine="0" w:left="0"/>
        <w:tabs>
          <w:tab w:val="num" w:pos="0" w:leader="none"/>
        </w:tabs>
      </w:pPr>
      <w:rPr/>
    </w:lvl>
    <w:lvl w:ilvl="1">
      <w:start w:val="1"/>
      <w:numFmt w:val="bullet"/>
      <w:suff w:val="nothing"/>
      <w:lvlText w:val=""/>
      <w:lvlJc w:val="left"/>
      <w:pPr>
        <w:ind w:firstLine="0" w:left="0"/>
        <w:tabs>
          <w:tab w:val="num" w:pos="0" w:leader="none"/>
        </w:tabs>
      </w:pPr>
      <w:rPr>
        <w:rFonts w:ascii="Symbol" w:hAnsi="Symbol" w:cs="StarSymbol"/>
        <w:sz w:val="18"/>
        <w:szCs w:val="18"/>
      </w:rPr>
    </w:lvl>
    <w:lvl w:ilvl="2">
      <w:start w:val="1"/>
      <w:numFmt w:val="none"/>
      <w:suff w:val="nothing"/>
      <w:lvlText w:val=""/>
      <w:lvlJc w:val="left"/>
      <w:pPr>
        <w:ind w:firstLine="0" w:left="0"/>
        <w:tabs>
          <w:tab w:val="num" w:pos="0" w:leader="none"/>
        </w:tabs>
      </w:pPr>
      <w:rPr/>
    </w:lvl>
    <w:lvl w:ilvl="3">
      <w:start w:val="1"/>
      <w:numFmt w:val="none"/>
      <w:suff w:val="nothing"/>
      <w:lvlText w:val=""/>
      <w:lvlJc w:val="left"/>
      <w:pPr>
        <w:ind w:firstLine="0" w:left="0"/>
        <w:tabs>
          <w:tab w:val="num" w:pos="0" w:leader="none"/>
        </w:tabs>
      </w:pPr>
      <w:rPr/>
    </w:lvl>
    <w:lvl w:ilvl="4">
      <w:start w:val="1"/>
      <w:numFmt w:val="none"/>
      <w:suff w:val="nothing"/>
      <w:lvlText w:val=""/>
      <w:lvlJc w:val="left"/>
      <w:pPr>
        <w:ind w:firstLine="0" w:left="0"/>
        <w:tabs>
          <w:tab w:val="num" w:pos="0" w:leader="none"/>
        </w:tabs>
      </w:pPr>
      <w:rPr/>
    </w:lvl>
    <w:lvl w:ilvl="5">
      <w:start w:val="1"/>
      <w:numFmt w:val="none"/>
      <w:suff w:val="nothing"/>
      <w:lvlText w:val=""/>
      <w:lvlJc w:val="left"/>
      <w:pPr>
        <w:ind w:firstLine="0" w:left="0"/>
        <w:tabs>
          <w:tab w:val="num" w:pos="0" w:leader="none"/>
        </w:tabs>
      </w:pPr>
      <w:rPr/>
    </w:lvl>
    <w:lvl w:ilvl="6">
      <w:start w:val="1"/>
      <w:numFmt w:val="none"/>
      <w:suff w:val="nothing"/>
      <w:lvlText w:val=""/>
      <w:lvlJc w:val="left"/>
      <w:pPr>
        <w:ind w:firstLine="0" w:left="0"/>
        <w:tabs>
          <w:tab w:val="num" w:pos="0" w:leader="none"/>
        </w:tabs>
      </w:pPr>
      <w:rPr/>
    </w:lvl>
    <w:lvl w:ilvl="7">
      <w:start w:val="1"/>
      <w:numFmt w:val="none"/>
      <w:suff w:val="nothing"/>
      <w:lvlText w:val=""/>
      <w:lvlJc w:val="left"/>
      <w:pPr>
        <w:ind w:firstLine="0" w:left="0"/>
        <w:tabs>
          <w:tab w:val="num" w:pos="0" w:leader="none"/>
        </w:tabs>
      </w:pPr>
      <w:rPr/>
    </w:lvl>
    <w:lvl w:ilvl="8">
      <w:start w:val="1"/>
      <w:numFmt w:val="none"/>
      <w:suff w:val="nothing"/>
      <w:lvlText w:val=""/>
      <w:lvlJc w:val="left"/>
      <w:pPr>
        <w:ind w:firstLine="0" w:left="0"/>
        <w:tabs>
          <w:tab w:val="num" w:pos="0" w:leader="none"/>
        </w:tabs>
      </w:pPr>
      <w:rPr/>
    </w:lvl>
  </w:abstractNum>
  <w:abstractNum w:abstractNumId="5">
    <w:nsid w:val="094B2939"/>
    <w:multiLevelType w:val="hybridMultilevel"/>
    <w:lvl w:ilvl="0" w:tplc="041D0001">
      <w:start w:val="1"/>
      <w:numFmt w:val="bullet"/>
      <w:suff w:val="tab"/>
      <w:lvlText w:val=""/>
      <w:lvlJc w:val="left"/>
      <w:pPr>
        <w:ind w:hanging="360" w:left="720"/>
        <w:tabs>
          <w:tab w:val="num" w:pos="720" w:leader="none"/>
        </w:tabs>
      </w:pPr>
      <w:rPr>
        <w:rFonts w:ascii="Symbol" w:hAnsi="Symbol" w:hint="default"/>
      </w:rPr>
    </w:lvl>
    <w:lvl w:ilvl="1" w:tplc="041D0003">
      <w:start w:val="1"/>
      <w:numFmt w:val="bullet"/>
      <w:suff w:val="tab"/>
      <w:lvlText w:val="o"/>
      <w:lvlJc w:val="left"/>
      <w:pPr>
        <w:ind w:hanging="360" w:left="1440"/>
        <w:tabs>
          <w:tab w:val="num" w:pos="1440" w:leader="none"/>
        </w:tabs>
      </w:pPr>
      <w:rPr>
        <w:rFonts w:ascii="Courier New" w:hAnsi="Courier New" w:cs="Courier New" w:hint="default"/>
      </w:rPr>
    </w:lvl>
    <w:lvl w:ilvl="2" w:tplc="041D0005">
      <w:start w:val="1"/>
      <w:numFmt w:val="bullet"/>
      <w:suff w:val="tab"/>
      <w:lvlText w:val=""/>
      <w:lvlJc w:val="left"/>
      <w:pPr>
        <w:ind w:hanging="360" w:left="2160"/>
        <w:tabs>
          <w:tab w:val="num" w:pos="2160" w:leader="none"/>
        </w:tabs>
      </w:pPr>
      <w:rPr>
        <w:rFonts w:ascii="Wingdings" w:hAnsi="Wingdings" w:hint="default"/>
      </w:rPr>
    </w:lvl>
    <w:lvl w:ilvl="3" w:tplc="041D0001">
      <w:start w:val="1"/>
      <w:numFmt w:val="bullet"/>
      <w:suff w:val="tab"/>
      <w:lvlText w:val=""/>
      <w:lvlJc w:val="left"/>
      <w:pPr>
        <w:ind w:hanging="360" w:left="2880"/>
        <w:tabs>
          <w:tab w:val="num" w:pos="2880" w:leader="none"/>
        </w:tabs>
      </w:pPr>
      <w:rPr>
        <w:rFonts w:ascii="Symbol" w:hAnsi="Symbol" w:hint="default"/>
      </w:rPr>
    </w:lvl>
    <w:lvl w:ilvl="4" w:tplc="041D0003">
      <w:start w:val="1"/>
      <w:numFmt w:val="bullet"/>
      <w:suff w:val="tab"/>
      <w:lvlText w:val="o"/>
      <w:lvlJc w:val="left"/>
      <w:pPr>
        <w:ind w:hanging="360" w:left="3600"/>
        <w:tabs>
          <w:tab w:val="num" w:pos="3600" w:leader="none"/>
        </w:tabs>
      </w:pPr>
      <w:rPr>
        <w:rFonts w:ascii="Courier New" w:hAnsi="Courier New" w:cs="Courier New" w:hint="default"/>
      </w:rPr>
    </w:lvl>
    <w:lvl w:ilvl="5" w:tplc="041D0005">
      <w:start w:val="1"/>
      <w:numFmt w:val="bullet"/>
      <w:suff w:val="tab"/>
      <w:lvlText w:val=""/>
      <w:lvlJc w:val="left"/>
      <w:pPr>
        <w:ind w:hanging="360" w:left="4320"/>
        <w:tabs>
          <w:tab w:val="num" w:pos="4320" w:leader="none"/>
        </w:tabs>
      </w:pPr>
      <w:rPr>
        <w:rFonts w:ascii="Wingdings" w:hAnsi="Wingdings" w:hint="default"/>
      </w:rPr>
    </w:lvl>
    <w:lvl w:ilvl="6" w:tplc="041D0001">
      <w:start w:val="1"/>
      <w:numFmt w:val="bullet"/>
      <w:suff w:val="tab"/>
      <w:lvlText w:val=""/>
      <w:lvlJc w:val="left"/>
      <w:pPr>
        <w:ind w:hanging="360" w:left="5040"/>
        <w:tabs>
          <w:tab w:val="num" w:pos="5040" w:leader="none"/>
        </w:tabs>
      </w:pPr>
      <w:rPr>
        <w:rFonts w:ascii="Symbol" w:hAnsi="Symbol" w:hint="default"/>
      </w:rPr>
    </w:lvl>
    <w:lvl w:ilvl="7" w:tplc="041D0003">
      <w:start w:val="1"/>
      <w:numFmt w:val="bullet"/>
      <w:suff w:val="tab"/>
      <w:lvlText w:val="o"/>
      <w:lvlJc w:val="left"/>
      <w:pPr>
        <w:ind w:hanging="360" w:left="5760"/>
        <w:tabs>
          <w:tab w:val="num" w:pos="5760" w:leader="none"/>
        </w:tabs>
      </w:pPr>
      <w:rPr>
        <w:rFonts w:ascii="Courier New" w:hAnsi="Courier New" w:cs="Courier New" w:hint="default"/>
      </w:rPr>
    </w:lvl>
    <w:lvl w:ilvl="8" w:tplc="041D0005">
      <w:start w:val="1"/>
      <w:numFmt w:val="bullet"/>
      <w:suff w:val="tab"/>
      <w:lvlText w:val=""/>
      <w:lvlJc w:val="left"/>
      <w:pPr>
        <w:ind w:hanging="360" w:left="6480"/>
        <w:tabs>
          <w:tab w:val="num" w:pos="6480" w:leader="none"/>
        </w:tabs>
      </w:pPr>
      <w:rPr>
        <w:rFonts w:ascii="Wingdings" w:hAnsi="Wingdings" w:hint="default"/>
      </w:rPr>
    </w:lvl>
  </w:abstractNum>
  <w:abstractNum w:abstractNumId="6">
    <w:nsid w:val="500A4C32"/>
    <w:multiLevelType w:val="hybridMultilevel"/>
    <w:lvl w:ilvl="0" w:tplc="1122A0AC">
      <w:start w:val="0"/>
      <w:numFmt w:val="bullet"/>
      <w:suff w:val="tab"/>
      <w:lvlText w:val=""/>
      <w:lvlJc w:val="left"/>
      <w:pPr>
        <w:ind w:hanging="360" w:left="720"/>
      </w:pPr>
      <w:rPr>
        <w:rFonts w:ascii="Symbol" w:hAnsi="Symbol"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7">
    <w:nsid w:val="5C207594"/>
    <w:multiLevelType w:val="hybridMultilevel"/>
    <w:lvl w:ilvl="0" w:tplc="041D000F">
      <w:start w:val="1"/>
      <w:numFmt w:val="decimal"/>
      <w:suff w:val="tab"/>
      <w:lvlText w:val="%1."/>
      <w:lvlJc w:val="left"/>
      <w:pPr>
        <w:ind w:hanging="360" w:left="720"/>
        <w:tabs>
          <w:tab w:val="num" w:pos="720" w:leader="none"/>
        </w:tabs>
      </w:pPr>
      <w:rPr/>
    </w:lvl>
    <w:lvl w:ilvl="1" w:tplc="041D0019">
      <w:start w:val="1"/>
      <w:numFmt w:val="lowerLetter"/>
      <w:suff w:val="tab"/>
      <w:lvlText w:val="%2."/>
      <w:lvlJc w:val="left"/>
      <w:pPr>
        <w:ind w:hanging="360" w:left="1440"/>
        <w:tabs>
          <w:tab w:val="num" w:pos="1440" w:leader="none"/>
        </w:tabs>
      </w:pPr>
      <w:rPr/>
    </w:lvl>
    <w:lvl w:ilvl="2" w:tplc="041D001B">
      <w:start w:val="1"/>
      <w:numFmt w:val="lowerRoman"/>
      <w:suff w:val="tab"/>
      <w:lvlText w:val="%3."/>
      <w:lvlJc w:val="right"/>
      <w:pPr>
        <w:ind w:hanging="180" w:left="2160"/>
        <w:tabs>
          <w:tab w:val="num" w:pos="2160" w:leader="none"/>
        </w:tabs>
      </w:pPr>
      <w:rPr/>
    </w:lvl>
    <w:lvl w:ilvl="3" w:tplc="041D000F">
      <w:start w:val="1"/>
      <w:numFmt w:val="decimal"/>
      <w:suff w:val="tab"/>
      <w:lvlText w:val="%4."/>
      <w:lvlJc w:val="left"/>
      <w:pPr>
        <w:ind w:hanging="360" w:left="2880"/>
        <w:tabs>
          <w:tab w:val="num" w:pos="2880" w:leader="none"/>
        </w:tabs>
      </w:pPr>
      <w:rPr/>
    </w:lvl>
    <w:lvl w:ilvl="4" w:tplc="041D0019">
      <w:start w:val="1"/>
      <w:numFmt w:val="lowerLetter"/>
      <w:suff w:val="tab"/>
      <w:lvlText w:val="%5."/>
      <w:lvlJc w:val="left"/>
      <w:pPr>
        <w:ind w:hanging="360" w:left="3600"/>
        <w:tabs>
          <w:tab w:val="num" w:pos="3600" w:leader="none"/>
        </w:tabs>
      </w:pPr>
      <w:rPr/>
    </w:lvl>
    <w:lvl w:ilvl="5" w:tplc="041D001B">
      <w:start w:val="1"/>
      <w:numFmt w:val="lowerRoman"/>
      <w:suff w:val="tab"/>
      <w:lvlText w:val="%6."/>
      <w:lvlJc w:val="right"/>
      <w:pPr>
        <w:ind w:hanging="180" w:left="4320"/>
        <w:tabs>
          <w:tab w:val="num" w:pos="4320" w:leader="none"/>
        </w:tabs>
      </w:pPr>
      <w:rPr/>
    </w:lvl>
    <w:lvl w:ilvl="6" w:tplc="041D000F">
      <w:start w:val="1"/>
      <w:numFmt w:val="decimal"/>
      <w:suff w:val="tab"/>
      <w:lvlText w:val="%7."/>
      <w:lvlJc w:val="left"/>
      <w:pPr>
        <w:ind w:hanging="360" w:left="5040"/>
        <w:tabs>
          <w:tab w:val="num" w:pos="5040" w:leader="none"/>
        </w:tabs>
      </w:pPr>
      <w:rPr/>
    </w:lvl>
    <w:lvl w:ilvl="7" w:tplc="041D0019">
      <w:start w:val="1"/>
      <w:numFmt w:val="lowerLetter"/>
      <w:suff w:val="tab"/>
      <w:lvlText w:val="%8."/>
      <w:lvlJc w:val="left"/>
      <w:pPr>
        <w:ind w:hanging="360" w:left="5760"/>
        <w:tabs>
          <w:tab w:val="num" w:pos="5760" w:leader="none"/>
        </w:tabs>
      </w:pPr>
      <w:rPr/>
    </w:lvl>
    <w:lvl w:ilvl="8" w:tplc="041D001B">
      <w:start w:val="1"/>
      <w:numFmt w:val="lowerRoman"/>
      <w:suff w:val="tab"/>
      <w:lvlText w:val="%9."/>
      <w:lvlJc w:val="right"/>
      <w:pPr>
        <w:ind w:hanging="180" w:left="6480"/>
        <w:tabs>
          <w:tab w:val="num" w:pos="6480" w:leader="none"/>
        </w:tabs>
      </w:pPr>
      <w:rPr/>
    </w:lvl>
  </w:abstractNum>
  <w:abstractNum w:abstractNumId="8">
    <w:nsid w:val="72020F0C"/>
    <w:multiLevelType w:val="hybridMultilevel"/>
    <w:lvl w:ilvl="0" w:tplc="181EC0EE">
      <w:start w:val="0"/>
      <w:numFmt w:val="bullet"/>
      <w:suff w:val="tab"/>
      <w:lvlText w:val=""/>
      <w:lvlJc w:val="left"/>
      <w:pPr>
        <w:ind w:hanging="360" w:left="720"/>
      </w:pPr>
      <w:rPr>
        <w:rFonts w:ascii="Symbol" w:hAnsi="Symbol"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9">
    <w:nsid w:val="7BBF2BF3"/>
    <w:multiLevelType w:val="hybridMultilevel"/>
    <w:lvl w:ilvl="0" w:tplc="CAD856F6">
      <w:start w:val="0"/>
      <w:numFmt w:val="bullet"/>
      <w:suff w:val="tab"/>
      <w:lvlText w:val=""/>
      <w:lvlJc w:val="left"/>
      <w:pPr>
        <w:ind w:hanging="360" w:left="720"/>
      </w:pPr>
      <w:rPr>
        <w:rFonts w:ascii="Symbol" w:hAnsi="Symbol"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num w:numId="1">
    <w:abstractNumId w:val="1"/>
  </w:num>
  <w:num w:numId="2">
    <w:abstractNumId w:val="2"/>
  </w:num>
  <w:num w:numId="3">
    <w:abstractNumId w:val="3"/>
  </w:num>
  <w:num w:numId="4">
    <w:abstractNumId w:val="4"/>
  </w:num>
  <w:num w:numId="5">
    <w:abstractNumId w:val="1"/>
  </w:num>
  <w:num w:numId="6">
    <w:abstractNumId w:val="5"/>
  </w:num>
  <w:num w:numId="7">
    <w:abstractNumId w:val="7"/>
  </w:num>
  <w:num w:numId="8">
    <w:abstractNumId w:val="1"/>
  </w:num>
  <w:num w:numId="9">
    <w:abstractNumId w:val="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9"/>
  </w:num>
  <w:num w:numId="13">
    <w:abstractNumId w:val="8"/>
  </w:num>
  <w:num w:numId="14">
    <w:abstractNumId w:val="6"/>
  </w:num>
  <w:num w:numId="15">
    <w:abstractNumId w:val="1"/>
  </w:num>
  <w:num w:numId="16">
    <w:abstractNumId w:val="1"/>
  </w:num>
  <w:num w:numId="17">
    <w:abstractNumId w:val="1"/>
  </w:num>
  <w:num w:numId="18">
    <w:abstractNumId w:val="1"/>
  </w:num>
  <w:num w:numId="19">
    <w:abstractNumId w:val="1"/>
  </w:num>
  <w:num w:numId="20">
    <w:abstractNumId w:val="1"/>
  </w:num>
</w:numbering>
</file>

<file path=word/settings.xml><?xml version="1.0" encoding="utf-8"?>
<w:settings xmlns:w="http://schemas.openxmlformats.org/wordprocessingml/2006/main">
  <w:displayBackgroundShape w:val="0"/>
  <w:defaultTabStop w:val="1304"/>
  <w:autoHyphenation w:val="1"/>
  <w:hyphenationZone w:val="425"/>
  <w:evenAndOddHeaders w:val="1"/>
  <w:compat>
    <w:doNotExpandShiftReturn/>
    <w:balanceSingleByteDoubleByteWidth/>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footnotePr>
    <w:pos w:val="beneathText"/>
    <w:footnote w:id="-1"/>
    <w:footnote w:id="0"/>
  </w:footnotePr>
  <w:endnotePr>
    <w:endnote w:id="-1"/>
    <w:endnote w:id="0"/>
  </w:endnotePr>
</w:settings>
</file>

<file path=word/styles.xml><?xml version="1.0" encoding="utf-8"?>
<w:styles xmlns:w="http://schemas.openxmlformats.org/wordprocessingml/2006/main">
  <w:docDefaults>
    <w:rPrDefault>
      <w:rPr>
        <w:rFonts w:ascii="Times New Roman" w:hAnsi="Times New Roman" w:cs="Times New Roman" w:eastAsia="Times New Roman"/>
        <w:sz w:val="20"/>
        <w:szCs w:val="22"/>
        <w:lang w:val="sv-SE" w:bidi="ar-SA" w:eastAsia="sv-SE"/>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ind w:right="3940"/>
    </w:pPr>
    <w:rPr>
      <w:sz w:val="24"/>
      <w:szCs w:val="24"/>
      <w:lang w:eastAsia="ar-SA"/>
    </w:rPr>
  </w:style>
  <w:style w:type="paragraph" w:styleId="P1">
    <w:name w:val="Heading 1"/>
    <w:basedOn w:val="P0"/>
    <w:next w:val="P0"/>
    <w:qFormat/>
    <w:pPr>
      <w:keepNext w:val="1"/>
      <w:numPr>
        <w:numId w:val="1"/>
      </w:numPr>
      <w:spacing w:lineRule="auto" w:line="360" w:beforeAutospacing="0" w:afterAutospacing="0"/>
      <w:ind w:left="142" w:right="811"/>
      <w:outlineLvl w:val="0"/>
    </w:pPr>
    <w:rPr>
      <w:rFonts w:ascii="Arial" w:hAnsi="Arial" w:cs="Arial"/>
      <w:sz w:val="32"/>
      <w:spacing w:val="20"/>
    </w:rPr>
  </w:style>
  <w:style w:type="paragraph" w:styleId="P2">
    <w:name w:val="Heading 2"/>
    <w:basedOn w:val="P0"/>
    <w:next w:val="P0"/>
    <w:qFormat/>
    <w:pPr>
      <w:keepNext w:val="1"/>
      <w:numPr>
        <w:ilvl w:val="1"/>
        <w:numId w:val="1"/>
      </w:numPr>
      <w:tabs>
        <w:tab w:val="left" w:pos="7371" w:leader="none"/>
      </w:tabs>
      <w:spacing w:lineRule="atLeast" w:line="100" w:before="227" w:after="120" w:beforeAutospacing="0" w:afterAutospacing="0"/>
      <w:ind w:right="1916"/>
      <w:outlineLvl w:val="1"/>
    </w:pPr>
    <w:rPr>
      <w:rFonts w:ascii="Arial" w:hAnsi="Arial"/>
      <w:b w:val="1"/>
      <w:sz w:val="28"/>
    </w:rPr>
  </w:style>
  <w:style w:type="paragraph" w:styleId="P3">
    <w:name w:val="Heading 3"/>
    <w:basedOn w:val="P0"/>
    <w:next w:val="P0"/>
    <w:qFormat/>
    <w:pPr>
      <w:keepNext w:val="1"/>
      <w:numPr>
        <w:ilvl w:val="2"/>
        <w:numId w:val="1"/>
      </w:numPr>
      <w:tabs>
        <w:tab w:val="num" w:pos="7371" w:leader="none"/>
      </w:tabs>
      <w:spacing w:before="170" w:after="120" w:beforeAutospacing="0" w:afterAutospacing="0"/>
      <w:ind w:right="1916"/>
      <w:outlineLvl w:val="2"/>
    </w:pPr>
    <w:rPr>
      <w:rFonts w:ascii="Arial" w:hAnsi="Arial" w:cs="Arial"/>
      <w:b w:val="1"/>
      <w:bCs w:val="1"/>
    </w:rPr>
  </w:style>
  <w:style w:type="paragraph" w:styleId="P4">
    <w:name w:val="Heading 4"/>
    <w:basedOn w:val="P0"/>
    <w:next w:val="P0"/>
    <w:link w:val="C44"/>
    <w:qFormat/>
    <w:pPr>
      <w:keepNext w:val="1"/>
      <w:numPr>
        <w:ilvl w:val="3"/>
        <w:numId w:val="1"/>
      </w:numPr>
      <w:tabs>
        <w:tab w:val="num" w:pos="7371" w:leader="none"/>
      </w:tabs>
      <w:spacing w:before="170" w:after="80" w:beforeAutospacing="0" w:afterAutospacing="0"/>
      <w:ind w:right="1871"/>
      <w:outlineLvl w:val="3"/>
    </w:pPr>
    <w:rPr>
      <w:rFonts w:ascii="Arial" w:hAnsi="Arial" w:cs="Arial"/>
      <w:i w:val="1"/>
      <w:sz w:val="22"/>
    </w:rPr>
  </w:style>
  <w:style w:type="paragraph" w:styleId="P5">
    <w:name w:val="Heading 5"/>
    <w:basedOn w:val="P0"/>
    <w:next w:val="P0"/>
    <w:qFormat/>
    <w:pPr>
      <w:keepNext w:val="1"/>
      <w:numPr>
        <w:ilvl w:val="4"/>
        <w:numId w:val="1"/>
      </w:numPr>
      <w:ind w:right="0"/>
      <w:outlineLvl w:val="4"/>
    </w:pPr>
    <w:rPr>
      <w:b w:val="1"/>
      <w:bCs w:val="1"/>
      <w:sz w:val="22"/>
    </w:rPr>
  </w:style>
  <w:style w:type="paragraph" w:styleId="P6">
    <w:name w:val="Heading 6"/>
    <w:basedOn w:val="P0"/>
    <w:next w:val="P0"/>
    <w:qFormat/>
    <w:pPr>
      <w:keepNext w:val="1"/>
      <w:numPr>
        <w:ilvl w:val="5"/>
        <w:numId w:val="1"/>
      </w:numPr>
      <w:ind w:right="0"/>
      <w:outlineLvl w:val="5"/>
    </w:pPr>
    <w:rPr>
      <w:i w:val="1"/>
      <w:iCs w:val="1"/>
      <w:sz w:val="20"/>
    </w:rPr>
  </w:style>
  <w:style w:type="paragraph" w:styleId="P7">
    <w:name w:val="Heading 7"/>
    <w:basedOn w:val="P0"/>
    <w:next w:val="P0"/>
    <w:qFormat/>
    <w:pPr>
      <w:keepNext w:val="1"/>
      <w:numPr>
        <w:ilvl w:val="6"/>
        <w:numId w:val="1"/>
      </w:numPr>
      <w:ind w:right="0"/>
      <w:jc w:val="center"/>
      <w:outlineLvl w:val="6"/>
    </w:pPr>
    <w:rPr>
      <w:rFonts w:ascii="Arial Narrow" w:hAnsi="Arial Narrow"/>
      <w:b w:val="1"/>
      <w:bCs w:val="1"/>
      <w:color w:val="FFFFFF"/>
    </w:rPr>
  </w:style>
  <w:style w:type="paragraph" w:styleId="P8">
    <w:name w:val="Heading 8"/>
    <w:basedOn w:val="P0"/>
    <w:next w:val="P0"/>
    <w:qFormat/>
    <w:pPr>
      <w:keepNext w:val="1"/>
      <w:numPr>
        <w:ilvl w:val="7"/>
        <w:numId w:val="1"/>
      </w:numPr>
      <w:ind w:right="0"/>
      <w:outlineLvl w:val="7"/>
    </w:pPr>
    <w:rPr>
      <w:rFonts w:ascii="Arial Narrow" w:hAnsi="Arial Narrow"/>
      <w:b w:val="1"/>
      <w:bCs w:val="1"/>
      <w:color w:val="FFFFFF"/>
    </w:rPr>
  </w:style>
  <w:style w:type="paragraph" w:styleId="P9">
    <w:name w:val="Heading 9"/>
    <w:basedOn w:val="P0"/>
    <w:next w:val="P0"/>
    <w:qFormat/>
    <w:pPr>
      <w:keepNext w:val="1"/>
      <w:numPr>
        <w:ilvl w:val="8"/>
        <w:numId w:val="1"/>
      </w:numPr>
      <w:ind w:right="0"/>
      <w:jc w:val="both"/>
      <w:outlineLvl w:val="8"/>
    </w:pPr>
    <w:rPr>
      <w:b w:val="1"/>
      <w:bCs w:val="1"/>
    </w:rPr>
  </w:style>
  <w:style w:type="paragraph" w:styleId="P10">
    <w:name w:val="No Spacing"/>
    <w:link w:val="C37"/>
    <w:qFormat/>
    <w:pPr/>
    <w:rPr>
      <w:rFonts w:ascii="Calibri" w:hAnsi="Calibri"/>
      <w:sz w:val="22"/>
      <w:szCs w:val="22"/>
    </w:rPr>
  </w:style>
  <w:style w:type="paragraph" w:styleId="P11">
    <w:name w:val="Rubrik1"/>
    <w:basedOn w:val="P0"/>
    <w:next w:val="P12"/>
    <w:pPr>
      <w:keepNext w:val="1"/>
      <w:spacing w:before="240" w:after="120" w:beforeAutospacing="0" w:afterAutospacing="0"/>
    </w:pPr>
    <w:rPr>
      <w:rFonts w:ascii="Arial" w:hAnsi="Arial" w:cs="Tahoma" w:eastAsia="MS Mincho"/>
      <w:sz w:val="28"/>
      <w:szCs w:val="28"/>
    </w:rPr>
  </w:style>
  <w:style w:type="paragraph" w:styleId="P12">
    <w:name w:val="Body Text"/>
    <w:basedOn w:val="P0"/>
    <w:pPr>
      <w:spacing w:after="119" w:beforeAutospacing="0" w:afterAutospacing="0"/>
    </w:pPr>
    <w:rPr>
      <w:rFonts w:cs="Arial"/>
      <w:bCs w:val="1"/>
      <w:color w:val="FFFFFF"/>
    </w:rPr>
  </w:style>
  <w:style w:type="paragraph" w:styleId="P13">
    <w:name w:val="List"/>
    <w:basedOn w:val="P12"/>
    <w:pPr/>
    <w:rPr>
      <w:rFonts w:cs="Tahoma"/>
    </w:rPr>
  </w:style>
  <w:style w:type="paragraph" w:styleId="P14">
    <w:name w:val="Bildtext"/>
    <w:basedOn w:val="P0"/>
    <w:pPr>
      <w:suppressLineNumbers w:val="1"/>
      <w:spacing w:before="120" w:after="120" w:beforeAutospacing="0" w:afterAutospacing="0"/>
    </w:pPr>
    <w:rPr>
      <w:rFonts w:cs="Tahoma"/>
      <w:i w:val="1"/>
      <w:iCs w:val="1"/>
    </w:rPr>
  </w:style>
  <w:style w:type="paragraph" w:styleId="P15">
    <w:name w:val="Förteckning"/>
    <w:basedOn w:val="P0"/>
    <w:pPr>
      <w:suppressLineNumbers w:val="1"/>
    </w:pPr>
    <w:rPr>
      <w:rFonts w:cs="Tahoma"/>
    </w:rPr>
  </w:style>
  <w:style w:type="paragraph" w:styleId="P16">
    <w:name w:val="Title"/>
    <w:basedOn w:val="P11"/>
    <w:next w:val="P17"/>
    <w:qFormat/>
    <w:pPr>
      <w:ind w:left="142" w:right="3941"/>
    </w:pPr>
    <w:rPr>
      <w:sz w:val="36"/>
      <w:spacing w:val="20"/>
    </w:rPr>
  </w:style>
  <w:style w:type="paragraph" w:styleId="P17">
    <w:name w:val="Subtitle"/>
    <w:basedOn w:val="P11"/>
    <w:next w:val="P12"/>
    <w:qFormat/>
    <w:pPr>
      <w:jc w:val="center"/>
    </w:pPr>
    <w:rPr>
      <w:i w:val="1"/>
      <w:iCs w:val="1"/>
    </w:rPr>
  </w:style>
  <w:style w:type="paragraph" w:styleId="P18">
    <w:name w:val="Footer"/>
    <w:basedOn w:val="P0"/>
    <w:pPr>
      <w:tabs>
        <w:tab w:val="right" w:pos="9072" w:leader="none"/>
      </w:tabs>
      <w:ind w:right="0"/>
    </w:pPr>
    <w:rPr/>
  </w:style>
  <w:style w:type="paragraph" w:styleId="P19">
    <w:name w:val="Raminnehåll"/>
    <w:basedOn w:val="P12"/>
    <w:pPr>
      <w:spacing w:before="57" w:after="57" w:beforeAutospacing="0" w:afterAutospacing="0"/>
      <w:ind w:left="57" w:right="57"/>
    </w:pPr>
    <w:rPr>
      <w:color w:val="000000"/>
    </w:rPr>
  </w:style>
  <w:style w:type="paragraph" w:styleId="P20">
    <w:name w:val="Header"/>
    <w:basedOn w:val="P0"/>
    <w:pPr>
      <w:suppressLineNumbers w:val="1"/>
      <w:tabs>
        <w:tab w:val="center" w:pos="4080" w:leader="none"/>
        <w:tab w:val="right" w:pos="8160" w:leader="none"/>
      </w:tabs>
    </w:pPr>
    <w:rPr/>
  </w:style>
  <w:style w:type="paragraph" w:styleId="P21">
    <w:name w:val="Tabellinnehåll"/>
    <w:basedOn w:val="P0"/>
    <w:pPr>
      <w:suppressLineNumbers w:val="1"/>
    </w:pPr>
    <w:rPr/>
  </w:style>
  <w:style w:type="paragraph" w:styleId="P22">
    <w:name w:val="Tabellrubrik"/>
    <w:basedOn w:val="P21"/>
    <w:pPr>
      <w:jc w:val="center"/>
    </w:pPr>
    <w:rPr>
      <w:b w:val="1"/>
      <w:bCs w:val="1"/>
    </w:rPr>
  </w:style>
  <w:style w:type="paragraph" w:styleId="P23">
    <w:name w:val="RUBRIK1"/>
    <w:basedOn w:val="P0"/>
    <w:pPr>
      <w:tabs>
        <w:tab w:val="left" w:pos="0" w:leader="none"/>
      </w:tabs>
      <w:spacing w:lineRule="atLeast" w:line="100" w:before="227" w:after="57" w:beforeAutospacing="0" w:afterAutospacing="0"/>
    </w:pPr>
    <w:rPr>
      <w:rFonts w:ascii="Arial" w:hAnsi="Arial"/>
      <w:b w:val="1"/>
      <w:bCs w:val="1"/>
      <w:sz w:val="28"/>
      <w:szCs w:val="28"/>
    </w:rPr>
  </w:style>
  <w:style w:type="paragraph" w:styleId="P24">
    <w:name w:val="SAMMANFATTNING"/>
    <w:basedOn w:val="P0"/>
    <w:pPr>
      <w:tabs>
        <w:tab w:val="left" w:pos="0" w:leader="none"/>
      </w:tabs>
      <w:spacing w:lineRule="atLeast" w:line="200" w:beforeAutospacing="0" w:afterAutospacing="0"/>
    </w:pPr>
    <w:rPr>
      <w:rFonts w:ascii="Garamond" w:hAnsi="Garamond"/>
      <w:i w:val="1"/>
      <w:iCs w:val="1"/>
    </w:rPr>
  </w:style>
  <w:style w:type="paragraph" w:styleId="P25">
    <w:name w:val="DOKUMENTTITEL"/>
    <w:basedOn w:val="P4"/>
    <w:pPr>
      <w:numPr>
        <w:numId w:val="0"/>
      </w:numPr>
      <w:tabs>
        <w:tab w:val="left" w:pos="0" w:leader="none"/>
      </w:tabs>
    </w:pPr>
    <w:rPr>
      <w:rFonts w:cs="Times New Roman"/>
      <w:sz w:val="36"/>
      <w:szCs w:val="56"/>
      <w:spacing w:val="80"/>
    </w:rPr>
  </w:style>
  <w:style w:type="paragraph" w:styleId="P26">
    <w:name w:val="DETALJPLANENAMN"/>
    <w:basedOn w:val="P2"/>
    <w:pPr>
      <w:numPr>
        <w:numId w:val="0"/>
      </w:numPr>
      <w:tabs>
        <w:tab w:val="left" w:pos="0" w:leader="none"/>
      </w:tabs>
      <w:spacing w:lineRule="auto" w:line="360" w:beforeAutospacing="0" w:afterAutospacing="0"/>
    </w:pPr>
    <w:rPr>
      <w:b w:val="0"/>
      <w:bCs w:val="1"/>
      <w:sz w:val="40"/>
      <w:szCs w:val="32"/>
      <w:spacing w:val="60"/>
    </w:rPr>
  </w:style>
  <w:style w:type="paragraph" w:styleId="P27">
    <w:name w:val="Balloon Text"/>
    <w:basedOn w:val="P0"/>
    <w:link w:val="C38"/>
    <w:pPr/>
    <w:rPr>
      <w:rFonts w:ascii="Tahoma" w:hAnsi="Tahoma" w:cs="Tahoma"/>
      <w:sz w:val="16"/>
      <w:szCs w:val="16"/>
    </w:rPr>
  </w:style>
  <w:style w:type="paragraph" w:styleId="P28">
    <w:name w:val="RUBRIK2"/>
    <w:basedOn w:val="P5"/>
    <w:pPr>
      <w:numPr>
        <w:numId w:val="0"/>
      </w:numPr>
      <w:tabs>
        <w:tab w:val="left" w:pos="0" w:leader="none"/>
      </w:tabs>
      <w:spacing w:before="170" w:after="57" w:beforeAutospacing="0" w:afterAutospacing="0"/>
    </w:pPr>
    <w:rPr>
      <w:rFonts w:ascii="Arial" w:hAnsi="Arial"/>
    </w:rPr>
  </w:style>
  <w:style w:type="paragraph" w:styleId="P29">
    <w:name w:val="RUBRIK3"/>
    <w:basedOn w:val="P0"/>
    <w:pPr>
      <w:spacing w:before="170" w:after="57" w:beforeAutospacing="0" w:afterAutospacing="0"/>
    </w:pPr>
    <w:rPr>
      <w:rFonts w:ascii="Arial" w:hAnsi="Arial"/>
      <w:b w:val="1"/>
      <w:i w:val="1"/>
      <w:iCs w:val="1"/>
      <w:sz w:val="22"/>
    </w:rPr>
  </w:style>
  <w:style w:type="paragraph" w:styleId="P30">
    <w:name w:val="Rubrik 10"/>
    <w:basedOn w:val="P11"/>
    <w:next w:val="P12"/>
    <w:pPr>
      <w:numPr>
        <w:numId w:val="2"/>
      </w:numPr>
    </w:pPr>
    <w:rPr>
      <w:b w:val="1"/>
      <w:bCs w:val="1"/>
      <w:sz w:val="21"/>
      <w:szCs w:val="21"/>
    </w:rPr>
  </w:style>
  <w:style w:type="paragraph" w:styleId="P31">
    <w:name w:val="DETALJPLANENS NAMN"/>
    <w:basedOn w:val="P2"/>
    <w:pPr>
      <w:numPr>
        <w:numId w:val="0"/>
      </w:numPr>
      <w:tabs>
        <w:tab w:val="left" w:pos="0" w:leader="none"/>
      </w:tabs>
      <w:spacing w:lineRule="auto" w:line="360" w:beforeAutospacing="0" w:afterAutospacing="0"/>
    </w:pPr>
    <w:rPr>
      <w:b w:val="0"/>
      <w:bCs w:val="1"/>
      <w:szCs w:val="32"/>
    </w:rPr>
  </w:style>
  <w:style w:type="paragraph" w:styleId="P32">
    <w:name w:val="Normal (Web)"/>
    <w:basedOn w:val="P0"/>
    <w:pPr>
      <w:spacing w:before="100" w:after="119" w:beforeAutospacing="1" w:afterAutospacing="0"/>
      <w:ind w:right="0"/>
    </w:pPr>
    <w:rPr>
      <w:lang w:eastAsia="sv-SE"/>
    </w:rPr>
  </w:style>
  <w:style w:type="paragraph" w:styleId="P33">
    <w:name w:val="SidhuvudSid1"/>
    <w:pPr/>
    <w:rPr>
      <w:rFonts w:ascii="Arial" w:hAnsi="Arial"/>
      <w:sz w:val="16"/>
      <w:szCs w:val="24"/>
    </w:rPr>
  </w:style>
  <w:style w:type="paragraph" w:styleId="P34">
    <w:name w:val="löptext"/>
    <w:basedOn w:val="P0"/>
    <w:pPr>
      <w:widowControl w:val="0"/>
      <w:spacing w:after="120" w:beforeAutospacing="0" w:afterAutospacing="0"/>
      <w:ind w:right="1701"/>
    </w:pPr>
    <w:rPr>
      <w:szCs w:val="16"/>
      <w:lang w:eastAsia="sv-SE"/>
    </w:rPr>
  </w:style>
  <w:style w:type="paragraph" w:styleId="P35">
    <w:name w:val="TOC Heading"/>
    <w:basedOn w:val="P1"/>
    <w:next w:val="P0"/>
    <w:qFormat/>
    <w:pPr>
      <w:keepLines w:val="1"/>
      <w:numPr>
        <w:numId w:val="0"/>
      </w:numPr>
      <w:spacing w:lineRule="auto" w:line="259" w:before="240" w:beforeAutospacing="0" w:afterAutospacing="0"/>
      <w:ind w:right="0"/>
      <w:outlineLvl w:val="9"/>
    </w:pPr>
    <w:rPr>
      <w:rFonts w:asciiTheme="majorHAnsi" w:hAnsiTheme="majorHAnsi" w:cstheme="majorBidi" w:eastAsiaTheme="majorEastAsia"/>
      <w:color w:val="2F5496" w:themeColor="accent1" w:themeShade="BF"/>
      <w:szCs w:val="32"/>
      <w:spacing w:val="0"/>
      <w:lang w:eastAsia="sv-SE"/>
    </w:rPr>
  </w:style>
  <w:style w:type="paragraph" w:styleId="P36">
    <w:name w:val="TOC 1"/>
    <w:basedOn w:val="P0"/>
    <w:next w:val="P0"/>
    <w:pPr>
      <w:tabs>
        <w:tab w:val="right" w:pos="9275" w:leader="dot"/>
      </w:tabs>
      <w:spacing w:after="100" w:beforeAutospacing="0" w:afterAutospacing="0"/>
      <w:ind w:right="3941"/>
    </w:pPr>
    <w:rPr/>
  </w:style>
  <w:style w:type="paragraph" w:styleId="P37">
    <w:name w:val="TOC 2"/>
    <w:basedOn w:val="P0"/>
    <w:next w:val="P0"/>
    <w:pPr>
      <w:tabs>
        <w:tab w:val="right" w:pos="9275" w:leader="dot"/>
      </w:tabs>
      <w:spacing w:after="100" w:beforeAutospacing="0" w:afterAutospacing="0"/>
      <w:ind w:left="238" w:right="1916"/>
    </w:pPr>
    <w:rPr/>
  </w:style>
  <w:style w:type="paragraph" w:styleId="P38">
    <w:name w:val="TOC 3"/>
    <w:basedOn w:val="P0"/>
    <w:next w:val="P0"/>
    <w:pPr>
      <w:spacing w:after="100" w:beforeAutospacing="0" w:afterAutospacing="0"/>
      <w:ind w:left="480"/>
    </w:pPr>
    <w:rPr/>
  </w:style>
  <w:style w:type="paragraph" w:styleId="P39">
    <w:name w:val="annotation text"/>
    <w:basedOn w:val="P0"/>
    <w:link w:val="C40"/>
    <w:pPr/>
    <w:rPr>
      <w:sz w:val="20"/>
      <w:szCs w:val="20"/>
    </w:rPr>
  </w:style>
  <w:style w:type="paragraph" w:styleId="P40">
    <w:name w:val="annotation subject"/>
    <w:basedOn w:val="P39"/>
    <w:next w:val="P39"/>
    <w:link w:val="C41"/>
    <w:pPr/>
    <w:rPr>
      <w:b w:val="1"/>
      <w:bCs w:val="1"/>
    </w:rPr>
  </w:style>
  <w:style w:type="paragraph" w:styleId="P41">
    <w:name w:val="paragraph"/>
    <w:basedOn w:val="P0"/>
    <w:pPr>
      <w:spacing w:before="100" w:after="100" w:beforeAutospacing="1" w:afterAutospacing="1"/>
      <w:ind w:right="0"/>
    </w:pPr>
    <w:rPr>
      <w:lang w:eastAsia="sv-SE"/>
    </w:rPr>
  </w:style>
  <w:style w:type="paragraph" w:styleId="P42">
    <w:name w:val="List Number"/>
    <w:basedOn w:val="P0"/>
    <w:pPr>
      <w:numPr>
        <w:numId w:val="11"/>
      </w:numPr>
      <w:spacing w:after="60" w:beforeAutospacing="0" w:afterAutospacing="0"/>
      <w:ind w:hanging="357" w:left="357" w:right="0"/>
    </w:pPr>
    <w:rPr>
      <w:lang w:eastAsia="sv-SE"/>
    </w:rPr>
  </w:style>
  <w:style w:type="paragraph" w:styleId="P43">
    <w:name w:val="Default"/>
    <w:pPr/>
    <w:rPr>
      <w:rFonts w:ascii="Arial" w:hAnsi="Arial" w:cs="Arial"/>
      <w:color w:val="000000"/>
      <w:sz w:val="24"/>
      <w:szCs w:val="24"/>
    </w:rPr>
  </w:style>
  <w:style w:type="paragraph" w:styleId="P44">
    <w:name w:val="List Paragraph"/>
    <w:basedOn w:val="P0"/>
    <w:qFormat/>
    <w:pPr>
      <w:ind w:left="720"/>
      <w:contextualSpacing w:val="1"/>
    </w:pPr>
    <w:rPr/>
  </w:style>
  <w:style w:type="paragraph" w:styleId="P45">
    <w:name w:val="Caption"/>
    <w:basedOn w:val="P0"/>
    <w:next w:val="P0"/>
    <w:qFormat/>
    <w:pPr>
      <w:spacing w:after="200" w:beforeAutospacing="0" w:afterAutospacing="0"/>
    </w:pPr>
    <w:rPr>
      <w:i w:val="1"/>
      <w:iCs w:val="1"/>
      <w:color w:val="44546A" w:themeColor="text2"/>
      <w:sz w:val="18"/>
      <w:szCs w:val="18"/>
    </w:rPr>
  </w:style>
  <w:style w:type="paragraph" w:styleId="P46">
    <w:name w:val="x_msonormal"/>
    <w:basedOn w:val="P0"/>
    <w:pPr>
      <w:ind w:right="0"/>
    </w:pPr>
    <w:rPr>
      <w:rFonts w:ascii="Calibri" w:hAnsi="Calibri" w:cs="Calibri" w:eastAsiaTheme="minorHAnsi"/>
      <w:sz w:val="22"/>
      <w:szCs w:val="22"/>
      <w:lang w:eastAsia="sv-SE"/>
    </w:rPr>
  </w:style>
  <w:style w:type="paragraph" w:styleId="P47">
    <w:name w:val="Footnote Text"/>
    <w:link w:val="C46"/>
    <w:semiHidden/>
    <w:pPr>
      <w:spacing w:lineRule="auto" w:line="240" w:after="0"/>
    </w:pPr>
    <w:rPr>
      <w:sz w:val="20"/>
      <w:szCs w:val="20"/>
    </w:rPr>
  </w:style>
  <w:style w:type="paragraph" w:styleId="P48">
    <w:name w:val="Endnote Text"/>
    <w:link w:val="C48"/>
    <w:semiHidden/>
    <w:pPr>
      <w:spacing w:lineRule="auto" w:line="240" w:after="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563C1" w:themeColor="hyperlink"/>
      <w:u w:val="single"/>
    </w:rPr>
  </w:style>
  <w:style w:type="character" w:styleId="C3">
    <w:name w:val="WW8Num3z0"/>
    <w:rPr>
      <w:rFonts w:ascii="Symbol" w:hAnsi="Symbol"/>
    </w:rPr>
  </w:style>
  <w:style w:type="character" w:styleId="C4">
    <w:name w:val="WW8Num4z1"/>
    <w:rPr>
      <w:rFonts w:ascii="Symbol" w:hAnsi="Symbol" w:cs="StarSymbol"/>
      <w:sz w:val="18"/>
      <w:szCs w:val="18"/>
    </w:rPr>
  </w:style>
  <w:style w:type="character" w:styleId="C5">
    <w:name w:val="WW-Absatz-Standardschriftart"/>
    <w:rPr/>
  </w:style>
  <w:style w:type="character" w:styleId="C6">
    <w:name w:val="WW8Num2z0"/>
    <w:rPr>
      <w:rFonts w:ascii="Symbol" w:hAnsi="Symbol"/>
    </w:rPr>
  </w:style>
  <w:style w:type="character" w:styleId="C7">
    <w:name w:val="WW8Num3z1"/>
    <w:rPr>
      <w:rFonts w:ascii="Symbol" w:hAnsi="Symbol" w:cs="StarSymbol"/>
      <w:sz w:val="18"/>
      <w:szCs w:val="18"/>
    </w:rPr>
  </w:style>
  <w:style w:type="character" w:styleId="C8">
    <w:name w:val="WW-Absatz-Standardschriftart1"/>
    <w:rPr/>
  </w:style>
  <w:style w:type="character" w:styleId="C9">
    <w:name w:val="WW8Num1z1"/>
    <w:rPr>
      <w:rFonts w:ascii="Courier New" w:hAnsi="Courier New"/>
    </w:rPr>
  </w:style>
  <w:style w:type="character" w:styleId="C10">
    <w:name w:val="WW-Absatz-Standardschriftart11"/>
    <w:rPr/>
  </w:style>
  <w:style w:type="character" w:styleId="C11">
    <w:name w:val="WW-Absatz-Standardschriftart111"/>
    <w:rPr/>
  </w:style>
  <w:style w:type="character" w:styleId="C12">
    <w:name w:val="WW-Absatz-Standardschriftart1111"/>
    <w:rPr/>
  </w:style>
  <w:style w:type="character" w:styleId="C13">
    <w:name w:val="WW-Absatz-Standardschriftart11111"/>
    <w:rPr/>
  </w:style>
  <w:style w:type="character" w:styleId="C14">
    <w:name w:val="WW-Absatz-Standardschriftart111111"/>
    <w:rPr/>
  </w:style>
  <w:style w:type="character" w:styleId="C15">
    <w:name w:val="WW-Absatz-Standardschriftart1111111"/>
    <w:rPr/>
  </w:style>
  <w:style w:type="character" w:styleId="C16">
    <w:name w:val="WW-Absatz-Standardschriftart11111111"/>
    <w:rPr/>
  </w:style>
  <w:style w:type="character" w:styleId="C17">
    <w:name w:val="WW-Absatz-Standardschriftart111111111"/>
    <w:rPr/>
  </w:style>
  <w:style w:type="character" w:styleId="C18">
    <w:name w:val="WW-Absatz-Standardschriftart1111111111"/>
    <w:rPr/>
  </w:style>
  <w:style w:type="character" w:styleId="C19">
    <w:name w:val="WW-Absatz-Standardschriftart11111111111"/>
    <w:rPr/>
  </w:style>
  <w:style w:type="character" w:styleId="C20">
    <w:name w:val="WW-Absatz-Standardschriftart111111111111"/>
    <w:rPr/>
  </w:style>
  <w:style w:type="character" w:styleId="C21">
    <w:name w:val="WW-Absatz-Standardschriftart1111111111111"/>
    <w:rPr/>
  </w:style>
  <w:style w:type="character" w:styleId="C22">
    <w:name w:val="WW-Absatz-Standardschriftart11111111111111"/>
    <w:rPr/>
  </w:style>
  <w:style w:type="character" w:styleId="C23">
    <w:name w:val="WW-Absatz-Standardschriftart111111111111111"/>
    <w:rPr/>
  </w:style>
  <w:style w:type="character" w:styleId="C24">
    <w:name w:val="Standardstycketeckensnitt1"/>
    <w:rPr/>
  </w:style>
  <w:style w:type="character" w:styleId="C25">
    <w:name w:val="WW-Absatz-Standardschriftart1111111111111111"/>
    <w:rPr/>
  </w:style>
  <w:style w:type="character" w:styleId="C26">
    <w:name w:val="WW-Absatz-Standardschriftart11111111111111111"/>
    <w:rPr/>
  </w:style>
  <w:style w:type="character" w:styleId="C27">
    <w:name w:val="WW-Standardstycketeckensnitt"/>
    <w:rPr/>
  </w:style>
  <w:style w:type="character" w:styleId="C28">
    <w:name w:val="WW8Num1z0"/>
    <w:rPr>
      <w:rFonts w:ascii="Symbol" w:hAnsi="Symbol"/>
    </w:rPr>
  </w:style>
  <w:style w:type="character" w:styleId="C29">
    <w:name w:val="WW8Num1z2"/>
    <w:rPr>
      <w:rFonts w:ascii="Wingdings" w:hAnsi="Wingdings"/>
    </w:rPr>
  </w:style>
  <w:style w:type="character" w:styleId="C30">
    <w:name w:val="WW8Num2z1"/>
    <w:rPr>
      <w:rFonts w:ascii="Courier New" w:hAnsi="Courier New"/>
    </w:rPr>
  </w:style>
  <w:style w:type="character" w:styleId="C31">
    <w:name w:val="WW8Num2z2"/>
    <w:rPr>
      <w:rFonts w:ascii="Wingdings" w:hAnsi="Wingdings"/>
    </w:rPr>
  </w:style>
  <w:style w:type="character" w:styleId="C32">
    <w:name w:val="WW-Standardstycketeckensnitt1"/>
    <w:rPr/>
  </w:style>
  <w:style w:type="character" w:styleId="C33">
    <w:name w:val="Page Number"/>
    <w:basedOn w:val="C32"/>
    <w:rPr/>
  </w:style>
  <w:style w:type="character" w:styleId="C34">
    <w:name w:val="Punktuppställning"/>
    <w:rPr>
      <w:rFonts w:ascii="StarSymbol" w:hAnsi="StarSymbol" w:cs="StarSymbol" w:eastAsia="StarSymbol"/>
      <w:sz w:val="18"/>
      <w:szCs w:val="18"/>
    </w:rPr>
  </w:style>
  <w:style w:type="character" w:styleId="C35">
    <w:name w:val="Numreringstecken"/>
    <w:rPr/>
  </w:style>
  <w:style w:type="character" w:styleId="C36">
    <w:name w:val="Platshållare"/>
    <w:rPr>
      <w:smallCaps w:val="1"/>
      <w:color w:val="008080"/>
      <w:u w:val="dotted"/>
    </w:rPr>
  </w:style>
  <w:style w:type="character" w:styleId="C37">
    <w:name w:val="Inget avstånd Char"/>
    <w:link w:val="P10"/>
    <w:rPr>
      <w:rFonts w:ascii="Calibri" w:hAnsi="Calibri"/>
      <w:sz w:val="22"/>
      <w:szCs w:val="22"/>
    </w:rPr>
  </w:style>
  <w:style w:type="character" w:styleId="C38">
    <w:name w:val="Ballongtext Char"/>
    <w:link w:val="P27"/>
    <w:rPr>
      <w:rFonts w:ascii="Tahoma" w:hAnsi="Tahoma" w:cs="Tahoma"/>
      <w:sz w:val="16"/>
      <w:szCs w:val="16"/>
      <w:lang w:eastAsia="ar-SA"/>
    </w:rPr>
  </w:style>
  <w:style w:type="character" w:styleId="C39">
    <w:name w:val="annotation reference"/>
    <w:basedOn w:val="C0"/>
    <w:rPr>
      <w:sz w:val="16"/>
      <w:szCs w:val="16"/>
    </w:rPr>
  </w:style>
  <w:style w:type="character" w:styleId="C40">
    <w:name w:val="Kommentarer Char"/>
    <w:basedOn w:val="C0"/>
    <w:link w:val="P39"/>
    <w:rPr>
      <w:lang w:eastAsia="ar-SA"/>
    </w:rPr>
  </w:style>
  <w:style w:type="character" w:styleId="C41">
    <w:name w:val="Kommentarsämne Char"/>
    <w:basedOn w:val="C40"/>
    <w:link w:val="P40"/>
    <w:rPr>
      <w:b w:val="1"/>
      <w:bCs w:val="1"/>
      <w:lang w:eastAsia="ar-SA"/>
    </w:rPr>
  </w:style>
  <w:style w:type="character" w:styleId="C42">
    <w:name w:val="normaltextrun"/>
    <w:basedOn w:val="C0"/>
    <w:rPr/>
  </w:style>
  <w:style w:type="character" w:styleId="C43">
    <w:name w:val="eop"/>
    <w:basedOn w:val="C0"/>
    <w:rPr/>
  </w:style>
  <w:style w:type="character" w:styleId="C44">
    <w:name w:val="Rubrik 4 Char"/>
    <w:basedOn w:val="C0"/>
    <w:link w:val="P4"/>
    <w:rPr>
      <w:rFonts w:ascii="Arial" w:hAnsi="Arial" w:cs="Arial"/>
      <w:i w:val="1"/>
      <w:sz w:val="22"/>
      <w:szCs w:val="24"/>
      <w:lang w:eastAsia="ar-SA"/>
    </w:rPr>
  </w:style>
  <w:style w:type="character" w:styleId="C45">
    <w:name w:val="Footnote Reference"/>
    <w:semiHidden/>
    <w:rPr>
      <w:vertAlign w:val="superscript"/>
    </w:rPr>
  </w:style>
  <w:style w:type="character" w:styleId="C46">
    <w:name w:val="Footnote Text Char"/>
    <w:link w:val="P47"/>
    <w:semiHidden/>
    <w:rPr>
      <w:sz w:val="20"/>
      <w:szCs w:val="20"/>
    </w:rPr>
  </w:style>
  <w:style w:type="character" w:styleId="C47">
    <w:name w:val="Endnote Reference"/>
    <w:semiHidden/>
    <w:rPr>
      <w:vertAlign w:val="superscript"/>
    </w:rPr>
  </w:style>
  <w:style w:type="character" w:styleId="C48">
    <w:name w:val="Endnote Text Char"/>
    <w:link w:val="P48"/>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pPr>
      <w:ind w:right="3940"/>
    </w:p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jpg" /><Relationship Id="Relimage5" Type="http://schemas.openxmlformats.org/officeDocument/2006/relationships/image" Target="/media/image5.png" /><Relationship Id="RelHdr1" Type="http://schemas.openxmlformats.org/officeDocument/2006/relationships/header" Target="header1.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6" Type="http://schemas.openxmlformats.org/officeDocument/2006/relationships/image" Target="/media/image6.jp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lanbeskrivning xmlns:lmg="http://namespace.lantmateriet.se/distribution/geometri/v1" xmlns:gml="http://www.opengis.net/gml/3.2" xmlns="http://namespace.lantmateriet.se/distribution/geodatakatalog/planbeskrivning/v1">
  <Omfattning>
    <identitet>sy_syfte01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Detaljplanens syfte</tema>
      <grupp>Syfte</grupp>
    </Indelning>
  </Omfattning>
  <Omfattning>
    <identitet>pf_hushållningsbestämmelserenl3kap_mb01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Hushållningsbestämmelser enligt 3 kap. miljöbalken</grupp>
    </Indelning>
  </Omfattning>
  <Omfattning>
    <identitet>pf_miljökvalitetsnormer01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Miljökvalitetsnormer</grupp>
    </Indelning>
  </Omfattning>
  <Omfattning>
    <identitet>pu_särskiltbeslutombetydandemiljöpåver01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Planeringsunderlag</tema>
      <grupp>Kommunala</grupp>
      <undergrupp>Särskilt beslut om betydande miljöpåverkan</undergrupp>
    </Indelning>
  </Omfattning>
  <Omfattning>
    <identitet>ko_ställningstagande4kap33b_pbl01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Konsekvenser</tema>
      <grupp>Miljö</grupp>
      <undergrupp>Ställningstagande 4 kap. 33 b § plan- och bygglagen (2010:900)</undergrupp>
    </Indelning>
  </Omfattning>
  <Omfattning>
    <identitet>pf_översiktsplan01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Kommunala</grupp>
      <undergrupp>Översiktsplan</undergrupp>
    </Indelning>
  </Omfattning>
  <Omfattning>
    <identitet>be_heladetaljplan01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Beskrivning av detaljplanen</tema>
      <grupp>Hela detaljplan</grupp>
    </Indelning>
  </Omfattning>
  <Omfattning>
    <identitet>be_heladetaljplan02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Beskrivning av detaljplanen</tema>
      <grupp>Hela detaljplan</grupp>
    </Indelning>
  </Omfattning>
  <Omfattning>
    <identitet>pf_kulturmiljövård01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Riksintressen</grupp>
      <undergrupp>Kulturmiljövård</undergrupp>
    </Indelning>
  </Omfattning>
  <Omfattning>
    <identitet>pf_detaljplan01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Kommunala</grupp>
      <undergrupp>Detaljplan</undergrupp>
    </Indelning>
  </Omfattning>
  <Omfattning>
    <identitet>pf_falubygdenberättar01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Annat</grupp>
      <undergrupp>Falubygden berättar</undergrupp>
    </Indelning>
  </Omfattning>
  <Omfattning>
    <identitet>pf_cykelplan01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Annat</grupp>
      <undergrupp>Cykelplan</undergrupp>
    </Indelning>
  </Omfattning>
  <Omfattning>
    <identitet>pf_dagvattenstrategi01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Annat</grupp>
      <undergrupp>Dagvattenstrategi</undergrupp>
    </Indelning>
  </Omfattning>
  <Omfattning>
    <identitet>pf_förorenadmark01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Hälsa och säkerhet</grupp>
      <undergrupp>Förorenad mark</undergrupp>
    </Indelning>
  </Omfattning>
  <Omfattning>
    <identitet>pf_förorenadmark02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Hälsa och säkerhet</grupp>
      <undergrupp>Förorenad mark</undergrupp>
    </Indelning>
  </Omfattning>
  <Omfattning>
    <identitet>ko_förorenadmark01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Konsekvenser</tema>
      <grupp>Hälsa och säkerhet</grupp>
      <undergrupp>Förorenad mark</undergrupp>
    </Indelning>
  </Omfattning>
  <Omfattning>
    <identitet>ko_förorenadmark02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Konsekvenser</tema>
      <grupp>Hälsa och säkerhet</grupp>
      <undergrupp>Förorenad mark</undergrupp>
    </Indelning>
  </Omfattning>
  <Omfattning>
    <identitet>pf_radon01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Geotekniska förhållanden</grupp>
      <undergrupp>Radon</undergrupp>
    </Indelning>
  </Omfattning>
  <Omfattning>
    <identitet>pf_radon02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Geotekniska förhållanden</grupp>
      <undergrupp>Radon</undergrupp>
    </Indelning>
  </Omfattning>
  <Omfattning>
    <identitet>pf_riskföröversvämning01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Hälsa och säkerhet</grupp>
      <undergrupp>Risk för översvämning</undergrupp>
    </Indelning>
  </Omfattning>
  <Omfattning>
    <identitet>pf_fornlämningar01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Kulturmiljö</grupp>
      <undergrupp>Fornlämningar</undergrupp>
    </Indelning>
  </Omfattning>
  <Omfattning>
    <identitet>be_befintligt01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Beskrivning av detaljplanen</tema>
      <grupp>Befintligt</grupp>
    </Indelning>
  </Omfattning>
  <Omfattning>
    <identitet>be_bostäderochkontor01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49a75a7d-b9de-4c35-afd4-bd67b383f3c0_f0">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6721542.335 143175.986 6721547.066 143183.907 6721551.312 143191.017 6721551.566 143191.439 6721555.544 143198.042 6721557.09 143197.148 6721561.296 143194.713 6721562.343 143196.541</gml:posList>
            </gml:LinearRing>
          </gml:exterior>
        </gml:Polygon>
      </lmg:Position>
    </lmg:Ytgeometri>
    <objektreferens>49a75a7d-b9de-4c35-afd4-bd67b383f3c0</objektreferens>
    <Indelning>
      <tema>Beskrivning av detaljplanen</tema>
      <grupp>Kvartersmark</grupp>
      <undergrupp>Bostäder och kontor (BK)</undergrupp>
    </Indelning>
  </Omfattning>
  <Omfattning>
    <identitet>be_samlingslokalkontorochkultur01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3aef5fd5-e9d1-4c55-9e5d-0bd879831319_f0">
          <gml:exterior>
            <gml:LinearRing>
              <gml:posList>6721555.544 143198.042 6721551.566 143191.439 6721551.312 143191.017 6721547.066 143183.907 6721542.335 143175.986 6721542.248 143175.838 6721542.735 143175.567 6721543.99 143177.453 6721552.787 143190.679 6721557.09 143197.148 6721555.544 143198.042</gml:posList>
            </gml:LinearRing>
          </gml:exterior>
        </gml:Polygon>
      </lmg:Position>
    </lmg:Ytgeometri>
    <objektreferens>3aef5fd5-e9d1-4c55-9e5d-0bd879831319</objektreferens>
    <Indelning>
      <tema>Beskrivning av detaljplanen</tema>
      <grupp>Kvartersmark</grupp>
      <undergrupp>Samlingslokal, kontor och kultur (CKR)</undergrupp>
    </Indelning>
  </Omfattning>
  <Omfattning>
    <identitet>be_kvartersmark01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Beskrivning av detaljplanen</tema>
      <grupp>Kvartersmark</grupp>
    </Indelning>
  </Omfattning>
  <Omfattning>
    <identitet>pf_service01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Service</grupp>
    </Indelning>
  </Omfattning>
  <Omfattning>
    <identitet>pf_sociala01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Sociala</grupp>
    </Indelning>
  </Omfattning>
  <Omfattning>
    <identitet>pf_fysiskmiljö01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Fysisk miljö</grupp>
    </Indelning>
  </Omfattning>
  <Omfattning>
    <identitet>ko_jämlikhet01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Konsekvenser</tema>
      <grupp>Sociala</grupp>
      <undergrupp>Jämlikhet</undergrupp>
    </Indelning>
  </Omfattning>
  <Omfattning>
    <identitet>pf_gångochcykel01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Trafik</grupp>
      <undergrupp>Gång- och cykel</undergrupp>
    </Indelning>
  </Omfattning>
  <Omfattning>
    <identitet>pf_kollektivtrafik01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Trafik</grupp>
      <undergrupp>Kollektivtrafik</undergrupp>
    </Indelning>
  </Omfattning>
  <Omfattning>
    <identitet>pf_biltrafik01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Trafik</grupp>
      <undergrupp>Biltrafik</undergrupp>
    </Indelning>
  </Omfattning>
  <Omfattning>
    <identitet>ko_parkeringvarumottagningutfarter01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Konsekvenser</tema>
      <grupp>Trafik</grupp>
      <undergrupp>Parkering, varumottagning, utfarter</undergrupp>
    </Indelning>
  </Omfattning>
  <Omfattning>
    <identitet>ko_beräkningavomgivningsbuller01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Konsekvenser</tema>
      <grupp>Hälsa och säkerhet</grupp>
      <undergrupp>Beräkning av omgivningsbuller</undergrupp>
    </Indelning>
  </Omfattning>
  <Omfattning>
    <identitet>pf_omgivningsbuller01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Hälsa och säkerhet</grupp>
      <undergrupp>Omgivningsbuller</undergrupp>
    </Indelning>
  </Omfattning>
  <Omfattning>
    <identitet>pf_riskförolyckor01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Hälsa och säkerhet</grupp>
      <undergrupp>Risk för olyckor</undergrupp>
    </Indelning>
  </Omfattning>
  <Omfattning>
    <identitet>pf_vattenochavloppp01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Teknik</grupp>
      <undergrupp>Vatten och avloppp</undergrupp>
    </Indelning>
  </Omfattning>
  <Omfattning>
    <identitet>ko_dagvatten01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Konsekvenser</tema>
      <grupp>Miljö</grupp>
      <undergrupp>Dagvatten</undergrupp>
    </Indelning>
  </Omfattning>
  <Omfattning>
    <identitet>pf_fjärrvärme01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Teknik</grupp>
      <undergrupp>Fjärrvärme</undergrupp>
    </Indelning>
  </Omfattning>
  <Omfattning>
    <identitet>pf_elitochtele01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Teknik</grupp>
      <undergrupp>El, it och tele</undergrupp>
    </Indelning>
  </Omfattning>
  <Omfattning>
    <identitet>pf_avfall01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Planeringsförutsättningar</tema>
      <grupp>Teknik</grupp>
      <undergrupp>Avfall</undergrupp>
    </Indelning>
  </Omfattning>
  <Omfattning>
    <identitet>gf_upplysningar01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Genomförandefrågor</tema>
      <grupp>Upplysningar</grupp>
    </Indelning>
  </Omfattning>
  <Omfattning>
    <identitet>gf_annat01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Genomförandefrågor</tema>
      <grupp>Annat</grupp>
    </Indelning>
  </Omfattning>
  <Omfattning>
    <identitet>gf_tidplan01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Genomförandefrågor</tema>
      <grupp>Organisatoriska frågor</grupp>
      <undergrupp>Tidplan</undergrupp>
    </Indelning>
  </Omfattning>
  <Omfattning>
    <identitet>be_genomförandetid01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Beskrivning av detaljplanen</tema>
      <grupp>Genomförandetid</grupp>
    </Indelning>
  </Omfattning>
  <Omfattning>
    <identitet>be_huvudmannaskap01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Beskrivning av detaljplanen</tema>
      <grupp>Allmän plats</grupp>
      <undergrupp>Huvudmannaskap</undergrupp>
    </Indelning>
  </Omfattning>
  <Omfattning>
    <identitet>gf_förändradfastighetsindelning01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Genomförandefrågor</tema>
      <grupp>Fastighetsrättsliga frågor</grupp>
      <undergrupp>Förändrad fastighetsindelning</undergrupp>
    </Indelning>
  </Omfattning>
  <Omfattning>
    <identitet>gf_planavgift01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Genomförandefrågor</tema>
      <grupp>Ekonomiska frågor</grupp>
      <undergrupp>Planavgift</undergrupp>
    </Indelning>
  </Omfattning>
  <Omfattning>
    <identitet>gf_avtal01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Genomförandefrågor</tema>
      <grupp>Ekonomiska frågor</grupp>
      <undergrupp>Avtal</undergrupp>
    </Indelning>
  </Omfattning>
  <Omfattning>
    <identitet>ko_annat01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Konsekvenser</tema>
      <grupp>Annat</grupp>
    </Indelning>
  </Omfattning>
  <Omfattning>
    <identitet>ko_kulturmiljövård01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Konsekvenser</tema>
      <grupp>Riksintresse</grupp>
      <undergrupp>Kulturmiljövård</undergrupp>
    </Indelning>
  </Omfattning>
  <Omfattning>
    <identitet>ko_miljökvalitetsnormer01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Konsekvenser</tema>
      <grupp>Miljökvalitetsnormer</grupp>
    </Indelning>
  </Omfattning>
  <Omfattning>
    <identitet>pu_bullerutredning01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Planeringsunderlag</tema>
      <grupp>Utredningar</grupp>
      <undergrupp>Bullerutredning</undergrupp>
    </Indelning>
  </Omfattning>
  <Omfattning>
    <identitet>pu_dagvattenutredning01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Planeringsunderlag</tema>
      <grupp>Utredningar</grupp>
      <undergrupp>Dagvattenutredning</undergrupp>
    </Indelning>
  </Omfattning>
  <Omfattning>
    <identitet>pu_markmiljöutredning01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Planeringsunderlag</tema>
      <grupp>Utredningar</grupp>
      <undergrupp>Markmiljöutredning</undergrupp>
    </Indelning>
  </Omfattning>
  <Omfattning>
    <identitet>be_ärendeinformation01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Beskrivning av detaljplanen</tema>
      <grupp>Ärendeinformation</grupp>
    </Indelning>
  </Omfattning>
  <Omfattning>
    <identitet>be_ärendeinformation02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Beskrivning av detaljplanen</tema>
      <grupp>Ärendeinformation</grupp>
    </Indelning>
  </Omfattning>
  <Omfattning>
    <identitet>be_ärendeinformation03</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Beskrivning av detaljplanen</tema>
      <grupp>Ärendeinformation</grupp>
    </Indelning>
  </Omfattning>
  <Omfattning>
    <identitet>be_ärendeinformation04</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Beskrivning av detaljplanen</tema>
      <grupp>Ärendeinformation</grupp>
    </Indelning>
  </Omfattning>
  <Omfattning>
    <identitet>be_ärendeinformation05</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Beskrivning av detaljplanen</tema>
      <grupp>Ärendeinformation</grupp>
    </Indelning>
  </Omfattning>
  <Omfattning>
    <identitet>be_ärendeinformation06</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Beskrivning av detaljplanen</tema>
      <grupp>Ärendeinformation</grupp>
    </Indelning>
  </Omfattning>
  <Omfattning>
    <identitet>be_ärendeinformation07</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Beskrivning av detaljplanen</tema>
      <grupp>Ärendeinformation</grupp>
    </Indelning>
  </Omfattning>
  <Omfattning>
    <identitet>be_ärendeinformation08</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Beskrivning av detaljplanen</tema>
      <grupp>Ärendeinformation</grupp>
    </Indelning>
  </Omfattning>
  <Omfattning>
    <identitet>be_ärendeinformation09</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Beskrivning av detaljplanen</tema>
      <grupp>Ärendeinformation</grupp>
    </Indelning>
  </Omfattning>
  <Omfattning>
    <identitet>mo_motivtillreglering02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c3e3381a-bbd5-483e-a8f3-00a70935c38c_f0">
          <gml:exterior>
            <gml:LinearRing>
              <gml:posList>6721516.265 143221.729 6721503.029 143197.682 6721511.821 143192.785 6721516.849 143201.864 6721522.228 143211.578 6721524.876 143216.896 6721516.265 143221.729</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c3e3381a-bbd5-483e-a8f3-00a70935c38c_f1">
          <gml:exterior>
            <gml:LinearRing>
              <gml:posList>6721516.265 143221.729 6721503.029 143197.682 6721511.821 143192.785 6721516.849 143201.864 6721522.228 143211.578 6721524.876 143216.896 6721516.265 143221.729</gml:posList>
            </gml:LinearRing>
          </gml:exterior>
        </gml:Polygon>
      </lmg:Position>
    </lmg:Ytgeometri>
    <objektreferens>c3e3381a-bbd5-483e-a8f3-00a70935c38c</objektreferens>
    <objektreferens>c3e3381a-bbd5-483e-a8f3-00a70935c38c</objektreferens>
    <Indelning>
      <tema>Motiv till detaljplanens regleringar</tema>
      <grupp>Motiv till reglering</grupp>
    </Indelning>
  </Omfattning>
  <Omfattning>
    <identitet>be_befintligt02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6721562.343 143196.541 6721542.49 143209.243 6721544.446 143212.537 6721535.286 143217.973 6721533.196 143214.451 6721531.11 143215.644 6721530.139 143213.943 6721524.876 143216.896 6721516.265 143221.729 6721503.029 143197.682 6721511.821 143192.785 6721536.885 143178.825 6721542.248 143175.838 6721542.735 143175.567 6721543.99 143177.453 6721552.787 143190.679 6721557.09 143197.148 6721561.296 143194.713 6721562.343 143196.541</gml:posList>
            </gml:LinearRing>
          </gml:exterior>
        </gml:Polygon>
      </lmg:Position>
    </lmg:Ytgeometri>
    <Indelning>
      <tema>Beskrivning av detaljplanen</tema>
      <grupp>Befintligt</grupp>
    </Indelning>
  </Omfattning>
  <Omfattning>
    <identitet>mo_motivtillreglering01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a7de662e-52e5-4916-9d96-fd3bcc04be30_f0">
          <gml:exterior>
            <gml:LinearRing>
              <gml:posList>6721541.443 143186.691 6721519.713 143199.07 6721520.215 143199.954 6721516.849 143201.864 6721511.821 143192.785 6721536.885 143178.825 6721541.443 143186.691</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42285753-56fb-49f5-920b-6d943e7ccff6_f0">
          <gml:exterior>
            <gml:LinearRing>
              <gml:posList>6721516.265 143221.729 6721503.029 143197.682 6721511.821 143192.785 6721516.849 143201.864 6721522.228 143211.578 6721524.876 143216.896 6721516.265 143221.729</gml:posList>
            </gml:LinearRing>
          </gml:exterior>
        </gml:Polygon>
      </lmg:Position>
    </lmg:Ytgeometri>
    <objektreferens>a7de662e-52e5-4916-9d96-fd3bcc04be30</objektreferens>
    <objektreferens>42285753-56fb-49f5-920b-6d943e7ccff6</objektreferens>
    <Indelning>
      <tema>Motiv till detaljplanens regleringar</tema>
      <grupp>Motiv till reglering</grupp>
    </Indelning>
  </Omfattning>
  <Omfattning>
    <identitet>mo_motivtillreglering03</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19c88aeb-80bf-4ab7-b895-56a18641b066_f0">
          <gml:exterior>
            <gml:LinearRing>
              <gml:posList>6721541.443 143186.691 6721536.885 143178.825 6721542.248 143175.838 6721542.335 143175.986 6721547.066 143183.907 6721551.312 143191.017 6721545.834 143194.27 6721541.443 143186.691</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b24c2161-738c-4958-9278-8bd4e46daf8c_f0">
          <gml:exterior>
            <gml:LinearRing>
              <gml:posList>6721524.876 143216.896 6721522.228 143211.578 6721536.902 143202.718 6721540.115 143208.246 6721530.139 143213.943 6721524.876 143216.896</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4d873585-05d7-4bf0-9492-6345ee0056e9_f0">
          <gml:exterior>
            <gml:LinearRing>
              <gml:posList>6721531.11 143215.644 6721530.139 143213.943 6721540.115 143208.246 6721541.48 143207.54 6721542.49 143209.243 6721544.446 143212.537 6721535.286 143217.973 6721533.196 143214.451 6721531.11 143215.644</gml:posList>
            </gml:LinearRing>
          </gml:exterior>
        </gml:Polygon>
      </lmg:Position>
    </lmg:Ytgeometri>
    <objektreferens>19c88aeb-80bf-4ab7-b895-56a18641b066</objektreferens>
    <objektreferens>b24c2161-738c-4958-9278-8bd4e46daf8c</objektreferens>
    <objektreferens>4d873585-05d7-4bf0-9492-6345ee0056e9</objektreferens>
    <Indelning>
      <tema>Motiv till detaljplanens regleringar</tema>
      <grupp>Motiv till reglering</grupp>
    </Indelning>
  </Omfattning>
  <Omfattning>
    <identitet>mo_motivtillreglering04</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3b56026f-3d43-456d-bc71-4175dbb861d3_f0">
          <gml:exterior>
            <gml:LinearRing>
              <gml:posList>6721516.265 143221.729 6721503.029 143197.682 6721511.821 143192.785 6721516.849 143201.864 6721522.228 143211.578 6721524.876 143216.896 6721516.265 143221.729</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167541c5-9e3c-4113-b35b-732db5f6ae95_f0">
          <gml:exterior>
            <gml:LinearRing>
              <gml:posList>6721516.265 143221.729 6721503.029 143197.682 6721511.821 143192.785 6721516.849 143201.864 6721522.228 143211.578 6721524.876 143216.896 6721516.265 143221.729</gml:posList>
            </gml:LinearRing>
          </gml:exterior>
        </gml:Polygon>
      </lmg:Position>
    </lmg:Ytgeometri>
    <objektreferens>3b56026f-3d43-456d-bc71-4175dbb861d3</objektreferens>
    <objektreferens>167541c5-9e3c-4113-b35b-732db5f6ae95</objektreferens>
    <Indelning>
      <tema>Motiv till detaljplanens regleringar</tema>
      <grupp>Motiv till reglering</grupp>
    </Indelning>
  </Omfattning>
  <Omfattning>
    <identitet>mo_motivtillreglering05</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f6b25a0a-66ec-4183-9541-c08030b0056c_f0">
          <gml:exterior>
            <gml:LinearRing>
              <gml:posList>6721541.443 143186.691 6721519.713 143199.07 6721520.215 143199.954 6721516.849 143201.864 6721511.821 143192.785 6721536.885 143178.825 6721541.443 143186.691</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4e4f4781-e3cb-4247-814c-ab3bc1708c03_f0">
          <gml:exterior>
            <gml:LinearRing>
              <gml:posList>6721516.265 143221.729 6721503.029 143197.682 6721511.821 143192.785 6721516.849 143201.864 6721522.228 143211.578 6721524.876 143216.896 6721516.265 143221.729</gml:posList>
            </gml:LinearRing>
          </gml:exterior>
        </gml:Polygon>
      </lmg:Position>
    </lmg:Ytgeometri>
    <objektreferens>f6b25a0a-66ec-4183-9541-c08030b0056c</objektreferens>
    <objektreferens>4e4f4781-e3cb-4247-814c-ab3bc1708c03</objektreferens>
    <Indelning>
      <tema>Motiv till detaljplanens regleringar</tema>
      <grupp>Motiv till reglering</grupp>
    </Indelning>
  </Omfattning>
</Planbeskrivning>
</file>

<file path=customXml/itemProps1.xml><?xml version="1.0" encoding="utf-8"?>
<ds:datastoreItem xmlns:ds="http://schemas.openxmlformats.org/officeDocument/2006/customXml" ds:itemID="{b73ae7cf-48c5-4d86-89b6-fd7377fc9c13}">
  <ds:schemaRefs>
    <ds:schemaRef ds:uri="http://schemas.microsoft.com/vsto/samples"/>
  </ds:schemaRefs>
</ds:datastoreItem>
</file>

<file path=customXml/itemProps2.xml><?xml version="1.0" encoding="utf-8"?>
<ds:datastoreItem xmlns:ds="http://schemas.openxmlformats.org/officeDocument/2006/customXml" ds:itemID="c1fd5898-2b4b-4728-8a74-c7709e3b0831">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Falu kommun</Company>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LokalAdmin</dc:creator>
  <dcterms:created xsi:type="dcterms:W3CDTF">2023-05-23T08:58:00Z</dcterms:created>
  <cp:lastModifiedBy>Mariam Ghasemi</cp:lastModifiedBy>
  <cp:lastPrinted>2021-11-17T09:47:00Z</cp:lastPrinted>
  <dcterms:modified xsi:type="dcterms:W3CDTF">2023-07-06T09:56:40Z</dcterms:modified>
  <cp:revision>6</cp:revision>
  <dc:title>Planbeskrivning</dc:title>
</cp:coreProperties>
</file>