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 Id="customR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rPr>
          <w:noProof w:val="1"/>
        </w:rPr>
      </w:pPr>
      <w:r>
        <w:rPr>
          <w:noProof w:val="1"/>
        </w:rPr>
        <mc:AlternateContent>
          <mc:Choice Requires="wps">
            <w:drawing>
              <wp:anchor xmlns:wp="http://schemas.openxmlformats.org/drawingml/2006/wordprocessingDrawing" distT="0" distB="0" distL="114300" distR="114300" simplePos="0" relativeHeight="251665410" behindDoc="1" locked="0" layoutInCell="1" allowOverlap="1">
                <wp:simplePos x="0" y="0"/>
                <wp:positionH relativeFrom="column">
                  <wp:posOffset>-714375</wp:posOffset>
                </wp:positionH>
                <wp:positionV relativeFrom="paragraph">
                  <wp:posOffset>-635635</wp:posOffset>
                </wp:positionV>
                <wp:extent cx="7127875" cy="4805680"/>
                <wp:effectExtent l="0" t="0" r="0" b="0"/>
                <wp:wrapNone/>
                <wp:docPr id="24" name="Flödesschema: Manuella indata 24"/>
                <wp:cNvGraphicFramePr/>
                <a:graphic xmlns:a="http://schemas.openxmlformats.org/drawingml/2006/main">
                  <a:graphicData uri="http://schemas.microsoft.com/office/word/2010/wordprocessingShape">
                    <wps:wsp>
                      <wps:cNvSpPr/>
                      <wps:spPr>
                        <a:xfrm rot="10800000">
                          <a:off x="0" y="0"/>
                          <a:ext cx="7127875" cy="4806031"/>
                        </a:xfrm>
                        <a:custGeom>
                          <a:gdLst>
                            <a:gd name="connsiteX0" fmla="*/ 0 w 10000"/>
                            <a:gd name="connsiteY0" fmla="*/ 2000 h 10000"/>
                            <a:gd name="connsiteX1" fmla="*/ 10000 w 10000"/>
                            <a:gd name="connsiteY1" fmla="*/ 0 h 10000"/>
                            <a:gd name="connsiteX2" fmla="*/ 10000 w 10000"/>
                            <a:gd name="connsiteY2" fmla="*/ 10000 h 10000"/>
                            <a:gd name="connsiteX3" fmla="*/ 0 w 10000"/>
                            <a:gd name="connsiteY3" fmla="*/ 10000 h 10000"/>
                            <a:gd name="connsiteX4" fmla="*/ 0 w 10000"/>
                            <a:gd name="connsiteY4" fmla="*/ 2000 h 10000"/>
                            <a:gd name="connsiteX0" fmla="*/ 0 w 10000"/>
                            <a:gd name="connsiteY0" fmla="*/ 2297 h 10000"/>
                            <a:gd name="connsiteX1" fmla="*/ 10000 w 10000"/>
                            <a:gd name="connsiteY1" fmla="*/ 0 h 10000"/>
                            <a:gd name="connsiteX2" fmla="*/ 10000 w 10000"/>
                            <a:gd name="connsiteY2" fmla="*/ 10000 h 10000"/>
                            <a:gd name="connsiteX3" fmla="*/ 0 w 10000"/>
                            <a:gd name="connsiteY3" fmla="*/ 10000 h 10000"/>
                            <a:gd name="connsiteX4" fmla="*/ 0 w 10000"/>
                            <a:gd name="connsiteY4" fmla="*/ 2297 h 10000"/>
                          </a:gdLst>
                          <a:cxnLst>
                            <a:cxn ang="0">
                              <a:pos x="connsiteX0" y="connsiteY0"/>
                            </a:cxn>
                            <a:cxn ang="0">
                              <a:pos x="connsiteX1" y="connsiteY1"/>
                            </a:cxn>
                            <a:cxn ang="0">
                              <a:pos x="connsiteX2" y="connsiteY2"/>
                            </a:cxn>
                            <a:cxn ang="0">
                              <a:pos x="connsiteX3" y="connsiteY3"/>
                            </a:cxn>
                            <a:cxn ang="0">
                              <a:pos x="connsiteX4" y="connsiteY4"/>
                            </a:cxn>
                          </a:cxnLst>
                          <a:rect l="l" t="t" r="r" b="b"/>
                          <a:pathLst>
                            <a:path w="10000" h="10000">
                              <a:moveTo>
                                <a:pt x="0" y="2297"/>
                              </a:moveTo>
                              <a:lnTo>
                                <a:pt x="10000" y="0"/>
                              </a:lnTo>
                              <a:lnTo>
                                <a:pt x="10000" y="10000"/>
                              </a:lnTo>
                              <a:lnTo>
                                <a:pt x="0" y="10000"/>
                              </a:lnTo>
                              <a:lnTo>
                                <a:pt x="0" y="2297"/>
                              </a:lnTo>
                              <a:close/>
                            </a:path>
                          </a:pathLst>
                        </a:custGeom>
                        <a:blipFill dpi="0" rotWithShape="0">
                          <a:blip xmlns:r="http://schemas.openxmlformats.org/officeDocument/2006/relationships" r:embed="Relimage1"/>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Flödesschema: Manuella indata 24" o:spid="_x0000_s1026" style="position:absolute;width:561.25pt;height:378.4pt;z-index:251665410;mso-wrap-distance-left:9pt;mso-wrap-distance-top:0pt;mso-wrap-distance-right:9pt;mso-wrap-distance-bottom:0pt;margin-left:-56.25pt;margin-top:-50.05pt;mso-position-horizontal:absolute;mso-position-horizontal-relative:text;mso-position-vertical:absolute;mso-position-vertical-relative:text;v-text-anchor:middle;rotation:180" o:allowincell="t" fillcolor="#FFFFFF" strokeweight="1pt" stroked="f" coordsize="11225,7568" path="m0,2297l10000,,10000,10000,,10000,,2297,xe">
                <v:textbox inset="3mm,1mm,3mm,1mm">
                  <w:txbxContent>
                    <w:p/>
                  </w:txbxContent>
                </v:textbox>
              </v:shape>
            </w:pict>
          </mc:Fallback>
        </mc:AlternateContent>
      </w:r>
      <w:r>
        <w:rPr>
          <w:noProof w:val="1"/>
        </w:rPr>
        <w:tab/>
      </w:r>
    </w:p>
    <w:p>
      <w:pPr>
        <w:spacing w:after="160" w:beforeAutospacing="0" w:afterAutospacing="0"/>
      </w:pPr>
      <w:r>
        <w:rPr>
          <w:noProof w:val="1"/>
          <w:highlight w:val="yellow"/>
        </w:rPr>
        <mc:AlternateContent>
          <mc:Choice Requires="wps">
            <w:drawing>
              <wp:anchor xmlns:wp="http://schemas.openxmlformats.org/drawingml/2006/wordprocessingDrawing" distT="45720" distB="45720" distL="114300" distR="114300" simplePos="0" relativeHeight="251665408" behindDoc="1" locked="0" layoutInCell="1" allowOverlap="1">
                <wp:simplePos x="0" y="0"/>
                <wp:positionH relativeFrom="column">
                  <wp:posOffset>-495935</wp:posOffset>
                </wp:positionH>
                <wp:positionV relativeFrom="paragraph">
                  <wp:posOffset>4163695</wp:posOffset>
                </wp:positionV>
                <wp:extent cx="6474460" cy="1404620"/>
                <wp:effectExtent l="0" t="0" r="0" b="1905"/>
                <wp:wrapSquare wrapText="bothSides"/>
                <wp:docPr id="217" name="Textruta 2"/>
                <wp:cNvGraphicFramePr/>
                <a:graphic xmlns:a="http://schemas.openxmlformats.org/drawingml/2006/main">
                  <a:graphicData uri="http://schemas.microsoft.com/office/word/2010/wordprocessingShape">
                    <wps:wsp>
                      <wps:cNvSpPr txBox="1">
                        <a:spLocks noChangeArrowheads="1"/>
                      </wps:cNvSpPr>
                      <wps:spPr bwMode="auto">
                        <a:xfrm>
                          <a:off x="0" y="0"/>
                          <a:ext cx="6474460" cy="1404620"/>
                        </a:xfrm>
                        <a:prstGeom prst="rect"/>
                        <a:no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Arial" w:hAnsi="Arial"/>
                                <w:color w:val="FFFFFF" w:themeColor="background1"/>
                                <w:sz w:val="58"/>
                                <w:szCs w:val="58"/>
                              </w:rPr>
                            </w:pPr>
                            <w:r>
                              <w:rPr>
                                <w:rFonts w:ascii="Arial" w:hAnsi="Arial"/>
                                <w:color w:val="FFFFFF" w:themeColor="background1"/>
                                <w:sz w:val="86"/>
                                <w:szCs w:val="86"/>
                              </w:rPr>
                              <w:t>Ändring av detaljplan för Hönsäter 5:12 m.fl. Paroc</w:t>
                              <w:br w:type="textWrapping"/>
                            </w:r>
                            <w:r>
                              <w:rPr>
                                <w:rFonts w:ascii="Arial" w:hAnsi="Arial"/>
                                <w:color w:val="FFFFFF" w:themeColor="background1"/>
                                <w:sz w:val="58"/>
                                <w:szCs w:val="58"/>
                              </w:rPr>
                              <w:t>Plan- och genomförandebeskrivning</w:t>
                            </w:r>
                          </w:p>
                          <w:p>
                            <w:pPr>
                              <w:rPr>
                                <w:color w:val="FFFFFF" w:themeColor="background1"/>
                              </w:rPr>
                            </w:pPr>
                            <w:r>
                              <w:rPr>
                                <w:color w:val="FFFFFF" w:themeColor="background1"/>
                                <w:rtl w:val="0"/>
                                <w:lang w:val="sv-SE" w:bidi="sv-SE" w:eastAsia="sv-SE"/>
                              </w:rPr>
                              <w:br w:type="textWrapping"/>
                              <w:t>Laga kraft 2024-03-21</w:t>
                              <w:br w:type="textWrapping"/>
                            </w:r>
                            <w:r>
                              <w:rPr>
                                <w:color w:val="FFFFFF" w:themeColor="background1"/>
                              </w:rPr>
                              <w:t>Antagande</w:t>
                            </w:r>
                            <w:r>
                              <w:rPr>
                                <w:color w:val="FFFFFF" w:themeColor="background1"/>
                                <w:rtl w:val="0"/>
                                <w:lang w:val="sv-SE" w:bidi="sv-SE" w:eastAsia="sv-SE"/>
                              </w:rPr>
                              <w:t xml:space="preserve"> KS</w:t>
                            </w:r>
                            <w:r>
                              <w:rPr>
                                <w:color w:val="FFFFFF" w:themeColor="background1"/>
                              </w:rPr>
                              <w:t xml:space="preserve"> 2024-0</w:t>
                            </w:r>
                            <w:r>
                              <w:rPr>
                                <w:color w:val="FFFFFF" w:themeColor="background1"/>
                                <w:rtl w:val="0"/>
                                <w:lang w:val="sv-SE" w:bidi="sv-SE" w:eastAsia="sv-SE"/>
                              </w:rPr>
                              <w:t>2</w:t>
                            </w:r>
                            <w:r>
                              <w:rPr>
                                <w:color w:val="FFFFFF" w:themeColor="background1"/>
                              </w:rPr>
                              <w:t>-</w:t>
                            </w:r>
                            <w:r>
                              <w:rPr>
                                <w:color w:val="FFFFFF" w:themeColor="background1"/>
                                <w:rtl w:val="0"/>
                                <w:lang w:val="sv-SE" w:bidi="sv-SE" w:eastAsia="sv-SE"/>
                              </w:rPr>
                              <w:t>22 § 36</w:t>
                            </w:r>
                            <w:r>
                              <w:rPr>
                                <w:color w:val="FFFFFF" w:themeColor="background1"/>
                              </w:rPr>
                              <w:br w:type="textWrapping"/>
                              <w:t>Diarienummer: KSK 2023/480</w:t>
                            </w:r>
                          </w:p>
                        </w:txbxContent>
                      </wps:txbx>
                      <wps:bodyPr rot="0" vert="horz" wrap="square" lIns="91440" tIns="45720" rIns="91440" bIns="45720" anchor="t" anchorCtr="0">
                        <a:spAutoFit/>
                      </wps:bodyPr>
                    </wps:wsp>
                  </a:graphicData>
                </a:graphic>
                <wp14:sizeRelV relativeFrom="margin">
                  <wp14:pctHeight>20000</wp14:pctHeight>
                </wp14:sizeRelV>
              </wp:anchor>
            </w:drawing>
          </mc:Choice>
          <mc:Fallback>
            <w:pict>
              <v:shapetype xmlns:o="urn:schemas-microsoft-com:office:office" id="_x0000_t202" coordsize="21600,21600" o:spt="202" path="m,l,21600r21600,l21600,xe">
                <v:stroke joinstyle="miter"/>
                <v:path gradientshapeok="t" o:connecttype="rect"/>
              </v:shapetype>
              <v:shape xmlns:o="urn:schemas-microsoft-com:office:office" type="#_x0000_t202" id="Textruta 2" o:spid="_x0000_s1027" style="position:absolute;width:509.8pt;height:110.6pt;z-index:251665408;mso-wrap-distance-left:9pt;mso-wrap-distance-top:3.6pt;mso-wrap-distance-right:9pt;mso-wrap-distance-bottom:3.6pt;margin-left:-39.05pt;margin-top:327.85pt;mso-position-horizontal:absolute;mso-position-horizontal-relative:text;mso-position-vertical:absolute;mso-position-vertical-relative:text;mso-height-relative:margin;mso-height-percent:200" o:allowincell="t" filled="f" strokeweight="0.75pt" stroked="f">
                <v:textbox style="mso-fit-shape-to-text:t" inset="3mm,1mm,3mm,1mm">
                  <w:txbxContent>
                    <w:p>
                      <w:pPr>
                        <w:rPr>
                          <w:rFonts w:ascii="Arial" w:hAnsi="Arial"/>
                          <w:color w:val="FFFFFF" w:themeColor="background1"/>
                          <w:sz w:val="58"/>
                          <w:szCs w:val="58"/>
                        </w:rPr>
                      </w:pPr>
                      <w:r>
                        <w:rPr>
                          <w:rFonts w:ascii="Arial" w:hAnsi="Arial"/>
                          <w:color w:val="FFFFFF" w:themeColor="background1"/>
                          <w:sz w:val="86"/>
                          <w:szCs w:val="86"/>
                        </w:rPr>
                        <w:t>Ändring av detaljplan för Hönsäter 5:12 m.fl. Paroc</w:t>
                        <w:br w:type="textWrapping"/>
                      </w:r>
                      <w:r>
                        <w:rPr>
                          <w:rFonts w:ascii="Arial" w:hAnsi="Arial"/>
                          <w:color w:val="FFFFFF" w:themeColor="background1"/>
                          <w:sz w:val="58"/>
                          <w:szCs w:val="58"/>
                        </w:rPr>
                        <w:t>Plan- och genomförandebeskrivning</w:t>
                      </w:r>
                    </w:p>
                    <w:p>
                      <w:pPr>
                        <w:rPr>
                          <w:color w:val="FFFFFF" w:themeColor="background1"/>
                        </w:rPr>
                      </w:pPr>
                      <w:r>
                        <w:rPr>
                          <w:color w:val="FFFFFF" w:themeColor="background1"/>
                          <w:rtl w:val="0"/>
                          <w:lang w:val="sv-SE" w:bidi="sv-SE" w:eastAsia="sv-SE"/>
                        </w:rPr>
                        <w:br w:type="textWrapping"/>
                        <w:t>Laga kraft 2024-03-21</w:t>
                        <w:br w:type="textWrapping"/>
                      </w:r>
                      <w:r>
                        <w:rPr>
                          <w:color w:val="FFFFFF" w:themeColor="background1"/>
                        </w:rPr>
                        <w:t>Antagande</w:t>
                      </w:r>
                      <w:r>
                        <w:rPr>
                          <w:color w:val="FFFFFF" w:themeColor="background1"/>
                          <w:rtl w:val="0"/>
                          <w:lang w:val="sv-SE" w:bidi="sv-SE" w:eastAsia="sv-SE"/>
                        </w:rPr>
                        <w:t xml:space="preserve"> KS</w:t>
                      </w:r>
                      <w:r>
                        <w:rPr>
                          <w:color w:val="FFFFFF" w:themeColor="background1"/>
                        </w:rPr>
                        <w:t xml:space="preserve"> 2024-0</w:t>
                      </w:r>
                      <w:r>
                        <w:rPr>
                          <w:color w:val="FFFFFF" w:themeColor="background1"/>
                          <w:rtl w:val="0"/>
                          <w:lang w:val="sv-SE" w:bidi="sv-SE" w:eastAsia="sv-SE"/>
                        </w:rPr>
                        <w:t>2</w:t>
                      </w:r>
                      <w:r>
                        <w:rPr>
                          <w:color w:val="FFFFFF" w:themeColor="background1"/>
                        </w:rPr>
                        <w:t>-</w:t>
                      </w:r>
                      <w:r>
                        <w:rPr>
                          <w:color w:val="FFFFFF" w:themeColor="background1"/>
                          <w:rtl w:val="0"/>
                          <w:lang w:val="sv-SE" w:bidi="sv-SE" w:eastAsia="sv-SE"/>
                        </w:rPr>
                        <w:t>22 § 36</w:t>
                      </w:r>
                      <w:r>
                        <w:rPr>
                          <w:color w:val="FFFFFF" w:themeColor="background1"/>
                        </w:rPr>
                        <w:br w:type="textWrapping"/>
                        <w:t>Diarienummer: KSK 2023/480</w:t>
                      </w:r>
                    </w:p>
                  </w:txbxContent>
                </v:textbox>
                <w10:wrap type="square"/>
              </v:shape>
            </w:pict>
          </mc:Fallback>
        </mc:AlternateContent>
      </w:r>
      <w:r>
        <w:rPr>
          <w:noProof w:val="1"/>
          <w:highlight w:val="yellow"/>
        </w:rPr>
        <mc:AlternateContent>
          <mc:Choice Requires="wps">
            <w:drawing>
              <wp:anchor xmlns:wp="http://schemas.openxmlformats.org/drawingml/2006/wordprocessingDrawing" distT="0" distB="0" distL="114300" distR="114300" simplePos="0" relativeHeight="251665409" behindDoc="1" locked="0" layoutInCell="1" allowOverlap="1">
                <wp:simplePos x="0" y="0"/>
                <wp:positionH relativeFrom="column">
                  <wp:posOffset>-715010</wp:posOffset>
                </wp:positionH>
                <wp:positionV relativeFrom="paragraph">
                  <wp:posOffset>2973070</wp:posOffset>
                </wp:positionV>
                <wp:extent cx="7127875" cy="4757420"/>
                <wp:effectExtent l="0" t="0" r="0" b="0"/>
                <wp:wrapNone/>
                <wp:docPr id="5" name="Rätvinklig triangel 3"/>
                <wp:cNvGraphicFramePr/>
                <a:graphic xmlns:a="http://schemas.openxmlformats.org/drawingml/2006/main">
                  <a:graphicData uri="http://schemas.microsoft.com/office/word/2010/wordprocessingShape">
                    <wps:wsp>
                      <wps:cNvSpPr/>
                      <wps:spPr>
                        <a:xfrm>
                          <a:off x="0" y="0"/>
                          <a:ext cx="7127875" cy="4757420"/>
                        </a:xfrm>
                        <a:custGeom>
                          <a:gdLst>
                            <a:gd name="connsiteX0" fmla="*/ 0 w 3391535"/>
                            <a:gd name="connsiteY0" fmla="*/ 1594485 h 1594485"/>
                            <a:gd name="connsiteX1" fmla="*/ 0 w 3391535"/>
                            <a:gd name="connsiteY1" fmla="*/ 0 h 1594485"/>
                            <a:gd name="connsiteX2" fmla="*/ 3391535 w 3391535"/>
                            <a:gd name="connsiteY2" fmla="*/ 1594485 h 1594485"/>
                            <a:gd name="connsiteX3" fmla="*/ 0 w 3391535"/>
                            <a:gd name="connsiteY3" fmla="*/ 1594485 h 1594485"/>
                            <a:gd name="connsiteX0" fmla="*/ 0 w 3391535"/>
                            <a:gd name="connsiteY0" fmla="*/ 1594485 h 1594485"/>
                            <a:gd name="connsiteX1" fmla="*/ 0 w 3391535"/>
                            <a:gd name="connsiteY1" fmla="*/ 0 h 1594485"/>
                            <a:gd name="connsiteX2" fmla="*/ 1520456 w 3391535"/>
                            <a:gd name="connsiteY2" fmla="*/ 733646 h 1594485"/>
                            <a:gd name="connsiteX3" fmla="*/ 3391535 w 3391535"/>
                            <a:gd name="connsiteY3" fmla="*/ 1594485 h 1594485"/>
                            <a:gd name="connsiteX4" fmla="*/ 0 w 3391535"/>
                            <a:gd name="connsiteY4" fmla="*/ 1594485 h 1594485"/>
                            <a:gd name="connsiteX0" fmla="*/ 0 w 3391535"/>
                            <a:gd name="connsiteY0" fmla="*/ 1594485 h 1594485"/>
                            <a:gd name="connsiteX1" fmla="*/ 0 w 3391535"/>
                            <a:gd name="connsiteY1" fmla="*/ 0 h 1594485"/>
                            <a:gd name="connsiteX2" fmla="*/ 1520456 w 3391535"/>
                            <a:gd name="connsiteY2" fmla="*/ 733646 h 1594485"/>
                            <a:gd name="connsiteX3" fmla="*/ 3391535 w 3391535"/>
                            <a:gd name="connsiteY3" fmla="*/ 1594485 h 1594485"/>
                            <a:gd name="connsiteX4" fmla="*/ 0 w 3391535"/>
                            <a:gd name="connsiteY4" fmla="*/ 1594485 h 1594485"/>
                            <a:gd name="connsiteX0" fmla="*/ 0 w 3391535"/>
                            <a:gd name="connsiteY0" fmla="*/ 1594485 h 1594485"/>
                            <a:gd name="connsiteX1" fmla="*/ 0 w 3391535"/>
                            <a:gd name="connsiteY1" fmla="*/ 0 h 1594485"/>
                            <a:gd name="connsiteX2" fmla="*/ 1520456 w 3391535"/>
                            <a:gd name="connsiteY2" fmla="*/ 733646 h 1594485"/>
                            <a:gd name="connsiteX3" fmla="*/ 3391535 w 3391535"/>
                            <a:gd name="connsiteY3" fmla="*/ 1594485 h 1594485"/>
                            <a:gd name="connsiteX4" fmla="*/ 0 w 3391535"/>
                            <a:gd name="connsiteY4" fmla="*/ 1594485 h 1594485"/>
                            <a:gd name="connsiteX0" fmla="*/ 0 w 3391535"/>
                            <a:gd name="connsiteY0" fmla="*/ 1594485 h 1594485"/>
                            <a:gd name="connsiteX1" fmla="*/ 0 w 3391535"/>
                            <a:gd name="connsiteY1" fmla="*/ 0 h 1594485"/>
                            <a:gd name="connsiteX2" fmla="*/ 3391535 w 3391535"/>
                            <a:gd name="connsiteY2" fmla="*/ 489097 h 1594485"/>
                            <a:gd name="connsiteX3" fmla="*/ 3391535 w 3391535"/>
                            <a:gd name="connsiteY3" fmla="*/ 1594485 h 1594485"/>
                            <a:gd name="connsiteX4" fmla="*/ 0 w 3391535"/>
                            <a:gd name="connsiteY4" fmla="*/ 1594485 h 1594485"/>
                            <a:gd name="connsiteX0" fmla="*/ 0 w 4484927"/>
                            <a:gd name="connsiteY0" fmla="*/ 1594485 h 1594485"/>
                            <a:gd name="connsiteX1" fmla="*/ 0 w 4484927"/>
                            <a:gd name="connsiteY1" fmla="*/ 0 h 1594485"/>
                            <a:gd name="connsiteX2" fmla="*/ 3391535 w 4484927"/>
                            <a:gd name="connsiteY2" fmla="*/ 489097 h 1594485"/>
                            <a:gd name="connsiteX3" fmla="*/ 4484927 w 4484927"/>
                            <a:gd name="connsiteY3" fmla="*/ 1594485 h 1594485"/>
                            <a:gd name="connsiteX4" fmla="*/ 0 w 4484927"/>
                            <a:gd name="connsiteY4" fmla="*/ 1594485 h 1594485"/>
                            <a:gd name="connsiteX0" fmla="*/ 0 w 4484927"/>
                            <a:gd name="connsiteY0" fmla="*/ 4054804 h 4054804"/>
                            <a:gd name="connsiteX1" fmla="*/ 0 w 4484927"/>
                            <a:gd name="connsiteY1" fmla="*/ 2460319 h 4054804"/>
                            <a:gd name="connsiteX2" fmla="*/ 4484927 w 4484927"/>
                            <a:gd name="connsiteY2" fmla="*/ 0 h 4054804"/>
                            <a:gd name="connsiteX3" fmla="*/ 4484927 w 4484927"/>
                            <a:gd name="connsiteY3" fmla="*/ 4054804 h 4054804"/>
                            <a:gd name="connsiteX4" fmla="*/ 0 w 4484927"/>
                            <a:gd name="connsiteY4" fmla="*/ 4054804 h 4054804"/>
                            <a:gd name="connsiteX0" fmla="*/ 0 w 4484927"/>
                            <a:gd name="connsiteY0" fmla="*/ 4054804 h 4633363"/>
                            <a:gd name="connsiteX1" fmla="*/ 0 w 4484927"/>
                            <a:gd name="connsiteY1" fmla="*/ 2460319 h 4633363"/>
                            <a:gd name="connsiteX2" fmla="*/ 4484927 w 4484927"/>
                            <a:gd name="connsiteY2" fmla="*/ 0 h 4633363"/>
                            <a:gd name="connsiteX3" fmla="*/ 4484927 w 4484927"/>
                            <a:gd name="connsiteY3" fmla="*/ 4633363 h 4633363"/>
                            <a:gd name="connsiteX4" fmla="*/ 0 w 4484927"/>
                            <a:gd name="connsiteY4" fmla="*/ 4054804 h 4633363"/>
                            <a:gd name="connsiteX0" fmla="*/ 0 w 4484927"/>
                            <a:gd name="connsiteY0" fmla="*/ 4139583 h 4633363"/>
                            <a:gd name="connsiteX1" fmla="*/ 0 w 4484927"/>
                            <a:gd name="connsiteY1" fmla="*/ 2460319 h 4633363"/>
                            <a:gd name="connsiteX2" fmla="*/ 4484927 w 4484927"/>
                            <a:gd name="connsiteY2" fmla="*/ 0 h 4633363"/>
                            <a:gd name="connsiteX3" fmla="*/ 4484927 w 4484927"/>
                            <a:gd name="connsiteY3" fmla="*/ 4633363 h 4633363"/>
                            <a:gd name="connsiteX4" fmla="*/ 0 w 4484927"/>
                            <a:gd name="connsiteY4" fmla="*/ 4139583 h 4633363"/>
                            <a:gd name="connsiteX0" fmla="*/ 0 w 4484927"/>
                            <a:gd name="connsiteY0" fmla="*/ 4139583 h 4892087"/>
                            <a:gd name="connsiteX1" fmla="*/ 0 w 4484927"/>
                            <a:gd name="connsiteY1" fmla="*/ 2460319 h 4892087"/>
                            <a:gd name="connsiteX2" fmla="*/ 4484927 w 4484927"/>
                            <a:gd name="connsiteY2" fmla="*/ 0 h 4892087"/>
                            <a:gd name="connsiteX3" fmla="*/ 4484927 w 4484927"/>
                            <a:gd name="connsiteY3" fmla="*/ 4892087 h 4892087"/>
                            <a:gd name="connsiteX4" fmla="*/ 0 w 4484927"/>
                            <a:gd name="connsiteY4" fmla="*/ 4139583 h 4892087"/>
                            <a:gd name="connsiteX0" fmla="*/ 0 w 4484927"/>
                            <a:gd name="connsiteY0" fmla="*/ 4139583 h 4892087"/>
                            <a:gd name="connsiteX1" fmla="*/ 0 w 4484927"/>
                            <a:gd name="connsiteY1" fmla="*/ 1113251 h 4892087"/>
                            <a:gd name="connsiteX2" fmla="*/ 4484927 w 4484927"/>
                            <a:gd name="connsiteY2" fmla="*/ 0 h 4892087"/>
                            <a:gd name="connsiteX3" fmla="*/ 4484927 w 4484927"/>
                            <a:gd name="connsiteY3" fmla="*/ 4892087 h 4892087"/>
                            <a:gd name="connsiteX4" fmla="*/ 0 w 4484927"/>
                            <a:gd name="connsiteY4" fmla="*/ 4139583 h 4892087"/>
                          </a:gdLst>
                          <a:cxnLst>
                            <a:cxn ang="0">
                              <a:pos x="connsiteX0" y="connsiteY0"/>
                            </a:cxn>
                            <a:cxn ang="0">
                              <a:pos x="connsiteX1" y="connsiteY1"/>
                            </a:cxn>
                            <a:cxn ang="0">
                              <a:pos x="connsiteX2" y="connsiteY2"/>
                            </a:cxn>
                            <a:cxn ang="0">
                              <a:pos x="connsiteX3" y="connsiteY3"/>
                            </a:cxn>
                            <a:cxn ang="0">
                              <a:pos x="connsiteX4" y="connsiteY4"/>
                            </a:cxn>
                          </a:cxnLst>
                          <a:rect l="l" t="t" r="r" b="b"/>
                          <a:pathLst>
                            <a:path w="4484927" h="4892087">
                              <a:moveTo>
                                <a:pt x="0" y="4139583"/>
                              </a:moveTo>
                              <a:lnTo>
                                <a:pt x="0" y="1113251"/>
                              </a:lnTo>
                              <a:lnTo>
                                <a:pt x="4484927" y="0"/>
                              </a:lnTo>
                              <a:lnTo>
                                <a:pt x="4484927" y="4892087"/>
                              </a:lnTo>
                              <a:lnTo>
                                <a:pt x="0" y="4139583"/>
                              </a:lnTo>
                              <a:close/>
                            </a:path>
                          </a:pathLst>
                        </a:custGeom>
                        <a:solidFill>
                          <a:srgbClr val="86BC25"/>
                        </a:solidFill>
                        <a:ln>
                          <a:solidFill>
                            <a:srgbClr val="86BC25"/>
                          </a:solidFill>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Rätvinklig triangel 3" o:spid="_x0000_s1028" style="position:absolute;width:561.25pt;height:374.6pt;z-index:251665409;mso-wrap-distance-left:9pt;mso-wrap-distance-top:0pt;mso-wrap-distance-right:9pt;mso-wrap-distance-bottom:0pt;margin-left:-56.3pt;margin-top:234.1pt;mso-position-horizontal:absolute;mso-position-horizontal-relative:text;mso-position-vertical:absolute;mso-position-vertical-relative:text;v-text-anchor:middle" o:allowincell="t" fillcolor="#86BC25" strokecolor="#86BC25" strokeweight="1pt" stroked="t" coordsize="11225,7492" path="m0,4139583l,1113251,4484927,,4484927,4892087,,4139583,xe">
                <v:textbox inset="3mm,1mm,3mm,1mm">
                  <w:txbxContent>
                    <w:p/>
                  </w:txbxContent>
                </v:textbox>
              </v:shape>
            </w:pict>
          </mc:Fallback>
        </mc:AlternateContent>
      </w:r>
      <w:r>
        <w:rPr>
          <w:noProof w:val="1"/>
          <w:highlight w:val="yellow"/>
        </w:rPr>
        <mc:AlternateContent>
          <mc:Choice Requires="wps">
            <w:drawing>
              <wp:anchor xmlns:wp="http://schemas.openxmlformats.org/drawingml/2006/wordprocessingDrawing" distT="0" distB="0" distL="114300" distR="114300" simplePos="0" relativeHeight="251665411" behindDoc="1" locked="0" layoutInCell="1" allowOverlap="1">
                <wp:simplePos x="0" y="0"/>
                <wp:positionH relativeFrom="column">
                  <wp:posOffset>-709295</wp:posOffset>
                </wp:positionH>
                <wp:positionV relativeFrom="paragraph">
                  <wp:posOffset>7218045</wp:posOffset>
                </wp:positionV>
                <wp:extent cx="5309870" cy="1708150"/>
                <wp:effectExtent l="0" t="19050" r="24130" b="25400"/>
                <wp:wrapNone/>
                <wp:docPr id="3" name="Rätvinklig triangel 3"/>
                <wp:cNvGraphicFramePr/>
                <a:graphic xmlns:a="http://schemas.openxmlformats.org/drawingml/2006/main">
                  <a:graphicData uri="http://schemas.microsoft.com/office/word/2010/wordprocessingShape">
                    <wps:wsp>
                      <wps:cNvSpPr/>
                      <wps:spPr>
                        <a:xfrm>
                          <a:off x="0" y="0"/>
                          <a:ext cx="5309870" cy="1708608"/>
                        </a:xfrm>
                        <a:custGeom>
                          <a:gdLst>
                            <a:gd name="connsiteX0" fmla="*/ 0 w 3391535"/>
                            <a:gd name="connsiteY0" fmla="*/ 1594485 h 1594485"/>
                            <a:gd name="connsiteX1" fmla="*/ 0 w 3391535"/>
                            <a:gd name="connsiteY1" fmla="*/ 0 h 1594485"/>
                            <a:gd name="connsiteX2" fmla="*/ 3391535 w 3391535"/>
                            <a:gd name="connsiteY2" fmla="*/ 1594485 h 1594485"/>
                            <a:gd name="connsiteX3" fmla="*/ 0 w 3391535"/>
                            <a:gd name="connsiteY3" fmla="*/ 1594485 h 1594485"/>
                            <a:gd name="connsiteX0" fmla="*/ 0 w 3391535"/>
                            <a:gd name="connsiteY0" fmla="*/ 1594485 h 1594485"/>
                            <a:gd name="connsiteX1" fmla="*/ 0 w 3391535"/>
                            <a:gd name="connsiteY1" fmla="*/ 0 h 1594485"/>
                            <a:gd name="connsiteX2" fmla="*/ 1520456 w 3391535"/>
                            <a:gd name="connsiteY2" fmla="*/ 733646 h 1594485"/>
                            <a:gd name="connsiteX3" fmla="*/ 3391535 w 3391535"/>
                            <a:gd name="connsiteY3" fmla="*/ 1594485 h 1594485"/>
                            <a:gd name="connsiteX4" fmla="*/ 0 w 3391535"/>
                            <a:gd name="connsiteY4" fmla="*/ 1594485 h 1594485"/>
                            <a:gd name="connsiteX0" fmla="*/ 0 w 3391535"/>
                            <a:gd name="connsiteY0" fmla="*/ 1594485 h 1594485"/>
                            <a:gd name="connsiteX1" fmla="*/ 0 w 3391535"/>
                            <a:gd name="connsiteY1" fmla="*/ 0 h 1594485"/>
                            <a:gd name="connsiteX2" fmla="*/ 1520456 w 3391535"/>
                            <a:gd name="connsiteY2" fmla="*/ 733646 h 1594485"/>
                            <a:gd name="connsiteX3" fmla="*/ 3391535 w 3391535"/>
                            <a:gd name="connsiteY3" fmla="*/ 1594485 h 1594485"/>
                            <a:gd name="connsiteX4" fmla="*/ 0 w 3391535"/>
                            <a:gd name="connsiteY4" fmla="*/ 1594485 h 1594485"/>
                            <a:gd name="connsiteX0" fmla="*/ 0 w 3391535"/>
                            <a:gd name="connsiteY0" fmla="*/ 1594485 h 1594485"/>
                            <a:gd name="connsiteX1" fmla="*/ 0 w 3391535"/>
                            <a:gd name="connsiteY1" fmla="*/ 0 h 1594485"/>
                            <a:gd name="connsiteX2" fmla="*/ 1520456 w 3391535"/>
                            <a:gd name="connsiteY2" fmla="*/ 733646 h 1594485"/>
                            <a:gd name="connsiteX3" fmla="*/ 3391535 w 3391535"/>
                            <a:gd name="connsiteY3" fmla="*/ 1594485 h 1594485"/>
                            <a:gd name="connsiteX4" fmla="*/ 0 w 3391535"/>
                            <a:gd name="connsiteY4" fmla="*/ 1594485 h 1594485"/>
                            <a:gd name="connsiteX0" fmla="*/ 0 w 3391535"/>
                            <a:gd name="connsiteY0" fmla="*/ 1594485 h 1594485"/>
                            <a:gd name="connsiteX1" fmla="*/ 0 w 3391535"/>
                            <a:gd name="connsiteY1" fmla="*/ 0 h 1594485"/>
                            <a:gd name="connsiteX2" fmla="*/ 3391535 w 3391535"/>
                            <a:gd name="connsiteY2" fmla="*/ 489097 h 1594485"/>
                            <a:gd name="connsiteX3" fmla="*/ 3391535 w 3391535"/>
                            <a:gd name="connsiteY3" fmla="*/ 1594485 h 1594485"/>
                            <a:gd name="connsiteX4" fmla="*/ 0 w 3391535"/>
                            <a:gd name="connsiteY4" fmla="*/ 1594485 h 1594485"/>
                          </a:gdLst>
                          <a:cxnLst>
                            <a:cxn ang="0">
                              <a:pos x="connsiteX0" y="connsiteY0"/>
                            </a:cxn>
                            <a:cxn ang="0">
                              <a:pos x="connsiteX1" y="connsiteY1"/>
                            </a:cxn>
                            <a:cxn ang="0">
                              <a:pos x="connsiteX2" y="connsiteY2"/>
                            </a:cxn>
                            <a:cxn ang="0">
                              <a:pos x="connsiteX3" y="connsiteY3"/>
                            </a:cxn>
                            <a:cxn ang="0">
                              <a:pos x="connsiteX4" y="connsiteY4"/>
                            </a:cxn>
                          </a:cxnLst>
                          <a:rect l="l" t="t" r="r" b="b"/>
                          <a:pathLst>
                            <a:path w="3391535" h="1594485">
                              <a:moveTo>
                                <a:pt x="0" y="1594485"/>
                              </a:moveTo>
                              <a:lnTo>
                                <a:pt x="0" y="0"/>
                              </a:lnTo>
                              <a:lnTo>
                                <a:pt x="3391535" y="489097"/>
                              </a:lnTo>
                              <a:lnTo>
                                <a:pt x="3391535" y="1594485"/>
                              </a:lnTo>
                              <a:lnTo>
                                <a:pt x="0" y="1594485"/>
                              </a:lnTo>
                              <a:close/>
                            </a:path>
                          </a:pathLst>
                        </a:custGeom>
                        <a:solidFill>
                          <a:srgbClr val="00497B"/>
                        </a:solidFill>
                        <a:ln>
                          <a:solidFill>
                            <a:srgbClr val="00497B"/>
                          </a:solidFill>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Rätvinklig triangel 3" o:spid="_x0000_s1029" style="position:absolute;width:418.1pt;height:134.5pt;z-index:251665411;mso-wrap-distance-left:9pt;mso-wrap-distance-top:0pt;mso-wrap-distance-right:9pt;mso-wrap-distance-bottom:0pt;margin-left:-55.85pt;margin-top:568.35pt;mso-position-horizontal:absolute;mso-position-horizontal-relative:text;mso-position-vertical:absolute;mso-position-vertical-relative:text;v-text-anchor:middle" o:allowincell="t" fillcolor="#00497B" strokecolor="#00497B" strokeweight="1pt" stroked="t" coordsize="8362,2690" path="m0,1594485l,,3391535,489097,3391535,1594485,,1594485,xe">
                <v:textbox inset="3mm,1mm,3mm,1mm">
                  <w:txbxContent>
                    <w:p/>
                  </w:txbxContent>
                </v:textbox>
              </v:shape>
            </w:pict>
          </mc:Fallback>
        </mc:AlternateContent>
      </w:r>
      <w:r>
        <w:rPr>
          <w:noProof w:val="1"/>
          <w:highlight w:val="yellow"/>
        </w:rPr>
        <w:drawing>
          <wp:anchor xmlns:wp="http://schemas.openxmlformats.org/drawingml/2006/wordprocessingDrawing" distT="0" distB="0" distL="114300" distR="114300" simplePos="0" relativeHeight="7" behindDoc="0" locked="0" layoutInCell="1" allowOverlap="1">
            <wp:simplePos x="0" y="0"/>
            <wp:positionH relativeFrom="column">
              <wp:posOffset>4839970</wp:posOffset>
            </wp:positionH>
            <wp:positionV relativeFrom="paragraph">
              <wp:posOffset>7927340</wp:posOffset>
            </wp:positionV>
            <wp:extent cx="1481455" cy="808990"/>
            <wp:effectExtent l="0" t="0" r="4445" b="0"/>
            <wp:wrapNone/>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pic:cNvPicPr>
                      <a:picLocks noChangeAspect="1"/>
                    </pic:cNvPicPr>
                  </pic:nvPicPr>
                  <pic:blipFill dpi="0">
                    <a:blip xmlns:r="http://schemas.openxmlformats.org/officeDocument/2006/relationships" r:embed="Relimage2" cstate="print"/>
                    <a:srcRect/>
                    <a:stretch>
                      <a:fillRect/>
                    </a:stretch>
                  </pic:blipFill>
                  <pic:spPr>
                    <a:xfrm>
                      <a:off x="0" y="0"/>
                      <a:ext cx="1481455" cy="808990"/>
                    </a:xfrm>
                    <a:prstGeom prst="rect"/>
                  </pic:spPr>
                </pic:pic>
              </a:graphicData>
            </a:graphic>
          </wp:anchor>
        </w:drawing>
      </w:r>
      <w:r>
        <w:rPr>
          <w:noProof w:val="1"/>
        </w:rPr>
        <w:br w:type="page"/>
      </w:r>
    </w:p>
    <w:p>
      <w:pPr>
        <w:pStyle w:val="P18"/>
        <w:outlineLvl w:val="9"/>
        <w:rPr>
          <w:noProof w:val="1"/>
        </w:rPr>
      </w:pPr>
      <w:r>
        <w:rPr>
          <w:noProof w:val="1"/>
        </w:rPr>
        <w:t>Innehåll</w:t>
      </w:r>
    </w:p>
    <w:p>
      <w:pPr>
        <w:pStyle w:val="P10"/>
        <w:tabs>
          <w:tab w:val="right" w:pos="9016" w:leader="dot"/>
        </w:tabs>
        <w:rPr>
          <w:rFonts w:asciiTheme="minorHAnsi" w:hAnsiTheme="minorHAnsi" w:cstheme="minorBidi" w:eastAsiaTheme="minorEastAsia"/>
          <w:noProof w:val="1"/>
          <w:color w:val="auto"/>
          <w:sz w:val="22"/>
        </w:rPr>
      </w:pPr>
      <w:r>
        <w:rPr>
          <w:noProof w:val="1"/>
        </w:rPr>
        <w:fldChar w:fldCharType="begin"/>
      </w:r>
      <w:r>
        <w:rPr>
          <w:noProof w:val="1"/>
        </w:rPr>
        <w:instrText xml:space="preserve"> TOC \o "1-1" \h \z \u </w:instrText>
      </w:r>
      <w:r>
        <w:rPr>
          <w:noProof w:val="1"/>
        </w:rPr>
        <w:fldChar w:fldCharType="separate"/>
      </w:r>
      <w:hyperlink w:anchor="_Toc156894021">
        <w:r>
          <w:rPr>
            <w:rStyle w:val="C2"/>
            <w:noProof w:val="1"/>
            <w:lang w:bidi="sv-SE"/>
          </w:rPr>
          <w:t>I</w:t>
        </w:r>
        <w:r>
          <w:rPr>
            <w:rStyle w:val="C2"/>
            <w:noProof w:val="1"/>
          </w:rPr>
          <w:t>nledning</w:t>
        </w:r>
        <w:r>
          <w:rPr>
            <w:noProof w:val="1"/>
          </w:rPr>
          <w:tab/>
        </w:r>
        <w:r>
          <w:rPr>
            <w:noProof w:val="1"/>
          </w:rPr>
          <w:fldChar w:fldCharType="begin"/>
        </w:r>
        <w:r>
          <w:rPr>
            <w:noProof w:val="1"/>
          </w:rPr>
          <w:instrText xml:space="preserve"> PAGEREF _Toc156894021 \h </w:instrText>
        </w:r>
        <w:r>
          <w:rPr>
            <w:noProof w:val="1"/>
          </w:rPr>
          <w:fldChar w:fldCharType="separate"/>
        </w:r>
        <w:r>
          <w:rPr>
            <w:noProof w:val="1"/>
          </w:rPr>
          <w:t>3</w:t>
        </w:r>
        <w:r>
          <w:rPr>
            <w:noProof w:val="1"/>
          </w:rPr>
          <w:fldChar w:fldCharType="end"/>
        </w:r>
      </w:hyperlink>
    </w:p>
    <w:p>
      <w:pPr>
        <w:pStyle w:val="P10"/>
        <w:tabs>
          <w:tab w:val="right" w:pos="9016" w:leader="dot"/>
        </w:tabs>
        <w:rPr>
          <w:rFonts w:asciiTheme="minorHAnsi" w:hAnsiTheme="minorHAnsi" w:cstheme="minorBidi" w:eastAsiaTheme="minorEastAsia"/>
          <w:noProof w:val="1"/>
          <w:color w:val="auto"/>
          <w:sz w:val="22"/>
        </w:rPr>
      </w:pPr>
      <w:hyperlink w:anchor="_Toc156894022">
        <w:r>
          <w:rPr>
            <w:rStyle w:val="C2"/>
            <w:noProof w:val="1"/>
          </w:rPr>
          <w:t>Planförslag</w:t>
        </w:r>
        <w:r>
          <w:rPr>
            <w:noProof w:val="1"/>
          </w:rPr>
          <w:tab/>
        </w:r>
        <w:r>
          <w:rPr>
            <w:noProof w:val="1"/>
          </w:rPr>
          <w:fldChar w:fldCharType="begin"/>
        </w:r>
        <w:r>
          <w:rPr>
            <w:noProof w:val="1"/>
          </w:rPr>
          <w:instrText xml:space="preserve"> PAGEREF _Toc156894022 \h </w:instrText>
        </w:r>
        <w:r>
          <w:rPr>
            <w:noProof w:val="1"/>
          </w:rPr>
          <w:fldChar w:fldCharType="separate"/>
        </w:r>
        <w:r>
          <w:rPr>
            <w:noProof w:val="1"/>
          </w:rPr>
          <w:t>6</w:t>
        </w:r>
        <w:r>
          <w:rPr>
            <w:noProof w:val="1"/>
          </w:rPr>
          <w:fldChar w:fldCharType="end"/>
        </w:r>
      </w:hyperlink>
    </w:p>
    <w:p>
      <w:pPr>
        <w:pStyle w:val="P10"/>
        <w:tabs>
          <w:tab w:val="right" w:pos="9016" w:leader="dot"/>
        </w:tabs>
        <w:rPr>
          <w:rFonts w:asciiTheme="minorHAnsi" w:hAnsiTheme="minorHAnsi" w:cstheme="minorBidi" w:eastAsiaTheme="minorEastAsia"/>
          <w:noProof w:val="1"/>
          <w:color w:val="auto"/>
          <w:sz w:val="22"/>
        </w:rPr>
      </w:pPr>
      <w:hyperlink w:anchor="_Toc156894023">
        <w:r>
          <w:rPr>
            <w:rStyle w:val="C2"/>
            <w:noProof w:val="1"/>
          </w:rPr>
          <w:t>Motiv till regleringar</w:t>
        </w:r>
        <w:r>
          <w:rPr>
            <w:noProof w:val="1"/>
          </w:rPr>
          <w:tab/>
        </w:r>
        <w:r>
          <w:rPr>
            <w:noProof w:val="1"/>
          </w:rPr>
          <w:fldChar w:fldCharType="begin"/>
        </w:r>
        <w:r>
          <w:rPr>
            <w:noProof w:val="1"/>
          </w:rPr>
          <w:instrText xml:space="preserve"> PAGEREF _Toc156894023 \h </w:instrText>
        </w:r>
        <w:r>
          <w:rPr>
            <w:noProof w:val="1"/>
          </w:rPr>
          <w:fldChar w:fldCharType="separate"/>
        </w:r>
        <w:r>
          <w:rPr>
            <w:noProof w:val="1"/>
          </w:rPr>
          <w:t>8</w:t>
        </w:r>
        <w:r>
          <w:rPr>
            <w:noProof w:val="1"/>
          </w:rPr>
          <w:fldChar w:fldCharType="end"/>
        </w:r>
      </w:hyperlink>
    </w:p>
    <w:p>
      <w:pPr>
        <w:pStyle w:val="P10"/>
        <w:tabs>
          <w:tab w:val="right" w:pos="9016" w:leader="dot"/>
        </w:tabs>
        <w:rPr>
          <w:rFonts w:asciiTheme="minorHAnsi" w:hAnsiTheme="minorHAnsi" w:cstheme="minorBidi" w:eastAsiaTheme="minorEastAsia"/>
          <w:noProof w:val="1"/>
          <w:color w:val="auto"/>
          <w:sz w:val="22"/>
        </w:rPr>
      </w:pPr>
      <w:hyperlink w:anchor="_Toc156894024">
        <w:r>
          <w:rPr>
            <w:rStyle w:val="C2"/>
            <w:noProof w:val="1"/>
          </w:rPr>
          <w:t>Planeringsunderlag, planeringsförutsättningar och konsekvenser</w:t>
        </w:r>
        <w:r>
          <w:rPr>
            <w:noProof w:val="1"/>
          </w:rPr>
          <w:tab/>
        </w:r>
        <w:r>
          <w:rPr>
            <w:noProof w:val="1"/>
          </w:rPr>
          <w:fldChar w:fldCharType="begin"/>
        </w:r>
        <w:r>
          <w:rPr>
            <w:noProof w:val="1"/>
          </w:rPr>
          <w:instrText xml:space="preserve"> PAGEREF _Toc156894024 \h </w:instrText>
        </w:r>
        <w:r>
          <w:rPr>
            <w:noProof w:val="1"/>
          </w:rPr>
          <w:fldChar w:fldCharType="separate"/>
        </w:r>
        <w:r>
          <w:rPr>
            <w:noProof w:val="1"/>
          </w:rPr>
          <w:t>9</w:t>
        </w:r>
        <w:r>
          <w:rPr>
            <w:noProof w:val="1"/>
          </w:rPr>
          <w:fldChar w:fldCharType="end"/>
        </w:r>
      </w:hyperlink>
    </w:p>
    <w:p>
      <w:pPr>
        <w:pStyle w:val="P10"/>
        <w:tabs>
          <w:tab w:val="right" w:pos="9016" w:leader="dot"/>
        </w:tabs>
        <w:rPr>
          <w:rFonts w:asciiTheme="minorHAnsi" w:hAnsiTheme="minorHAnsi" w:cstheme="minorBidi" w:eastAsiaTheme="minorEastAsia"/>
          <w:noProof w:val="1"/>
          <w:color w:val="auto"/>
          <w:sz w:val="22"/>
        </w:rPr>
      </w:pPr>
      <w:hyperlink w:anchor="_Toc156894025">
        <w:r>
          <w:rPr>
            <w:rStyle w:val="C2"/>
            <w:noProof w:val="1"/>
          </w:rPr>
          <w:t>Genomförandefrågor</w:t>
        </w:r>
        <w:r>
          <w:rPr>
            <w:noProof w:val="1"/>
          </w:rPr>
          <w:tab/>
        </w:r>
        <w:r>
          <w:rPr>
            <w:noProof w:val="1"/>
          </w:rPr>
          <w:fldChar w:fldCharType="begin"/>
        </w:r>
        <w:r>
          <w:rPr>
            <w:noProof w:val="1"/>
          </w:rPr>
          <w:instrText xml:space="preserve"> PAGEREF _Toc156894025 \h </w:instrText>
        </w:r>
        <w:r>
          <w:rPr>
            <w:noProof w:val="1"/>
          </w:rPr>
          <w:fldChar w:fldCharType="separate"/>
        </w:r>
        <w:r>
          <w:rPr>
            <w:noProof w:val="1"/>
          </w:rPr>
          <w:t>15</w:t>
        </w:r>
        <w:r>
          <w:rPr>
            <w:noProof w:val="1"/>
          </w:rPr>
          <w:fldChar w:fldCharType="end"/>
        </w:r>
      </w:hyperlink>
    </w:p>
    <w:p>
      <w:pPr>
        <w:pStyle w:val="P10"/>
        <w:tabs>
          <w:tab w:val="right" w:pos="9016" w:leader="dot"/>
        </w:tabs>
        <w:rPr>
          <w:rFonts w:asciiTheme="minorHAnsi" w:hAnsiTheme="minorHAnsi" w:cstheme="minorBidi" w:eastAsiaTheme="minorEastAsia"/>
          <w:noProof w:val="1"/>
          <w:color w:val="auto"/>
          <w:sz w:val="22"/>
        </w:rPr>
      </w:pPr>
      <w:hyperlink w:anchor="_Toc156894026">
        <w:r>
          <w:rPr>
            <w:rStyle w:val="C2"/>
            <w:noProof w:val="1"/>
            <w:shd w:val="clear" w:color="auto" w:fill="FFFFFF"/>
          </w:rPr>
          <w:t>Medverkande</w:t>
        </w:r>
        <w:r>
          <w:rPr>
            <w:noProof w:val="1"/>
          </w:rPr>
          <w:tab/>
        </w:r>
        <w:r>
          <w:rPr>
            <w:noProof w:val="1"/>
          </w:rPr>
          <w:fldChar w:fldCharType="begin"/>
        </w:r>
        <w:r>
          <w:rPr>
            <w:noProof w:val="1"/>
          </w:rPr>
          <w:instrText xml:space="preserve"> PAGEREF _Toc156894026 \h </w:instrText>
        </w:r>
        <w:r>
          <w:rPr>
            <w:noProof w:val="1"/>
          </w:rPr>
          <w:fldChar w:fldCharType="separate"/>
        </w:r>
        <w:r>
          <w:rPr>
            <w:noProof w:val="1"/>
          </w:rPr>
          <w:t>17</w:t>
        </w:r>
        <w:r>
          <w:rPr>
            <w:noProof w:val="1"/>
          </w:rPr>
          <w:fldChar w:fldCharType="end"/>
        </w:r>
      </w:hyperlink>
    </w:p>
    <w:p>
      <w:pPr>
        <w:rPr>
          <w:noProof w:val="1"/>
        </w:rPr>
      </w:pPr>
      <w:r>
        <w:rPr>
          <w:noProof w:val="1"/>
        </w:rPr>
        <w:fldChar w:fldCharType="end"/>
      </w:r>
    </w:p>
    <w:p>
      <w:pPr>
        <w:pStyle w:val="P18"/>
        <w:rPr>
          <w:noProof w:val="1"/>
        </w:rPr>
      </w:pPr>
      <w:bookmarkStart w:id="0" w:name="_Toc156894021"/>
      <w:r>
        <w:rPr>
          <w:noProof w:val="1"/>
          <w:lang w:bidi="sv-SE"/>
        </w:rPr>
        <w:t>I</w:t>
      </w:r>
      <w:r>
        <w:rPr>
          <w:noProof w:val="1"/>
        </w:rPr>
        <w:t>nledning</w:t>
      </w:r>
      <w:bookmarkEnd w:id="0"/>
    </w:p>
    <w:p>
      <w:pPr>
        <w:pStyle w:val="P19"/>
        <w:rPr>
          <w:noProof w:val="1"/>
          <w:shd w:val="clear" w:color="auto" w:fill="FFFFFF"/>
        </w:rPr>
      </w:pPr>
      <w:bookmarkStart w:id="1" w:name="be_annat01"/>
      <w:bookmarkStart w:id="2" w:name="_Toc89445976"/>
      <w:r>
        <w:rPr>
          <w:noProof w:val="1"/>
          <w:shd w:val="clear" w:color="auto" w:fill="FFFFFF"/>
          <w:lang w:bidi="sv-SE"/>
        </w:rPr>
        <w:t>Bakgrund, ansökan och u</w:t>
      </w:r>
      <w:r>
        <w:rPr>
          <w:noProof w:val="1"/>
          <w:shd w:val="clear" w:color="auto" w:fill="FFFFFF"/>
        </w:rPr>
        <w:t>ppdrag</w:t>
      </w:r>
    </w:p>
    <w:p>
      <w:r>
        <w:t>I västra delen av Hällekis ligger sedan 1970-talet Paroc som tillverkar stenullsisolering. Verksamheten är inne i ett utvecklingssprång. För att möjliggöra utvecklingen, där byggnation av en el-ugn som ska ta ner företagets utsläpp av koldioxid ingår, genomfördes under 2021-2022 en detaljplaneprocess och en ny detaljplan antogs och vann laga kraft. Detaljplanen styr bland annat nockhöjd på byggnaderna, vilken varierar i olika delar av planområdet. Även storleken av byggnadsarea för byggnadsdelar högre än 25 meter styrs.</w:t>
      </w:r>
    </w:p>
    <w:p>
      <w:r>
        <w:t>När nästa fas i utbyggnaden nu sker är detaljplanen för begränsande för verksamheten. De byggnadsdelar som överstiger 25 meter behöver kunna placeras inom fler delar av planområdet. En av de högre byggnaderna är för en el-ugn, som för att kunna nyttja fler av de befintliga delarna av verksamheten behöver placeras inom annan del inom planområdet än först avsett.</w:t>
      </w:r>
    </w:p>
    <w:p>
      <w:r>
        <w:t>Som en följd av ovan ansökte Paroc om planbesked för att ändra den gällande detaljplanen och på så vis möjliggöra för fler utbyggnadsmöjligheter för verksamheten inom fastigheten. Kommunstyrelsens arbetsutskott beslutade 2023-08-23 att ge positivt planbesked och att ge sektor samhällsbyggnad i uppdrag att ta fram en ändring av detaljplanen.</w:t>
      </w:r>
    </w:p>
    <w:p>
      <w:pPr>
        <w:pStyle w:val="P19"/>
        <w:rPr>
          <w:noProof w:val="1"/>
        </w:rPr>
      </w:pPr>
      <w:bookmarkEnd w:id="1"/>
      <w:bookmarkStart w:id="3" w:name="sy_syfte01"/>
      <w:r>
        <w:rPr>
          <w:noProof w:val="1"/>
        </w:rPr>
        <w:t>Detaljplaneändringens syfte</w:t>
      </w:r>
    </w:p>
    <w:p>
      <w:pPr>
        <w:rPr>
          <w:noProof w:val="1"/>
          <w:lang w:bidi="sv-SE"/>
        </w:rPr>
      </w:pPr>
      <w:r>
        <w:rPr>
          <w:noProof w:val="1"/>
          <w:lang w:bidi="sv-SE"/>
        </w:rPr>
        <w:t xml:space="preserve">Syftet med planändringen är att </w:t>
      </w:r>
      <w:bookmarkStart w:id="4" w:name="_dx_frag_StartFragment"/>
      <w:bookmarkEnd w:id="4"/>
      <w:bookmarkStart w:id="5" w:name="_dx_frag_EndFragment"/>
      <w:bookmarkEnd w:id="5"/>
      <w:r>
        <w:rPr>
          <w:noProof w:val="1"/>
          <w:lang w:bidi="sv-SE"/>
        </w:rPr>
        <w:t>möjliggöra en ändamålsenlig utveckling av befintlig industri anpassad till omgivningens höga kulturmiljövärden. Ändringen ska skapa en större rörelsefrihet för industrins utveckling.</w:t>
      </w:r>
    </w:p>
    <w:p>
      <w:pPr>
        <w:pStyle w:val="P19"/>
        <w:rPr>
          <w:noProof w:val="1"/>
          <w:shd w:val="clear" w:color="auto" w:fill="FFFFFF"/>
          <w:lang w:bidi="sv-SE"/>
        </w:rPr>
      </w:pPr>
      <w:bookmarkEnd w:id="3"/>
      <w:r>
        <w:rPr>
          <w:noProof w:val="1"/>
          <w:shd w:val="clear" w:color="auto" w:fill="FFFFFF"/>
          <w:lang w:bidi="sv-SE"/>
        </w:rPr>
        <w:t>Plandata</w:t>
      </w:r>
    </w:p>
    <w:p>
      <w:pPr>
        <w:rPr>
          <w:noProof w:val="1"/>
          <w:shd w:val="clear" w:color="auto" w:fill="FFFFFF"/>
          <w:lang w:bidi="sv-SE"/>
        </w:rPr>
      </w:pPr>
      <w:bookmarkStart w:id="6" w:name="be_heladetaljplan01"/>
      <w:r>
        <w:rPr>
          <w:noProof w:val="1"/>
          <w:shd w:val="clear" w:color="auto" w:fill="FFFFFF"/>
          <w:lang w:bidi="sv-SE"/>
        </w:rPr>
        <w:t>Planändringsområdet är cirka 2,6 hektar. Hela det ursprungliga planområdet är cirka 23 hektar. Området består av ett befintligt industriområde som funnits på platsen sedan 1970</w:t>
      </w:r>
      <w:r>
        <w:rPr>
          <w:noProof w:val="1"/>
          <w:shd w:val="clear" w:color="auto" w:fill="FFFFFF"/>
          <w:lang w:bidi="sv-SE"/>
        </w:rPr>
        <w:noBreakHyphen/>
      </w:r>
      <w:r>
        <w:rPr>
          <w:noProof w:val="1"/>
          <w:shd w:val="clear" w:color="auto" w:fill="FFFFFF"/>
          <w:lang w:bidi="sv-SE"/>
        </w:rPr>
        <w:t>talet och utgör en del av ett större sammanhängande industriområde beläget strax nordväst om Hällekis centrala delar mot Vänern. Minsta avståndet från planändringen till befintlig bostadsbebyggelse är cirka 340 meter.</w:t>
      </w:r>
    </w:p>
    <w:p>
      <w:pPr>
        <w:rPr>
          <w:noProof w:val="1"/>
          <w:shd w:val="clear" w:color="auto" w:fill="FFFFFF"/>
          <w:lang w:bidi="sv-SE"/>
        </w:rPr>
      </w:pPr>
      <w:r>
        <w:rPr>
          <w:noProof w:val="1"/>
          <w:shd w:val="clear" w:color="auto" w:fill="FFFFFF"/>
          <w:lang w:bidi="sv-SE"/>
        </w:rPr>
        <w:t>Det ursprungliga planområdet gränsar till Natura 2000-området Kinnekulle i väster och 50 meter in i planområdet går gränsen för Naturreservatet Hönsäter sjöskog. Planändringen ligger på ett avstånd om cirka 200 meter respektive 150 meter öster om dessa områden.</w:t>
      </w:r>
    </w:p>
    <w:p>
      <w:pPr>
        <w:pStyle w:val="P19"/>
        <w:rPr>
          <w:strike w:val="1"/>
          <w:noProof w:val="1"/>
        </w:rPr>
      </w:pPr>
      <w:bookmarkEnd w:id="2"/>
      <w:bookmarkEnd w:id="6"/>
      <w:bookmarkStart w:id="7" w:name="be_ärendeinformation04"/>
      <w:r>
        <w:rPr>
          <w:noProof w:val="1"/>
        </w:rPr>
        <w:t>Planprocessen</w:t>
      </w:r>
    </w:p>
    <w:p>
      <w:pPr>
        <w:rPr>
          <w:noProof w:val="1"/>
          <w:shd w:val="clear" w:color="auto" w:fill="FFFFFF"/>
        </w:rPr>
      </w:pPr>
      <w:bookmarkEnd w:id="7"/>
      <w:bookmarkStart w:id="8" w:name="be_ärendeinformation05"/>
      <w:r>
        <w:rPr>
          <w:noProof w:val="1"/>
          <w:shd w:val="clear" w:color="auto" w:fill="FFFFFF"/>
        </w:rPr>
        <w:t>Ändring av detaljplanen upprättas med standardförfarande i enlighet med PBL 2010:900, BFS 2020:5. Standardförfarande används i de flesta fall för att ta fram en detaljplan. Detaljplanen ska vara förenlig med översiktsplanen och länsstyrelsens granskningsutlåtande, inte vara av betydande intresse för allmänheten eller i övrigt av stor betydelse och den får inte antas medföra betydande miljöpåverkan om ett standardförfarande ska kunna användas.</w:t>
      </w:r>
    </w:p>
    <w:p>
      <w:pPr>
        <w:rPr>
          <w:noProof w:val="1"/>
          <w:shd w:val="clear" w:color="auto" w:fill="FFFFFF"/>
        </w:rPr>
      </w:pPr>
      <w:r>
        <w:rPr>
          <w:noProof w:val="1"/>
          <w:shd w:val="clear" w:color="auto" w:fill="FFFFFF"/>
        </w:rPr>
        <w:t>När planförslaget berör en åtgärd av mindre betydelse och samrådskretsen är liten kan standardförfarandet begränsas så att förslaget godkänns under samrådet. Det är då inte nödvändigt att genomföra en granskning utan förslaget kan antas direkt efter samrådet.</w:t>
      </w:r>
    </w:p>
    <w:p>
      <w:pPr>
        <w:rPr>
          <w:noProof w:val="1"/>
          <w:shd w:val="clear" w:color="auto" w:fill="FFFFFF"/>
        </w:rPr>
      </w:pPr>
      <w:r>
        <w:rPr>
          <w:noProof w:val="1"/>
          <w:shd w:val="clear" w:color="auto" w:fill="FFFFFF"/>
        </w:rPr>
        <w:t xml:space="preserve">Aktuellt planskede är </w:t>
      </w:r>
      <w:r>
        <w:rPr>
          <w:noProof w:val="1"/>
          <w:shd w:val="clear" w:color="auto" w:fill="FFFFFF"/>
          <w:rtl w:val="0"/>
          <w:lang w:val="sv-SE" w:bidi="sv-SE" w:eastAsia="sv-SE"/>
        </w:rPr>
        <w:t>laga kraft</w:t>
      </w:r>
      <w:r>
        <w:rPr>
          <w:noProof w:val="1"/>
          <w:shd w:val="clear" w:color="auto" w:fill="FFFFFF"/>
        </w:rPr>
        <w:t>.</w:t>
      </w:r>
    </w:p>
    <w:p>
      <w:pPr>
        <w:rPr>
          <w:noProof w:val="1"/>
        </w:rPr>
      </w:pPr>
      <w:r>
        <w:rPr>
          <w:noProof w:val="1"/>
          <w:shd w:val="clear" w:color="auto" w:fill="FFFFFF"/>
        </w:rPr>
        <w:drawing>
          <wp:anchor xmlns:wp="http://schemas.openxmlformats.org/drawingml/2006/wordprocessingDrawing" distT="0" distB="0" distL="0" distR="0" simplePos="0" relativeHeight="0" behindDoc="0" locked="0" layoutInCell="0" allowOverlap="0">
            <wp:simplePos x="0" y="0"/>
            <wp:positionH relativeFrom="column">
              <wp:posOffset>28575</wp:posOffset>
            </wp:positionH>
            <wp:positionV relativeFrom="paragraph">
              <wp:posOffset>38735</wp:posOffset>
            </wp:positionV>
            <wp:extent cx="5750560" cy="707390"/>
            <wp:effectExtent l="0" t="0" r="0" b="0"/>
            <wp:wrapTopAndBottom/>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
                    <pic:cNvPicPr>
                      <a:picLocks noChangeAspect="1"/>
                    </pic:cNvPicPr>
                  </pic:nvPicPr>
                  <pic:blipFill dpi="0">
                    <a:blip xmlns:r="http://schemas.openxmlformats.org/officeDocument/2006/relationships" r:embed="Relimage3"/>
                    <a:srcRect/>
                    <a:stretch>
                      <a:fillRect/>
                    </a:stretch>
                  </pic:blipFill>
                  <pic:spPr>
                    <a:xfrm>
                      <a:off x="0" y="0"/>
                      <a:ext cx="5750560" cy="707390"/>
                    </a:xfrm>
                    <a:prstGeom prst="rect"/>
                    <a:noFill/>
                    <a:ln>
                      <a:noFill/>
                    </a:ln>
                  </pic:spPr>
                </pic:pic>
              </a:graphicData>
            </a:graphic>
          </wp:anchor>
        </w:drawing>
      </w:r>
    </w:p>
    <w:p>
      <w:pPr>
        <w:pStyle w:val="P20"/>
        <w:rPr>
          <w:noProof w:val="1"/>
        </w:rPr>
      </w:pPr>
      <w:bookmarkEnd w:id="8"/>
      <w:bookmarkStart w:id="9" w:name="be_varförändringavdetaljplanvalts02"/>
      <w:r>
        <w:rPr>
          <w:noProof w:val="1"/>
        </w:rPr>
        <w:t>Varför ändring har valts</w:t>
      </w:r>
      <w:bookmarkEnd w:id="9"/>
    </w:p>
    <w:p>
      <w:pPr>
        <w:rPr>
          <w:noProof w:val="1"/>
          <w:shd w:val="clear" w:color="auto" w:fill="FFFFFF"/>
        </w:rPr>
      </w:pPr>
      <w:bookmarkStart w:id="10" w:name="be_varförändringavdetaljplanvalts01"/>
      <w:r>
        <w:rPr>
          <w:noProof w:val="1"/>
          <w:shd w:val="clear" w:color="auto" w:fill="FFFFFF"/>
        </w:rPr>
        <w:t>En ändring av en detaljplan kan användas för att anpassa planen till nya förhållanden och hålla den aktuell utan att genomföra hela den lämplighetsbedömning som görs vid upprättandet av en ny plan. Det finns i lagen ingen uttalad gräns för vad som kan göras inom ramen för en ändring. Ändringen ska dock uppfylla plan- och bygglagens, PBL, krav på tydlighet och rymmas inom syftet för den ursprungliga detaljplanen. Det är kommunen som avgör om det är lämpligt att använda sig av ändring av detaljplan i ett enskilt fall.</w:t>
      </w:r>
    </w:p>
    <w:p>
      <w:pPr>
        <w:rPr>
          <w:noProof w:val="1"/>
          <w:shd w:val="clear" w:color="auto" w:fill="FFFFFF"/>
        </w:rPr>
      </w:pPr>
      <w:r>
        <w:rPr>
          <w:noProof w:val="1"/>
          <w:shd w:val="clear" w:color="auto" w:fill="FFFFFF"/>
        </w:rPr>
        <w:t xml:space="preserve">Den ursprungliga planen syftar till att möjliggöra en ändamålsenlig utveckling och utökning av befintlig industri, anpassad till omgivningens höga natur- och kulturmiljövärden. </w:t>
      </w:r>
    </w:p>
    <w:p>
      <w:pPr>
        <w:rPr>
          <w:noProof w:val="1"/>
          <w:shd w:val="clear" w:color="auto" w:fill="FFFFFF"/>
        </w:rPr>
      </w:pPr>
      <w:r>
        <w:rPr>
          <w:noProof w:val="1"/>
          <w:shd w:val="clear" w:color="auto" w:fill="FFFFFF"/>
        </w:rPr>
        <w:t xml:space="preserve">Ett planändringsförfarande har valts utifrån motivet att de justeringar som krävs och föreslås inom området även fortsatt följer den ursprunliga planens syfte och struktur. Planändringen bedöms inte skapa behov av att genomföra hela den lämplighetsbedöming som görs vid upprättandet av en ny plan eftersom den inte förändrar områdets markanvändning. </w:t>
      </w:r>
    </w:p>
    <w:p>
      <w:pPr>
        <w:pStyle w:val="P20"/>
        <w:rPr>
          <w:noProof w:val="1"/>
          <w:shd w:val="clear" w:color="auto" w:fill="FFFFFF"/>
        </w:rPr>
      </w:pPr>
      <w:r>
        <w:rPr>
          <w:noProof w:val="1"/>
          <w:shd w:val="clear" w:color="auto" w:fill="FFFFFF"/>
        </w:rPr>
        <w:t>Upplysning</w:t>
      </w:r>
    </w:p>
    <w:p>
      <w:r>
        <w:t>Vid en ändring av detaljplan, liksom vid all planläggning, är utgångspunkten lämplighetsprövning enligt 2 kapitlet plan- och bygglagen, PBL. Vid ändring av detaljplan görs dock inte någon fullständig lämplighets- och lokaliseringsprövning. Prövningen ska enbart omfatta den eller de planbestämmelser som läggs till, justeras eller tas bort. Övriga delar av planen är redan prövade i samband med den ursprungliga planläggningen och behöver därför inte prövas på nytt.</w:t>
      </w:r>
    </w:p>
    <w:p>
      <w:r>
        <w:t>När en detaljplan ändras ska den ändrade detaljplanens planbeskrivning kompletteras med en beskrivning av ändringen.</w:t>
      </w:r>
    </w:p>
    <w:p>
      <w:pPr>
        <w:pStyle w:val="P20"/>
        <w:rPr>
          <w:noProof w:val="1"/>
        </w:rPr>
      </w:pPr>
      <w:bookmarkEnd w:id="10"/>
      <w:bookmarkStart w:id="11" w:name="be_ärendeinformation01"/>
      <w:r>
        <w:rPr>
          <w:noProof w:val="1"/>
        </w:rPr>
        <w:t>Planhandlingar</w:t>
      </w:r>
    </w:p>
    <w:p>
      <w:r>
        <w:t xml:space="preserve">Till ändringen finns följande framtaget: </w:t>
      </w:r>
    </w:p>
    <w:p>
      <w:pPr>
        <w:pStyle w:val="P25"/>
        <w:numPr>
          <w:ilvl w:val="0"/>
          <w:numId w:val="16"/>
        </w:numPr>
        <w:ind w:left="284"/>
      </w:pPr>
      <w:r>
        <w:rPr>
          <w:b w:val="1"/>
        </w:rPr>
        <w:t>Plankarta med bestämmelser</w:t>
      </w:r>
      <w:r>
        <w:t>. Av plankarta med bestämmelser framgår detaljplanens bindande föreskrifter.</w:t>
      </w:r>
    </w:p>
    <w:p>
      <w:pPr>
        <w:pStyle w:val="P25"/>
        <w:numPr>
          <w:ilvl w:val="0"/>
          <w:numId w:val="16"/>
        </w:numPr>
        <w:ind w:left="284"/>
      </w:pPr>
      <w:r>
        <w:rPr>
          <w:b w:val="1"/>
        </w:rPr>
        <w:t>Planbeskrivning</w:t>
      </w:r>
      <w:r>
        <w:t xml:space="preserve"> (denna handling) med genomförandebeskrivning. Planbeskrivningen har ingen rättsverkan. Avsikten med beskrivningen är att vara vägledande i bedömning och vid genomförandet av detaljplanen.</w:t>
      </w:r>
    </w:p>
    <w:p>
      <w:pPr>
        <w:pStyle w:val="P25"/>
        <w:numPr>
          <w:ilvl w:val="0"/>
          <w:numId w:val="16"/>
        </w:numPr>
        <w:ind w:left="284"/>
        <w:rPr>
          <w:b w:val="1"/>
        </w:rPr>
      </w:pPr>
      <w:r>
        <w:rPr>
          <w:b w:val="1"/>
        </w:rPr>
        <w:t>Fastighetsförteckning</w:t>
      </w:r>
    </w:p>
    <w:p>
      <w:r>
        <w:t>Planbeskrivningen har ingen rättsverkan. Detaljplanens bindande föreskrifter framgår av plankarta och planbestämmelser. Avsikten med beskrivningen är att vara vägledande i bedömning och vid genomförandet av detaljplanen.</w:t>
      </w:r>
    </w:p>
    <w:p>
      <w:pPr>
        <w:pStyle w:val="P18"/>
        <w:rPr>
          <w:noProof w:val="1"/>
        </w:rPr>
      </w:pPr>
      <w:bookmarkEnd w:id="11"/>
      <w:bookmarkStart w:id="12" w:name="_Toc156894022"/>
      <w:bookmarkStart w:id="13" w:name="_Toc89445991"/>
      <w:bookmarkStart w:id="14" w:name="_Toc101363495"/>
      <w:r>
        <w:rPr>
          <w:noProof w:val="1"/>
        </w:rPr>
        <w:t>Planförslag</w:t>
      </w:r>
      <w:bookmarkEnd w:id="12"/>
    </w:p>
    <w:p>
      <w:pPr>
        <w:pStyle w:val="P19"/>
        <w:rPr>
          <w:noProof w:val="1"/>
        </w:rPr>
      </w:pPr>
      <w:r>
        <w:rPr>
          <w:noProof w:val="1"/>
        </w:rPr>
        <w:t>Allmän plats</w:t>
      </w:r>
    </w:p>
    <w:p>
      <w:pPr>
        <w:rPr>
          <w:noProof w:val="1"/>
        </w:rPr>
      </w:pPr>
      <w:bookmarkStart w:id="15" w:name="be_allmänplats01"/>
      <w:bookmarkStart w:id="16" w:name="Kartlänk_03"/>
      <w:r>
        <w:rPr>
          <w:noProof w:val="1"/>
          <w:shd w:val="clear" w:color="auto" w:fill="FFFFFF"/>
        </w:rPr>
        <w:t>Planändringen innehåller ingen allmän plats.</w:t>
      </w:r>
    </w:p>
    <w:p>
      <w:pPr>
        <w:pStyle w:val="P19"/>
        <w:rPr>
          <w:noProof w:val="1"/>
        </w:rPr>
      </w:pPr>
      <w:bookmarkEnd w:id="15"/>
      <w:r>
        <w:rPr>
          <w:noProof w:val="1"/>
        </w:rPr>
        <w:t>Kvartersmark</w:t>
      </w:r>
    </w:p>
    <w:p>
      <w:pPr>
        <w:rPr>
          <w:noProof w:val="1"/>
          <w:shd w:val="clear" w:color="auto" w:fill="FFFFFF"/>
        </w:rPr>
      </w:pPr>
      <w:bookmarkStart w:id="17" w:name="be_kvartersmark01"/>
      <w:r>
        <w:rPr>
          <w:noProof w:val="1"/>
          <w:shd w:val="clear" w:color="auto" w:fill="FFFFFF"/>
        </w:rPr>
        <w:t>Planändringen omfattar kvartersmark för industri, där användningen kvarstår inom hela ändringsområdet. För att skapa fler möjligheter till utveckling av befintlig verksamhet föreslås att det östra av de två egenskapsområdena med högsta nockhöjd på 35 meter slås samman med egenskapsområdet väster om detta med en högsta nockhöjd på 25 meter. Högsta nockhöjden föreslås regleras till 38 meter. I det norra området idag reglerat med högsta nockhöjd på 35 meter föreslås nockhöjden ökas till 38 meter. Reglering av hur stor byggnadsarea byggnader/byggnadsdelar över 25 meter får ha avses vara kvar.</w:t>
      </w:r>
    </w:p>
    <w:p>
      <w:pPr>
        <w:rPr>
          <w:noProof w:val="1"/>
          <w:shd w:val="clear" w:color="auto" w:fill="FFFFFF"/>
        </w:rPr>
      </w:pPr>
      <w:r>
        <w:rPr>
          <w:noProof w:val="1"/>
          <w:shd w:val="clear" w:color="auto" w:fill="FFFFFF"/>
        </w:rPr>
        <w:t>På nästa sida i figur 1 och 2 visas del av ursprunliga plankartan och del av den ändrade plankartan för att tydliggöra vilka ändringar som gjorts i plankartan. Nedan i nästa kapitel följer en beskrivning av vilka bestämmelser som läggs till, ändras och tas bort.</w:t>
      </w:r>
    </w:p>
    <w:p>
      <w:pPr>
        <w:pStyle w:val="P19"/>
        <w:rPr>
          <w:noProof w:val="1"/>
        </w:rPr>
      </w:pPr>
      <w:bookmarkEnd w:id="17"/>
      <w:bookmarkStart w:id="18" w:name="be_genomförandetid01"/>
      <w:r>
        <w:rPr>
          <w:noProof w:val="1"/>
        </w:rPr>
        <w:t>Genomförandetid</w:t>
      </w:r>
    </w:p>
    <w:p>
      <w:pPr>
        <w:rPr>
          <w:noProof w:val="1"/>
        </w:rPr>
      </w:pPr>
      <w:r>
        <w:rPr>
          <w:noProof w:val="1"/>
        </w:rPr>
        <w:t>Genomförandetiden för ursprungsplanen gäller till och med 2027-11-30. Då ändringen genomförs inom gällande detaljplans genomförandetid får de ändrade bestämmelserna samma genomförandetid som detaljplanen, dvs till och med 2027-11-30. Genomförandetiden för ändringen startar när beslut att anta ändringen vinner laga kraft.</w:t>
      </w:r>
    </w:p>
    <w:p>
      <w:pPr>
        <w:rPr>
          <w:noProof w:val="1"/>
        </w:rPr>
      </w:pPr>
      <w:r>
        <w:rPr>
          <w:noProof w:val="1"/>
          <w:color w:val="auto"/>
        </w:rPr>
        <w:t xml:space="preserve">Bygglov får inte lämnas med stöd av denna ändring innan genomförandetiden har startat. </w:t>
      </w:r>
      <w:r>
        <w:rPr>
          <w:noProof w:val="1"/>
        </w:rPr>
        <w:t>Under genomförandetiden får detaljplanen inte ändras, ersättas eller upphävas mot berörda fastighetsägares vilja. Detaljplanen gäller och ska följas även efter genomförandetidens utgång men kan då ändras eller upphävas utan att de rättigheter som uppkommit genom planen behöver beaktas.</w:t>
      </w:r>
    </w:p>
    <w:p>
      <w:pPr>
        <w:keepNext w:val="1"/>
        <w:rPr>
          <w:noProof w:val="1"/>
        </w:rPr>
      </w:pPr>
      <w:bookmarkEnd w:id="16"/>
      <w:bookmarkEnd w:id="18"/>
      <w:bookmarkStart w:id="19" w:name="be_kvartersmark03"/>
      <w:bookmarkStart w:id="20" w:name="be_kvartersmark05"/>
      <w:bookmarkStart w:id="21" w:name="be_kvartersmark06"/>
      <w:r>
        <w:rPr>
          <w:noProof w:val="1"/>
        </w:rPr>
        <mc:AlternateContent>
          <mc:Choice Requires="wpg">
            <w:drawing>
              <wp:anchor xmlns:wp="http://schemas.openxmlformats.org/drawingml/2006/wordprocessingDrawing" distT="0" distB="0" distL="114300" distR="114300" simplePos="0" relativeHeight="9" behindDoc="0" locked="0" layoutInCell="1" allowOverlap="1">
                <wp:simplePos x="0" y="0"/>
                <wp:positionH relativeFrom="column">
                  <wp:posOffset>0</wp:posOffset>
                </wp:positionH>
                <wp:positionV relativeFrom="paragraph">
                  <wp:posOffset>4725035</wp:posOffset>
                </wp:positionV>
                <wp:extent cx="5547995" cy="3792220"/>
                <wp:effectExtent l="0" t="0" r="0" b="0"/>
                <wp:wrapTopAndBottom/>
                <wp:docPr id="10" name="Grupp 10"/>
                <wp:cNvGraphicFramePr/>
                <a:graphic xmlns:a="http://schemas.openxmlformats.org/drawingml/2006/main">
                  <a:graphicData uri="http://schemas.microsoft.com/office/word/2010/wordprocessingGroup">
                    <wpg:wgp>
                      <wpg:cNvGrpSpPr/>
                      <wpg:grpSpPr>
                        <a:xfrm>
                          <a:off x="0" y="0"/>
                          <a:ext cx="5547995" cy="3792220"/>
                          <a:chOff x="0" y="0"/>
                          <a:chExt cx="5547995" cy="3792220"/>
                        </a:xfrm>
                      </wpg:grpSpPr>
                      <pic:pic xmlns:pic="http://schemas.openxmlformats.org/drawingml/2006/picture">
                        <pic:nvPicPr>
                          <pic:cNvPr id="195" name="Bildobjekt 195"/>
                          <pic:cNvPicPr>
                            <a:picLocks noChangeAspect="1"/>
                          </pic:cNvPicPr>
                        </pic:nvPicPr>
                        <pic:blipFill dpi="0">
                          <a:blip xmlns:r="http://schemas.openxmlformats.org/officeDocument/2006/relationships" r:embed="Relimage4"/>
                          <a:srcRect l="15544" t="21659" r="48831" b="32804"/>
                          <a:stretch>
                            <a:fillRect/>
                          </a:stretch>
                        </pic:blipFill>
                        <pic:spPr bwMode="auto">
                          <a:xfrm>
                            <a:off x="0" y="0"/>
                            <a:ext cx="5547995" cy="3792220"/>
                          </a:xfrm>
                          <a:prstGeom prst="rect"/>
                          <a:ln>
                            <a:noFill/>
                          </a:ln>
                        </pic:spPr>
                      </pic:pic>
                      <wps:wsp>
                        <wps:cNvPr id="205" name="Ellips 205"/>
                        <wps:cNvSpPr/>
                        <wps:spPr>
                          <a:xfrm>
                            <a:off x="1645920" y="1566408"/>
                            <a:ext cx="373711" cy="190832"/>
                          </a:xfrm>
                          <a:prstGeom prst="ellipse"/>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06" name="Ellips 206"/>
                        <wps:cNvSpPr/>
                        <wps:spPr>
                          <a:xfrm>
                            <a:off x="2393344" y="2361537"/>
                            <a:ext cx="405516" cy="230588"/>
                          </a:xfrm>
                          <a:prstGeom prst="ellipse"/>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xmlns:o="urn:schemas-microsoft-com:office:office" id="Grupp 10" style="position:absolute;width:436.85pt;height:298.6pt;z-index:9;mso-wrap-distance-left:9pt;mso-wrap-distance-top:0pt;mso-wrap-distance-right:9pt;mso-wrap-distance-bottom:0pt;margin-left:0pt;margin-top:372.05pt;mso-position-horizontal:absolute;mso-position-horizontal-relative:text;mso-position-vertical:absolute;mso-position-vertical-relative:text" coordorigin="0,0" coordsize="5547995,3792220" o:allowincell="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objekt 195" o:spid="_x0000_s1031" type="#_x0000_t75" style="position:absolute;width:5547995;height:3792220" o:preferrelative="t" stroked="f" o:allowincell="t">
                  <v:imagedata src="Relimage4" o:title="" croptop="14194f" cropbottom="21498f" cropleft="10187f" cropright="32002f"/>
                  <w10:wrap type="topAndBottom"/>
                  <o:lock aspectratio="t"/>
                </v:shape>
                <v:oval id="Ellips 205" o:spid="_x0000_s1032" style="position:absolute;left:1645920;top:1566407;width:373710;height:190831;v-text-anchor:middle" o:allowincell="t" filled="f" strokecolor="#FF0000" strokeweight="1pt" stroked="t">
                  <v:textbox inset="3mm,1mm,3mm,1mm">
                    <w:txbxContent>
                      <w:p/>
                    </w:txbxContent>
                  </v:textbox>
                  <w10:wrap type="topAndBottom"/>
                </v:oval>
                <v:oval id="Ellips 206" o:spid="_x0000_s1033" style="position:absolute;left:2393343;top:2361536;width:405515;height:230587;v-text-anchor:middle" o:allowincell="t" filled="f" strokecolor="#FF0000" strokeweight="1pt" stroked="t">
                  <v:textbox inset="3mm,1mm,3mm,1mm">
                    <w:txbxContent>
                      <w:p/>
                    </w:txbxContent>
                  </v:textbox>
                  <w10:wrap type="topAndBottom"/>
                </v:oval>
              </v:group>
            </w:pict>
          </mc:Fallback>
        </mc:AlternateContent>
      </w:r>
      <w:r>
        <w:rPr>
          <w:noProof w:val="1"/>
        </w:rPr>
        <mc:AlternateContent>
          <mc:Choice Requires="wpg">
            <w:drawing>
              <wp:anchor xmlns:wp="http://schemas.openxmlformats.org/drawingml/2006/wordprocessingDrawing" distT="0" distB="0" distL="114300" distR="114300" simplePos="0" relativeHeight="8" behindDoc="0" locked="0" layoutInCell="1" allowOverlap="1">
                <wp:simplePos x="0" y="0"/>
                <wp:positionH relativeFrom="column">
                  <wp:posOffset>0</wp:posOffset>
                </wp:positionH>
                <wp:positionV relativeFrom="paragraph">
                  <wp:posOffset>137160</wp:posOffset>
                </wp:positionV>
                <wp:extent cx="5594985" cy="3846830"/>
                <wp:effectExtent l="0" t="0" r="5715" b="1270"/>
                <wp:wrapTopAndBottom/>
                <wp:docPr id="9" name="Grupp 9"/>
                <wp:cNvGraphicFramePr/>
                <a:graphic xmlns:a="http://schemas.openxmlformats.org/drawingml/2006/main">
                  <a:graphicData uri="http://schemas.microsoft.com/office/word/2010/wordprocessingGroup">
                    <wpg:wgp>
                      <wpg:cNvGrpSpPr/>
                      <wpg:grpSpPr>
                        <a:xfrm>
                          <a:off x="0" y="0"/>
                          <a:ext cx="5594985" cy="3846830"/>
                          <a:chOff x="0" y="0"/>
                          <a:chExt cx="5594985" cy="3846830"/>
                        </a:xfrm>
                      </wpg:grpSpPr>
                      <pic:pic xmlns:pic="http://schemas.openxmlformats.org/drawingml/2006/picture">
                        <pic:nvPicPr>
                          <pic:cNvPr id="7" name="Bildobjekt 7"/>
                          <pic:cNvPicPr>
                            <a:picLocks noChangeAspect="1"/>
                          </pic:cNvPicPr>
                        </pic:nvPicPr>
                        <pic:blipFill dpi="0">
                          <a:blip xmlns:r="http://schemas.openxmlformats.org/officeDocument/2006/relationships" r:embed="Relimage5"/>
                          <a:srcRect l="11139" r="16618" b="13445"/>
                          <a:stretch>
                            <a:fillRect/>
                          </a:stretch>
                        </pic:blipFill>
                        <pic:spPr bwMode="auto">
                          <a:xfrm>
                            <a:off x="0" y="0"/>
                            <a:ext cx="5594985" cy="3846830"/>
                          </a:xfrm>
                          <a:prstGeom prst="rect"/>
                          <a:ln>
                            <a:noFill/>
                          </a:ln>
                        </pic:spPr>
                      </pic:pic>
                      <wps:wsp>
                        <wps:cNvPr id="17" name="Rak koppling 17"/>
                        <wps:cNvCnPr>
                          <a:stCxn id="0" idx="0"/>
                          <a:endCxn id="0" idx="0"/>
                        </wps:cNvCnPr>
                        <wps:spPr>
                          <a:xfrm flipV="1">
                            <a:off x="3442917" y="2289977"/>
                            <a:ext cx="179070" cy="206375"/>
                          </a:xfrm>
                          <a:prstGeom prst="line"/>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6" name="Rak koppling 16"/>
                        <wps:cNvCnPr>
                          <a:stCxn id="0" idx="0"/>
                          <a:endCxn id="0" idx="0"/>
                        </wps:cNvCnPr>
                        <wps:spPr>
                          <a:xfrm>
                            <a:off x="3419063" y="2305879"/>
                            <a:ext cx="202565" cy="165100"/>
                          </a:xfrm>
                          <a:prstGeom prst="line"/>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4" name="Rak koppling 14"/>
                        <wps:cNvCnPr>
                          <a:stCxn id="0" idx="0"/>
                          <a:endCxn id="0" idx="0"/>
                        </wps:cNvCnPr>
                        <wps:spPr>
                          <a:xfrm>
                            <a:off x="1685677" y="1415333"/>
                            <a:ext cx="233045" cy="158750"/>
                          </a:xfrm>
                          <a:prstGeom prst="line"/>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5" name="Rak koppling 15"/>
                        <wps:cNvCnPr>
                          <a:stCxn id="0" idx="0"/>
                          <a:endCxn id="0" idx="0"/>
                        </wps:cNvCnPr>
                        <wps:spPr>
                          <a:xfrm flipV="1">
                            <a:off x="1709532" y="1431235"/>
                            <a:ext cx="209550" cy="142875"/>
                          </a:xfrm>
                          <a:prstGeom prst="line"/>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9" name="Rak koppling 19"/>
                        <wps:cNvCnPr>
                          <a:stCxn id="0" idx="0"/>
                          <a:endCxn id="0" idx="0"/>
                        </wps:cNvCnPr>
                        <wps:spPr>
                          <a:xfrm flipV="1">
                            <a:off x="2210464" y="2250219"/>
                            <a:ext cx="165735" cy="220980"/>
                          </a:xfrm>
                          <a:prstGeom prst="line"/>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8" name="Rak koppling 18"/>
                        <wps:cNvCnPr>
                          <a:stCxn id="0" idx="0"/>
                          <a:endCxn id="0" idx="0"/>
                        </wps:cNvCnPr>
                        <wps:spPr>
                          <a:xfrm>
                            <a:off x="2178657" y="2258172"/>
                            <a:ext cx="227965" cy="186690"/>
                          </a:xfrm>
                          <a:prstGeom prst="line"/>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23" name="Rak koppling 23"/>
                        <wps:cNvCnPr>
                          <a:stCxn id="0" idx="0"/>
                          <a:endCxn id="0" idx="0"/>
                        </wps:cNvCnPr>
                        <wps:spPr>
                          <a:xfrm flipV="1">
                            <a:off x="2941983" y="2242268"/>
                            <a:ext cx="117475" cy="190500"/>
                          </a:xfrm>
                          <a:prstGeom prst="line"/>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25" name="Rak koppling 25"/>
                        <wps:cNvCnPr>
                          <a:stCxn id="0" idx="0"/>
                          <a:endCxn id="0" idx="0"/>
                        </wps:cNvCnPr>
                        <wps:spPr>
                          <a:xfrm>
                            <a:off x="2902226" y="2274073"/>
                            <a:ext cx="196850" cy="118745"/>
                          </a:xfrm>
                          <a:prstGeom prst="line"/>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26" name="Rak koppling 26"/>
                        <wps:cNvCnPr>
                          <a:stCxn id="0" idx="0"/>
                          <a:endCxn id="0" idx="0"/>
                        </wps:cNvCnPr>
                        <wps:spPr>
                          <a:xfrm flipV="1">
                            <a:off x="3029448" y="2464906"/>
                            <a:ext cx="117475" cy="190500"/>
                          </a:xfrm>
                          <a:prstGeom prst="line"/>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27" name="Rak koppling 27"/>
                        <wps:cNvCnPr>
                          <a:stCxn id="0" idx="0"/>
                          <a:endCxn id="0" idx="0"/>
                        </wps:cNvCnPr>
                        <wps:spPr>
                          <a:xfrm>
                            <a:off x="2989692" y="2496710"/>
                            <a:ext cx="196850" cy="118745"/>
                          </a:xfrm>
                          <a:prstGeom prst="line"/>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28" name="Rak koppling 28"/>
                        <wps:cNvCnPr>
                          <a:stCxn id="0" idx="0"/>
                          <a:endCxn id="0" idx="0"/>
                        </wps:cNvCnPr>
                        <wps:spPr>
                          <a:xfrm flipV="1">
                            <a:off x="2846568" y="2035535"/>
                            <a:ext cx="117475" cy="190500"/>
                          </a:xfrm>
                          <a:prstGeom prst="line"/>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29" name="Rak koppling 29"/>
                        <wps:cNvCnPr>
                          <a:stCxn id="0" idx="0"/>
                          <a:endCxn id="0" idx="0"/>
                        </wps:cNvCnPr>
                        <wps:spPr>
                          <a:xfrm>
                            <a:off x="2806812" y="2059388"/>
                            <a:ext cx="196850" cy="118745"/>
                          </a:xfrm>
                          <a:prstGeom prst="line"/>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xmlns:o="urn:schemas-microsoft-com:office:office" id="Grupp 9" style="position:absolute;width:440.55pt;height:302.9pt;z-index:8;mso-wrap-distance-left:9pt;mso-wrap-distance-top:0pt;mso-wrap-distance-right:9pt;mso-wrap-distance-bottom:0pt;margin-left:0pt;margin-top:10.8pt;mso-position-horizontal:absolute;mso-position-horizontal-relative:text;mso-position-vertical:absolute;mso-position-vertical-relative:text" coordorigin="0,0" coordsize="5594985,3846830" o:allowincell="t">
                <v:shape id="Bildobjekt 7" o:spid="_x0000_s1035" type="#_x0000_t75" style="position:absolute;width:5594985;height:3846830" o:preferrelative="t" stroked="f" o:allowincell="t">
                  <v:imagedata src="Relimage5" o:title="" croptop="0f" cropbottom="8811f" cropleft="7300f" cropright="10891f"/>
                  <w10:wrap type="topAndBottom"/>
                  <o:lock aspectratio="t"/>
                </v:shape>
                <v:line id="Rak koppling 17" o:spid="_x0000_s1036" style="position:absolute;flip:y" strokecolor="#FF0000" strokeweight="2.25pt" stroked="t" o:allowincell="t" from="0pt,10.8pt" to="440.55pt,313.7pt">
                  <w10:wrap type="topAndBottom"/>
                </v:line>
                <v:line id="Rak koppling 16" o:spid="_x0000_s1037" style="position:absolute" strokecolor="#FF0000" strokeweight="2.25pt" stroked="t" o:allowincell="t" from="0pt,10.8pt" to="440.55pt,313.7pt">
                  <w10:wrap type="topAndBottom"/>
                </v:line>
                <v:line id="Rak koppling 14" o:spid="_x0000_s1038" style="position:absolute" strokecolor="#FF0000" strokeweight="2.25pt" stroked="t" o:allowincell="t" from="0pt,10.8pt" to="440.55pt,313.7pt">
                  <w10:wrap type="topAndBottom"/>
                </v:line>
                <v:line id="Rak koppling 15" o:spid="_x0000_s1039" style="position:absolute;flip:y" strokecolor="#FF0000" strokeweight="2.25pt" stroked="t" o:allowincell="t" from="0pt,10.8pt" to="440.55pt,313.7pt">
                  <w10:wrap type="topAndBottom"/>
                </v:line>
                <v:line id="Rak koppling 19" o:spid="_x0000_s1040" style="position:absolute;flip:y" strokecolor="#FF0000" strokeweight="2.25pt" stroked="t" o:allowincell="t" from="0pt,10.8pt" to="440.55pt,313.7pt">
                  <w10:wrap type="topAndBottom"/>
                </v:line>
                <v:line id="Rak koppling 18" o:spid="_x0000_s1041" style="position:absolute" strokecolor="#FF0000" strokeweight="2.25pt" stroked="t" o:allowincell="t" from="0pt,10.8pt" to="440.55pt,313.7pt">
                  <w10:wrap type="topAndBottom"/>
                </v:line>
                <v:line id="Rak koppling 23" o:spid="_x0000_s1042" style="position:absolute;flip:y" strokecolor="#FF0000" strokeweight="2.25pt" stroked="t" o:allowincell="t" from="0pt,10.8pt" to="440.55pt,313.7pt">
                  <w10:wrap type="topAndBottom"/>
                </v:line>
                <v:line id="Rak koppling 25" o:spid="_x0000_s1043" style="position:absolute" strokecolor="#FF0000" strokeweight="2.25pt" stroked="t" o:allowincell="t" from="0pt,10.8pt" to="440.55pt,313.7pt">
                  <w10:wrap type="topAndBottom"/>
                </v:line>
                <v:line id="Rak koppling 26" o:spid="_x0000_s1044" style="position:absolute;flip:y" strokecolor="#FF0000" strokeweight="2.25pt" stroked="t" o:allowincell="t" from="0pt,10.8pt" to="440.55pt,313.7pt">
                  <w10:wrap type="topAndBottom"/>
                </v:line>
                <v:line id="Rak koppling 27" o:spid="_x0000_s1045" style="position:absolute" strokecolor="#FF0000" strokeweight="2.25pt" stroked="t" o:allowincell="t" from="0pt,10.8pt" to="440.55pt,313.7pt">
                  <w10:wrap type="topAndBottom"/>
                </v:line>
                <v:line id="Rak koppling 28" o:spid="_x0000_s1046" style="position:absolute;flip:y" strokecolor="#FF0000" strokeweight="2.25pt" stroked="t" o:allowincell="t" from="0pt,10.8pt" to="440.55pt,313.7pt">
                  <w10:wrap type="topAndBottom"/>
                </v:line>
                <v:line id="Rak koppling 29" o:spid="_x0000_s1047" style="position:absolute" strokecolor="#FF0000" strokeweight="2.25pt" stroked="t" o:allowincell="t" from="0pt,10.8pt" to="440.55pt,313.7pt">
                  <w10:wrap type="topAndBottom"/>
                </v:line>
              </v:group>
            </w:pict>
          </mc:Fallback>
        </mc:AlternateContent>
      </w:r>
      <w:r>
        <w:rPr>
          <w:noProof w:val="1"/>
        </w:rPr>
        <mc:AlternateContent>
          <mc:Choice Requires="wps">
            <w:drawing>
              <wp:anchor xmlns:wp="http://schemas.openxmlformats.org/drawingml/2006/wordprocessingDrawing" distT="0" distB="0" distL="114300" distR="114300" simplePos="0" relativeHeight="3" behindDoc="0" locked="0" layoutInCell="1" allowOverlap="1">
                <wp:simplePos x="0" y="0"/>
                <wp:positionH relativeFrom="margin">
                  <wp:align>left</wp:align>
                </wp:positionH>
                <wp:positionV relativeFrom="paragraph">
                  <wp:posOffset>8570595</wp:posOffset>
                </wp:positionV>
                <wp:extent cx="5602605" cy="635"/>
                <wp:effectExtent l="0" t="0" r="0" b="0"/>
                <wp:wrapTopAndBottom/>
                <wp:docPr id="21" name="Textruta 21"/>
                <wp:cNvGraphicFramePr/>
                <a:graphic xmlns:a="http://schemas.openxmlformats.org/drawingml/2006/main">
                  <a:graphicData uri="http://schemas.microsoft.com/office/word/2010/wordprocessingShape">
                    <wps:wsp>
                      <wps:cNvSpPr txBox="1"/>
                      <wps:spPr>
                        <a:xfrm>
                          <a:off x="0" y="0"/>
                          <a:ext cx="5602605" cy="635"/>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2"/>
                              <w:rPr>
                                <w:color w:val="000000"/>
                                <w:sz w:val="24"/>
                              </w:rPr>
                            </w:pPr>
                            <w:r>
                              <w:t>F</w:t>
                            </w:r>
                            <w:bookmarkStart w:id="0" w:name="be_kvartersmark08"/>
                            <w:r>
                              <w:t xml:space="preserve">igur </w:t>
                            </w:r>
                            <w:r>
                              <w:fldChar w:fldCharType="begin"/>
                            </w:r>
                            <w:r>
                              <w:instrText xml:space="preserve"> SEQ Figur \* ARABIC </w:instrText>
                            </w:r>
                            <w:r>
                              <w:fldChar w:fldCharType="separate"/>
                            </w:r>
                            <w:r>
                              <w:rPr>
                                <w:noProof w:val="1"/>
                              </w:rPr>
                              <w:t>2</w:t>
                            </w:r>
                            <w:r>
                              <w:rPr>
                                <w:noProof w:val="1"/>
                              </w:rPr>
                              <w:fldChar w:fldCharType="end"/>
                            </w:r>
                            <w:r>
                              <w:t>. Utdrag ur ändrad plankarta. Två egenskapsområden har slagits samman och fått gemensamma bestämmelser och bestämmelsen h1 – högsta nockhöjd på 38 meter införs i två områden.</w:t>
                            </w:r>
                            <w:bookmarkEnd w:id="0"/>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xmlns:o="urn:schemas-microsoft-com:office:office" type="#_x0000_t202" id="Textruta 21" o:spid="_x0000_s1048" style="position:absolute;width:441.15pt;height:0.05pt;z-index:3;mso-wrap-distance-left:9pt;mso-wrap-distance-top:0pt;mso-wrap-distance-right:9pt;mso-wrap-distance-bottom:0pt;margin-left:0pt;margin-top:674.85pt;mso-position-horizontal:left;mso-position-horizontal-relative:margin;mso-position-vertical:absolute;mso-position-vertical-relative:text" o:allowincell="t" fillcolor="#FFFFFF" stroked="f">
                <v:textbox style="mso-fit-shape-to-text:t" inset="0mm,0mm,0mm,0mm">
                  <w:txbxContent>
                    <w:p>
                      <w:pPr>
                        <w:pStyle w:val="P32"/>
                        <w:rPr>
                          <w:color w:val="000000"/>
                          <w:sz w:val="24"/>
                        </w:rPr>
                      </w:pPr>
                      <w:r>
                        <w:t>F</w:t>
                      </w:r>
                      <w:bookmarkStart w:id="0" w:name="be_kvartersmark08"/>
                      <w:r>
                        <w:t xml:space="preserve">igur </w:t>
                      </w:r>
                      <w:r>
                        <w:fldChar w:fldCharType="begin"/>
                      </w:r>
                      <w:r>
                        <w:instrText xml:space="preserve"> SEQ Figur \* ARABIC </w:instrText>
                      </w:r>
                      <w:r>
                        <w:fldChar w:fldCharType="separate"/>
                      </w:r>
                      <w:r>
                        <w:rPr>
                          <w:noProof w:val="1"/>
                        </w:rPr>
                        <w:t>2</w:t>
                      </w:r>
                      <w:r>
                        <w:rPr>
                          <w:noProof w:val="1"/>
                        </w:rPr>
                        <w:fldChar w:fldCharType="end"/>
                      </w:r>
                      <w:r>
                        <w:t>. Utdrag ur ändrad plankarta. Två egenskapsområden har slagits samman och fått gemensamma bestämmelser och bestämmelsen h1 – högsta nockhöjd på 38 meter införs i två områden.</w:t>
                      </w:r>
                      <w:bookmarkEnd w:id="0"/>
                    </w:p>
                  </w:txbxContent>
                </v:textbox>
                <w10:wrap type="topAndBottom"/>
              </v:shape>
            </w:pict>
          </mc:Fallback>
        </mc:AlternateContent>
      </w:r>
      <w:r>
        <w:rPr>
          <w:noProof w:val="1"/>
        </w:rPr>
        <mc:AlternateContent>
          <mc:Choice Requires="wps">
            <w:drawing>
              <wp:anchor xmlns:wp="http://schemas.openxmlformats.org/drawingml/2006/wordprocessingDrawing" distT="0" distB="0" distL="114300" distR="114300" simplePos="0" relativeHeight="2" behindDoc="0" locked="0" layoutInCell="1" allowOverlap="1">
                <wp:simplePos x="0" y="0"/>
                <wp:positionH relativeFrom="margin">
                  <wp:posOffset>0</wp:posOffset>
                </wp:positionH>
                <wp:positionV relativeFrom="paragraph">
                  <wp:posOffset>4007485</wp:posOffset>
                </wp:positionV>
                <wp:extent cx="5594985" cy="635"/>
                <wp:effectExtent l="0" t="0" r="5715" b="0"/>
                <wp:wrapTopAndBottom/>
                <wp:docPr id="20" name="Textruta 20"/>
                <wp:cNvGraphicFramePr/>
                <a:graphic xmlns:a="http://schemas.openxmlformats.org/drawingml/2006/main">
                  <a:graphicData uri="http://schemas.microsoft.com/office/word/2010/wordprocessingShape">
                    <wps:wsp>
                      <wps:cNvSpPr txBox="1"/>
                      <wps:spPr>
                        <a:xfrm>
                          <a:off x="0" y="0"/>
                          <a:ext cx="5594985" cy="635"/>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2"/>
                              <w:rPr>
                                <w:color w:val="000000"/>
                                <w:sz w:val="24"/>
                              </w:rPr>
                            </w:pPr>
                            <w:bookmarkStart w:id="0" w:name="be_kvartersmark07"/>
                            <w:r>
                              <w:t xml:space="preserve">Figur </w:t>
                            </w:r>
                            <w:r>
                              <w:fldChar w:fldCharType="begin"/>
                            </w:r>
                            <w:r>
                              <w:instrText xml:space="preserve"> SEQ Figur \* ARABIC </w:instrText>
                            </w:r>
                            <w:r>
                              <w:fldChar w:fldCharType="separate"/>
                            </w:r>
                            <w:r>
                              <w:rPr>
                                <w:noProof w:val="1"/>
                              </w:rPr>
                              <w:t>1</w:t>
                            </w:r>
                            <w:r>
                              <w:rPr>
                                <w:noProof w:val="1"/>
                              </w:rPr>
                              <w:fldChar w:fldCharType="end"/>
                            </w:r>
                            <w:r>
                              <w:t>. Utdrag ur ursprungliga plankartan med markeringar av de ändringar som föreslås. Egenskapsgränser inom röd ring tas bort. Symbol för bestämmelser om nockhöjd ersätts med bestämmelsen h</w:t>
                            </w:r>
                            <w:r>
                              <w:rPr>
                                <w:vertAlign w:val="subscript"/>
                              </w:rPr>
                              <w:t>1</w:t>
                            </w:r>
                            <w:r>
                              <w:t>. Bestämmelsen e</w:t>
                            </w:r>
                            <w:r>
                              <w:rPr>
                                <w:vertAlign w:val="subscript"/>
                              </w:rPr>
                              <w:t>1</w:t>
                            </w:r>
                            <w:r>
                              <w:t xml:space="preserve"> gäller inom hela det nya egenskapsområdet och e</w:t>
                            </w:r>
                            <w:r>
                              <w:rPr>
                                <w:vertAlign w:val="subscript"/>
                              </w:rPr>
                              <w:t>2</w:t>
                            </w:r>
                            <w:r>
                              <w:t xml:space="preserve"> tas bort.</w:t>
                            </w:r>
                            <w:bookmarkEnd w:id="0"/>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xmlns:o="urn:schemas-microsoft-com:office:office" type="#_x0000_t202" id="Textruta 20" o:spid="_x0000_s1049" style="position:absolute;width:440.55pt;height:0.05pt;z-index:2;mso-wrap-distance-left:9pt;mso-wrap-distance-top:0pt;mso-wrap-distance-right:9pt;mso-wrap-distance-bottom:0pt;margin-left:0pt;margin-top:315.55pt;mso-position-horizontal:absolute;mso-position-horizontal-relative:margin;mso-position-vertical:absolute;mso-position-vertical-relative:text" o:allowincell="t" fillcolor="#FFFFFF" stroked="f">
                <v:textbox style="mso-fit-shape-to-text:t" inset="0mm,0mm,0mm,0mm">
                  <w:txbxContent>
                    <w:p>
                      <w:pPr>
                        <w:pStyle w:val="P32"/>
                        <w:rPr>
                          <w:color w:val="000000"/>
                          <w:sz w:val="24"/>
                        </w:rPr>
                      </w:pPr>
                      <w:bookmarkStart w:id="0" w:name="be_kvartersmark07"/>
                      <w:r>
                        <w:t xml:space="preserve">Figur </w:t>
                      </w:r>
                      <w:r>
                        <w:fldChar w:fldCharType="begin"/>
                      </w:r>
                      <w:r>
                        <w:instrText xml:space="preserve"> SEQ Figur \* ARABIC </w:instrText>
                      </w:r>
                      <w:r>
                        <w:fldChar w:fldCharType="separate"/>
                      </w:r>
                      <w:r>
                        <w:rPr>
                          <w:noProof w:val="1"/>
                        </w:rPr>
                        <w:t>1</w:t>
                      </w:r>
                      <w:r>
                        <w:rPr>
                          <w:noProof w:val="1"/>
                        </w:rPr>
                        <w:fldChar w:fldCharType="end"/>
                      </w:r>
                      <w:r>
                        <w:t>. Utdrag ur ursprungliga plankartan med markeringar av de ändringar som föreslås. Egenskapsgränser inom röd ring tas bort. Symbol för bestämmelser om nockhöjd ersätts med bestämmelsen h</w:t>
                      </w:r>
                      <w:r>
                        <w:rPr>
                          <w:vertAlign w:val="subscript"/>
                        </w:rPr>
                        <w:t>1</w:t>
                      </w:r>
                      <w:r>
                        <w:t>. Bestämmelsen e</w:t>
                      </w:r>
                      <w:r>
                        <w:rPr>
                          <w:vertAlign w:val="subscript"/>
                        </w:rPr>
                        <w:t>1</w:t>
                      </w:r>
                      <w:r>
                        <w:t xml:space="preserve"> gäller inom hela det nya egenskapsområdet och e</w:t>
                      </w:r>
                      <w:r>
                        <w:rPr>
                          <w:vertAlign w:val="subscript"/>
                        </w:rPr>
                        <w:t>2</w:t>
                      </w:r>
                      <w:r>
                        <w:t xml:space="preserve"> tas bort.</w:t>
                      </w:r>
                      <w:bookmarkEnd w:id="0"/>
                    </w:p>
                  </w:txbxContent>
                </v:textbox>
                <w10:wrap type="topAndBottom"/>
              </v:shape>
            </w:pict>
          </mc:Fallback>
        </mc:AlternateContent>
      </w:r>
      <w:bookmarkEnd w:id="19"/>
      <w:bookmarkEnd w:id="20"/>
      <w:bookmarkEnd w:id="21"/>
      <w:bookmarkStart w:id="22" w:name="be_kvartersmark02"/>
    </w:p>
    <w:p>
      <w:pPr>
        <w:pStyle w:val="P18"/>
        <w:rPr>
          <w:noProof w:val="1"/>
        </w:rPr>
      </w:pPr>
      <w:bookmarkEnd w:id="22"/>
      <w:bookmarkStart w:id="23" w:name="_Toc156894023"/>
      <w:bookmarkStart w:id="24" w:name="_Toc89445986"/>
      <w:bookmarkStart w:id="25" w:name="_Toc101363488"/>
      <w:r>
        <w:rPr>
          <w:noProof w:val="1"/>
        </w:rPr>
        <w:t>Motiv till regleringar</w:t>
      </w:r>
      <w:bookmarkEnd w:id="23"/>
    </w:p>
    <w:p>
      <w:bookmarkEnd w:id="24"/>
      <w:bookmarkEnd w:id="25"/>
      <w:bookmarkStart w:id="26" w:name="be_varförändringavdetaljplanvalts03"/>
      <w:r>
        <w:t>Vid en ändring av detaljplan, liksom vid all planläggning, är utgångspunkten lämplighetsprövning enligt 2 kapitlet plan- och bygglagen, PBL. Vid ändring av detaljplan görs dock inte någon fullständig lämplighets- och lokaliseringsprövning. Prövningen ska enbart omfatta den eller de planbestämmelser som läggs till, justeras eller tas bort.</w:t>
      </w:r>
    </w:p>
    <w:p>
      <w:pPr>
        <w:pStyle w:val="P19"/>
        <w:rPr>
          <w:noProof w:val="1"/>
        </w:rPr>
      </w:pPr>
      <w:bookmarkEnd w:id="26"/>
      <w:bookmarkStart w:id="27" w:name="_Toc89445988"/>
      <w:bookmarkStart w:id="28" w:name="_Toc101363490"/>
      <w:r>
        <w:rPr>
          <w:noProof w:val="1"/>
        </w:rPr>
        <w:t>Användning av kvartersmark</w:t>
      </w:r>
      <w:bookmarkEnd w:id="27"/>
      <w:bookmarkEnd w:id="28"/>
    </w:p>
    <w:p>
      <w:bookmarkStart w:id="29" w:name="_Toc89445989"/>
      <w:bookmarkStart w:id="30" w:name="mo_motivtillreglering03"/>
      <w:r>
        <w:rPr>
          <w:b w:val="1"/>
          <w:noProof w:val="1"/>
        </w:rPr>
        <w:t xml:space="preserve">Industri (J): </w:t>
      </w:r>
      <w:r>
        <w:t>Ursprunglig användningsbestämmelse fortsätter att gälla inom den del av användningsområdet där egenskapsbestämmelser justeras.</w:t>
      </w:r>
    </w:p>
    <w:p>
      <w:pPr>
        <w:pStyle w:val="P19"/>
        <w:rPr>
          <w:noProof w:val="1"/>
        </w:rPr>
      </w:pPr>
      <w:bookmarkEnd w:id="29"/>
      <w:bookmarkEnd w:id="30"/>
      <w:bookmarkStart w:id="31" w:name="_Toc89445990"/>
      <w:bookmarkStart w:id="32" w:name="_Toc101363493"/>
      <w:r>
        <w:rPr>
          <w:noProof w:val="1"/>
        </w:rPr>
        <w:t>Egenskapsbestämmelser för kvartersmark</w:t>
      </w:r>
      <w:bookmarkEnd w:id="31"/>
      <w:bookmarkEnd w:id="32"/>
    </w:p>
    <w:p>
      <w:pPr>
        <w:pStyle w:val="P20"/>
        <w:rPr>
          <w:noProof w:val="1"/>
        </w:rPr>
      </w:pPr>
      <w:r>
        <w:rPr>
          <w:noProof w:val="1"/>
        </w:rPr>
        <w:t>Omfattning</w:t>
      </w:r>
    </w:p>
    <w:p>
      <w:bookmarkStart w:id="33" w:name="be_kvartersmark04"/>
      <w:r>
        <w:rPr>
          <w:b w:val="1"/>
        </w:rPr>
        <w:t>Bestämmelsen e</w:t>
      </w:r>
      <w:r>
        <w:rPr>
          <w:b w:val="1"/>
          <w:vertAlign w:val="subscript"/>
        </w:rPr>
        <w:t>1</w:t>
      </w:r>
      <w:r>
        <w:rPr>
          <w:b w:val="1"/>
        </w:rPr>
        <w:t xml:space="preserve">: </w:t>
      </w:r>
      <w:r>
        <w:t xml:space="preserve">Bestämmelsen lyder ”Byggnader eller byggnadsdelar </w:t>
      </w:r>
      <w:r>
        <w:rPr>
          <w:rtl w:val="0"/>
          <w:lang w:val="sv-SE" w:bidi="sv-SE" w:eastAsia="sv-SE"/>
        </w:rPr>
        <w:t xml:space="preserve">med nockhöjd </w:t>
      </w:r>
      <w:r>
        <w:t>högre än 25 meter får omfatta totalt 4000 kvadratmeter</w:t>
      </w:r>
      <w:r>
        <w:rPr>
          <w:rtl w:val="0"/>
          <w:lang w:val="sv-SE" w:bidi="sv-SE" w:eastAsia="sv-SE"/>
        </w:rPr>
        <w:t xml:space="preserve"> byggnadsarea</w:t>
      </w:r>
      <w:r>
        <w:t>. Varje sådan byggnadsdel får enskilt omfatta maximalt 2000 kvadratmeter</w:t>
      </w:r>
      <w:r>
        <w:rPr>
          <w:rtl w:val="0"/>
          <w:lang w:val="sv-SE" w:bidi="sv-SE" w:eastAsia="sv-SE"/>
        </w:rPr>
        <w:t xml:space="preserve"> byggnadsarea</w:t>
      </w:r>
      <w:r>
        <w:t xml:space="preserve">”. Det område inom vilket bestämmelsen gäller utvidgas till att även omfatta angränsande egenskapsområde där nockhöjden tidigare reglerats till 25 meter. Bestämmelsen förtydligas även genom att det är byggnadsarea som avses. </w:t>
      </w:r>
    </w:p>
    <w:p>
      <w:bookmarkEnd w:id="33"/>
      <w:bookmarkStart w:id="34" w:name="mo_motivtillreglering02"/>
      <w:r>
        <w:t xml:space="preserve">Motiv: För att uppnå ändringens syfte att möjliggöra fler placeringar av byggnader med en nockhöjd över 25 meter ändras egenskapsområdet tillika området där bestämmelsen gäller. </w:t>
      </w:r>
    </w:p>
    <w:p>
      <w:bookmarkEnd w:id="34"/>
      <w:bookmarkStart w:id="35" w:name="mo_motivtillreglering01"/>
      <w:r>
        <w:rPr>
          <w:b w:val="1"/>
        </w:rPr>
        <w:t>Högsta nockhöjd h</w:t>
      </w:r>
      <w:r>
        <w:rPr>
          <w:b w:val="1"/>
          <w:vertAlign w:val="subscript"/>
        </w:rPr>
        <w:t>1</w:t>
      </w:r>
      <w:r>
        <w:rPr>
          <w:b w:val="1"/>
          <w:vertAlign w:val="subscript"/>
          <w:rtl w:val="0"/>
          <w:lang w:val="sv-SE" w:bidi="sv-SE" w:eastAsia="sv-SE"/>
        </w:rPr>
        <w:t xml:space="preserve"> </w:t>
      </w:r>
      <w:r>
        <w:rPr>
          <w:b w:val="1"/>
          <w:vertAlign w:val="baseline"/>
          <w:rtl w:val="0"/>
          <w:lang w:val="sv-SE" w:bidi="sv-SE" w:eastAsia="sv-SE"/>
        </w:rPr>
        <w:t>0,0</w:t>
      </w:r>
      <w:r>
        <w:rPr>
          <w:b w:val="1"/>
        </w:rPr>
        <w:t xml:space="preserve">: </w:t>
      </w:r>
      <w:r>
        <w:rPr>
          <w:b w:val="0"/>
          <w:bCs w:val="0"/>
          <w:rtl w:val="0"/>
          <w:lang w:val="sv-SE" w:bidi="sv-SE" w:eastAsia="sv-SE"/>
        </w:rPr>
        <w:t>Högsta nockhöjd är angivet värde i meter.</w:t>
      </w:r>
      <w:r>
        <w:rPr>
          <w:b w:val="1"/>
          <w:rtl w:val="0"/>
          <w:lang w:val="sv-SE" w:bidi="sv-SE" w:eastAsia="sv-SE"/>
        </w:rPr>
        <w:t xml:space="preserve"> </w:t>
      </w:r>
      <w:r>
        <w:t>Högsta nockhöjd inom berört område höjs från 35 respektive 25 meter till 38 meter. Den föreslagna höjden är en avvägning mellan verksamhetens behov och hänsyn till landskapsbilden.</w:t>
      </w:r>
    </w:p>
    <w:p>
      <w:pPr>
        <w:pStyle w:val="P18"/>
        <w:rPr>
          <w:noProof w:val="1"/>
        </w:rPr>
      </w:pPr>
      <w:bookmarkEnd w:id="35"/>
      <w:bookmarkStart w:id="36" w:name="_Toc156894024"/>
      <w:r>
        <w:rPr>
          <w:noProof w:val="1"/>
        </w:rPr>
        <w:t>Planeringsunderlag, planeringsförutsättningar</w:t>
      </w:r>
      <w:bookmarkEnd w:id="13"/>
      <w:bookmarkEnd w:id="14"/>
      <w:r>
        <w:rPr>
          <w:noProof w:val="1"/>
        </w:rPr>
        <w:t xml:space="preserve"> och konsekvenser</w:t>
      </w:r>
      <w:bookmarkEnd w:id="36"/>
    </w:p>
    <w:p>
      <w:pPr>
        <w:pStyle w:val="P19"/>
        <w:rPr>
          <w:noProof w:val="1"/>
        </w:rPr>
      </w:pPr>
      <w:bookmarkStart w:id="37" w:name="_Toc89445999"/>
      <w:bookmarkStart w:id="38" w:name="_Toc101363503"/>
      <w:bookmarkStart w:id="39" w:name="_Toc89445993"/>
      <w:bookmarkStart w:id="40" w:name="_Toc101363497"/>
      <w:r>
        <w:rPr>
          <w:noProof w:val="1"/>
        </w:rPr>
        <w:t>Översiktsplan</w:t>
      </w:r>
      <w:bookmarkEnd w:id="37"/>
      <w:bookmarkEnd w:id="38"/>
    </w:p>
    <w:p>
      <w:pPr>
        <w:rPr>
          <w:noProof w:val="1"/>
        </w:rPr>
      </w:pPr>
      <w:bookmarkStart w:id="41" w:name="_Hlk90559718"/>
      <w:bookmarkStart w:id="42" w:name="pf_översiktsplan01"/>
      <w:r>
        <w:rPr>
          <w:noProof w:val="1"/>
        </w:rPr>
        <w:t>I gällande översiktsplan för Götene kommun som antogs 2023 görs ställningstagandet att aktuellt område är för verksamheter som är ytkrävande, störande, förenade med risk eller med krav på god kommunikation och skyltläge. Dessa områden rymmer allt från kontor och handel till bilservice, industri och lager.</w:t>
      </w:r>
    </w:p>
    <w:p>
      <w:pPr>
        <w:rPr>
          <w:noProof w:val="1"/>
        </w:rPr>
      </w:pPr>
      <w:r>
        <w:rPr>
          <w:noProof w:val="1"/>
        </w:rPr>
        <w:t>Planändringen bedöms följa översiktsplanens intentioner.</w:t>
      </w:r>
    </w:p>
    <w:p>
      <w:pPr>
        <w:pStyle w:val="P19"/>
        <w:rPr>
          <w:noProof w:val="1"/>
        </w:rPr>
      </w:pPr>
      <w:bookmarkEnd w:id="41"/>
      <w:bookmarkEnd w:id="42"/>
      <w:r>
        <w:t>Detaljplan</w:t>
      </w:r>
      <w:bookmarkEnd w:id="39"/>
      <w:bookmarkEnd w:id="40"/>
    </w:p>
    <w:p>
      <w:pPr>
        <w:rPr>
          <w:noProof w:val="1"/>
        </w:rPr>
      </w:pPr>
      <w:bookmarkStart w:id="43" w:name="pu_detaljplan01"/>
      <w:r>
        <w:rPr>
          <w:noProof w:val="1"/>
        </w:rPr>
        <w:t>Området omfattas idag av ”</w:t>
      </w:r>
      <w:r>
        <w:rPr>
          <w:i w:val="1"/>
          <w:noProof w:val="1"/>
        </w:rPr>
        <w:t>Detaljplan för Hönsäter 5:12 m.fl. Paroc</w:t>
      </w:r>
      <w:r>
        <w:rPr>
          <w:noProof w:val="1"/>
        </w:rPr>
        <w:t>” antagen och laga kraft vunnen 2022.</w:t>
      </w:r>
      <w:bookmarkEnd w:id="43"/>
      <w:r>
        <w:rPr>
          <w:noProof w:val="1"/>
        </w:rPr>
        <w:t xml:space="preserve"> </w:t>
      </w:r>
      <w:bookmarkStart w:id="44" w:name="pu_detaljplan02"/>
      <w:r>
        <w:rPr>
          <w:noProof w:val="1"/>
        </w:rPr>
        <w:t>Denna plan kommer fortsätta gälla, med den ändring som görs.</w:t>
      </w:r>
    </w:p>
    <w:p>
      <w:pPr>
        <w:rPr>
          <w:i w:val="1"/>
          <w:noProof w:val="1"/>
        </w:rPr>
      </w:pPr>
      <w:bookmarkEnd w:id="44"/>
      <w:bookmarkStart w:id="45" w:name="pf_detaljplan01"/>
      <w:r>
        <w:rPr>
          <w:noProof w:val="1"/>
        </w:rPr>
        <w:t xml:space="preserve">I ursprunglig plan står bland annat följande: </w:t>
      </w:r>
      <w:r>
        <w:rPr>
          <w:i w:val="1"/>
          <w:noProof w:val="1"/>
        </w:rPr>
        <w:t>Bakgrunden är att fastighetsägaren tillika aktuell verksamhetsutövare inom fastigheten Hönsäter 5:12 uttryckt ett behov av högre byggnader inom fastigheten än vad gällande detaljplan medger. Detta då verksamhetens produktion har specifika behov som gör att vissa byggnader behöver vara högre än idag. (Sidan 5)</w:t>
      </w:r>
    </w:p>
    <w:p>
      <w:pPr>
        <w:rPr>
          <w:i w:val="1"/>
          <w:noProof w:val="1"/>
        </w:rPr>
      </w:pPr>
      <w:r>
        <w:rPr>
          <w:i w:val="1"/>
          <w:noProof w:val="1"/>
        </w:rPr>
        <w:t>Högsta tillåtna nockhöjd varierar inom området för att skapa en varierad landskapsbild. De högsta tillåtna nockhöjderna tillåts inom begränsade områden som efter full utbyggnad av industriområdet kommer upplevas vara i mitten av industriområdet med lägre byggnader mot områdets ytterkanter. Nockhöjderna motiveras både utifrån en avvägning mellan tänkt verksamhetsbehov, byggnadernas påverkan på landskapsbilden utifrån ett betraktarperspektiv samt eventuell påvkeran på Kinnekulle som ett kulturhistoriskt värderfullt område. (Sidan 33)</w:t>
      </w:r>
    </w:p>
    <w:p>
      <w:pPr>
        <w:rPr>
          <w:i w:val="1"/>
          <w:noProof w:val="1"/>
        </w:rPr>
      </w:pPr>
      <w:r>
        <w:rPr>
          <w:i w:val="1"/>
          <w:noProof w:val="1"/>
        </w:rPr>
        <w:t>Då omgivande bebyggelse generellt är lägre än den som tillåts inom begränsade delar av planområdet kommer macimalt utnyttjande av detaljplanen innebära en bebyggelse som höjdmässigt sticker ut från omgivningen och blir synlig på avstånd. På grund av att den högre bebyggelsen får en större påverkan på landskapsbilden ställs också högre krav på byggnadernas gestaltning. (Sidan 34)</w:t>
      </w:r>
    </w:p>
    <w:p>
      <w:pPr>
        <w:rPr>
          <w:noProof w:val="1"/>
        </w:rPr>
      </w:pPr>
      <w:r>
        <w:rPr>
          <w:noProof w:val="1"/>
        </w:rPr>
        <w:t>Syftet med detaljplan:</w:t>
      </w:r>
      <w:r>
        <w:rPr>
          <w:i w:val="1"/>
          <w:noProof w:val="1"/>
        </w:rPr>
        <w:t xml:space="preserve"> är att möjliggöra en ändamålsenlig utveckling och utökning av befintlig industri inom planområdet, anpassad till omgivningens höga natur- och kulturmiljövärden.</w:t>
      </w:r>
    </w:p>
    <w:p>
      <w:pPr>
        <w:rPr>
          <w:noProof w:val="1"/>
        </w:rPr>
      </w:pPr>
      <w:r>
        <w:rPr>
          <w:noProof w:val="1"/>
        </w:rPr>
        <w:t>Nu aktuell planändring bedöms inte avvika från den ursprunliga planens syfte och struktur.</w:t>
      </w:r>
    </w:p>
    <w:p>
      <w:pPr>
        <w:pStyle w:val="P19"/>
        <w:rPr>
          <w:noProof w:val="1"/>
        </w:rPr>
      </w:pPr>
      <w:bookmarkEnd w:id="45"/>
      <w:bookmarkStart w:id="46" w:name="_Toc89445997"/>
      <w:bookmarkStart w:id="47" w:name="_Toc101363501"/>
      <w:bookmarkStart w:id="48" w:name="pf_planbesked01"/>
      <w:r>
        <w:rPr>
          <w:noProof w:val="1"/>
        </w:rPr>
        <w:t>Planbesked</w:t>
      </w:r>
      <w:bookmarkEnd w:id="46"/>
      <w:bookmarkEnd w:id="47"/>
    </w:p>
    <w:p>
      <w:pPr>
        <w:rPr>
          <w:noProof w:val="1"/>
        </w:rPr>
      </w:pPr>
      <w:r>
        <w:rPr>
          <w:noProof w:val="1"/>
        </w:rPr>
        <w:t>En ansökan om planbesked inkom i juni 2023 och kommunstyrelsens arbetsutskott beslutade om positivt planbesked i augusti 2023. Planarbete ska inledas direkt efter att planavtal har tecknats.</w:t>
      </w:r>
      <w:bookmarkEnd w:id="48"/>
    </w:p>
    <w:p>
      <w:pPr>
        <w:pStyle w:val="P19"/>
        <w:rPr>
          <w:noProof w:val="1"/>
        </w:rPr>
      </w:pPr>
      <w:bookmarkStart w:id="49" w:name="pu_undersökningenl6kap6_mb01"/>
      <w:r>
        <w:rPr>
          <w:noProof w:val="1"/>
        </w:rPr>
        <w:t>Undersökning</w:t>
      </w:r>
    </w:p>
    <w:p>
      <w:pPr>
        <w:rPr>
          <w:noProof w:val="1"/>
        </w:rPr>
      </w:pPr>
      <w:r>
        <w:rPr>
          <w:noProof w:val="1"/>
        </w:rPr>
        <w:t>En undersökning om betydande miljöpåverkan har tagits fram och samråds i samband med samråd av planändringen. En sammanvägning av konsekvenserna visar att planens genomförande inte bedöms medföra betydande miljöpåverkan. Ställningstagandet grundar sig på bedömningen att ett genomförande av detaljplanen:</w:t>
      </w:r>
    </w:p>
    <w:p>
      <w:pPr>
        <w:pStyle w:val="P25"/>
        <w:numPr>
          <w:ilvl w:val="0"/>
          <w:numId w:val="18"/>
        </w:numPr>
        <w:rPr>
          <w:noProof w:val="1"/>
        </w:rPr>
      </w:pPr>
      <w:r>
        <w:rPr>
          <w:noProof w:val="1"/>
        </w:rPr>
        <w:t>Inte påverkar något Natura 2000-område och därmed inte kräver tillstånd enligt 7 kap 28 § MB</w:t>
      </w:r>
    </w:p>
    <w:p>
      <w:pPr>
        <w:pStyle w:val="P25"/>
        <w:numPr>
          <w:ilvl w:val="0"/>
          <w:numId w:val="18"/>
        </w:numPr>
        <w:rPr>
          <w:noProof w:val="1"/>
        </w:rPr>
      </w:pPr>
      <w:r>
        <w:rPr>
          <w:noProof w:val="1"/>
        </w:rPr>
        <w:t>Inte negativt påverkar möjligheterna att uppfylla nationella eller regionala miljömål, klimatmål och folkhälsomål</w:t>
      </w:r>
    </w:p>
    <w:p>
      <w:pPr>
        <w:pStyle w:val="P25"/>
        <w:numPr>
          <w:ilvl w:val="0"/>
          <w:numId w:val="18"/>
        </w:numPr>
        <w:rPr>
          <w:noProof w:val="1"/>
        </w:rPr>
      </w:pPr>
      <w:r>
        <w:rPr>
          <w:noProof w:val="1"/>
        </w:rPr>
        <w:t>Inte ger upphov till risker för människors hälsa och säkerhet</w:t>
      </w:r>
    </w:p>
    <w:p>
      <w:pPr>
        <w:pStyle w:val="P25"/>
        <w:numPr>
          <w:ilvl w:val="0"/>
          <w:numId w:val="18"/>
        </w:numPr>
        <w:rPr>
          <w:noProof w:val="1"/>
        </w:rPr>
      </w:pPr>
      <w:r>
        <w:rPr>
          <w:noProof w:val="1"/>
        </w:rPr>
        <w:t>Inte bidrar till att några miljökvalitetsnormer överskrids</w:t>
      </w:r>
    </w:p>
    <w:p>
      <w:pPr>
        <w:pStyle w:val="P25"/>
        <w:numPr>
          <w:ilvl w:val="0"/>
          <w:numId w:val="18"/>
        </w:numPr>
        <w:rPr>
          <w:noProof w:val="1"/>
        </w:rPr>
      </w:pPr>
      <w:r>
        <w:rPr>
          <w:noProof w:val="1"/>
        </w:rPr>
        <w:t>Inte på ett betydande sätt påverkar några områden eller natur som har erkänd nationell eller internationell skyddstatus såsom riksintressent eller naturreservat</w:t>
      </w:r>
    </w:p>
    <w:p>
      <w:pPr>
        <w:pStyle w:val="P20"/>
        <w:rPr>
          <w:noProof w:val="1"/>
        </w:rPr>
      </w:pPr>
      <w:bookmarkEnd w:id="49"/>
      <w:bookmarkStart w:id="50" w:name="pu_särskiltbeslutombetydandemiljöpåver01"/>
      <w:r>
        <w:rPr>
          <w:noProof w:val="1"/>
        </w:rPr>
        <w:t>Särskilt beslut om betydande miljöpåverkan</w:t>
      </w:r>
    </w:p>
    <w:p>
      <w:pPr>
        <w:rPr>
          <w:noProof w:val="1"/>
        </w:rPr>
      </w:pPr>
      <w:r>
        <w:rPr>
          <w:noProof w:val="1"/>
        </w:rPr>
        <w:t>Ett beslut om planförslagets miljöpåverkan, enligt 6 kap 7 § MB, fattas i samband med beslut om granskning av kommunstyrelsens arbetsutskott. 2023-12-13 § 296 fattade kommunstyrelsens arbetsutskott beslut om att planförslaget inte kan antas medföra betydande miljöpåverkan.</w:t>
      </w:r>
    </w:p>
    <w:p>
      <w:pPr>
        <w:pStyle w:val="P19"/>
        <w:rPr>
          <w:noProof w:val="1"/>
        </w:rPr>
      </w:pPr>
      <w:bookmarkEnd w:id="50"/>
      <w:bookmarkStart w:id="51" w:name="_Toc89446002"/>
      <w:bookmarkStart w:id="52" w:name="_Toc101363506"/>
      <w:r>
        <w:rPr>
          <w:noProof w:val="1"/>
        </w:rPr>
        <w:t>Riksintressen</w:t>
      </w:r>
    </w:p>
    <w:p>
      <w:pPr>
        <w:pStyle w:val="P20"/>
        <w:rPr>
          <w:noProof w:val="1"/>
        </w:rPr>
      </w:pPr>
      <w:bookmarkEnd w:id="51"/>
      <w:bookmarkEnd w:id="52"/>
      <w:bookmarkStart w:id="53" w:name="_Toc89446005"/>
      <w:bookmarkStart w:id="54" w:name="_Toc101363509"/>
      <w:r>
        <w:rPr>
          <w:noProof w:val="1"/>
        </w:rPr>
        <w:t>Naturvård</w:t>
      </w:r>
      <w:bookmarkEnd w:id="53"/>
      <w:bookmarkEnd w:id="54"/>
    </w:p>
    <w:p>
      <w:pPr>
        <w:rPr>
          <w:noProof w:val="1"/>
        </w:rPr>
      </w:pPr>
      <w:bookmarkStart w:id="55" w:name="pf_naturvård01"/>
      <w:r>
        <w:rPr>
          <w:noProof w:val="1"/>
        </w:rPr>
        <w:t xml:space="preserve">Planändringen ligger inom område för riksintresse för naturvård enligt 3 kap. 6 § MB. </w:t>
      </w:r>
      <w:bookmarkEnd w:id="55"/>
      <w:bookmarkStart w:id="56" w:name="ko_naturvård01"/>
      <w:r>
        <w:rPr>
          <w:noProof w:val="1"/>
        </w:rPr>
        <w:t>Riksintresset bedöms inte påverkas då ändringen är inom ett befintlig industriområde.</w:t>
      </w:r>
    </w:p>
    <w:p>
      <w:pPr>
        <w:pStyle w:val="P20"/>
        <w:rPr>
          <w:noProof w:val="1"/>
        </w:rPr>
      </w:pPr>
      <w:bookmarkEnd w:id="56"/>
      <w:r>
        <w:rPr>
          <w:noProof w:val="1"/>
        </w:rPr>
        <w:t>Friluftsliv</w:t>
      </w:r>
    </w:p>
    <w:p>
      <w:pPr>
        <w:rPr>
          <w:noProof w:val="1"/>
        </w:rPr>
      </w:pPr>
      <w:bookmarkStart w:id="57" w:name="pf_friluftsliv01"/>
      <w:r>
        <w:rPr>
          <w:noProof w:val="1"/>
        </w:rPr>
        <w:t xml:space="preserve">Planändringen ligger strax utanför område för riksintresse för friluftsliv enligt 3 kap. 6 § MB. </w:t>
      </w:r>
      <w:bookmarkEnd w:id="57"/>
      <w:bookmarkStart w:id="58" w:name="ko_friluftsliv01"/>
      <w:r>
        <w:rPr>
          <w:noProof w:val="1"/>
        </w:rPr>
        <w:t>Riksintresset bedöms inte påverkas då ändringen är inom ett befintlig industriområde.</w:t>
      </w:r>
      <w:bookmarkEnd w:id="58"/>
    </w:p>
    <w:p>
      <w:pPr>
        <w:pStyle w:val="P20"/>
        <w:rPr>
          <w:noProof w:val="1"/>
        </w:rPr>
      </w:pPr>
      <w:r>
        <w:rPr>
          <w:noProof w:val="1"/>
        </w:rPr>
        <w:t>Kulturmiljövård</w:t>
      </w:r>
    </w:p>
    <w:p>
      <w:pPr>
        <w:rPr>
          <w:noProof w:val="1"/>
        </w:rPr>
      </w:pPr>
      <w:bookmarkStart w:id="59" w:name="pf_kulturmiljövård01"/>
      <w:r>
        <w:rPr>
          <w:noProof w:val="1"/>
        </w:rPr>
        <w:t>Planändringen ligger strax utanför område för riksintresse för kulturmiljövård enligt 3 kap. 6 § MB.</w:t>
      </w:r>
      <w:bookmarkEnd w:id="59"/>
      <w:bookmarkStart w:id="60" w:name="ko_kulturmiljövård01"/>
      <w:r>
        <w:rPr>
          <w:noProof w:val="1"/>
          <w:rtl w:val="0"/>
          <w:lang w:val="sv-SE" w:bidi="sv-SE" w:eastAsia="sv-SE"/>
        </w:rPr>
        <w:t xml:space="preserve"> </w:t>
      </w:r>
      <w:r>
        <w:rPr>
          <w:noProof w:val="1"/>
        </w:rPr>
        <w:t>Riksintresset bedöms inte påverkas då ändringen är inom ett befintlig industriområde. Se siktanalys och landskapsbild nedan för utförligare resonemang.</w:t>
      </w:r>
    </w:p>
    <w:p>
      <w:pPr>
        <w:pStyle w:val="P20"/>
        <w:rPr>
          <w:noProof w:val="1"/>
        </w:rPr>
      </w:pPr>
      <w:bookmarkEnd w:id="60"/>
      <w:r>
        <w:rPr>
          <w:noProof w:val="1"/>
        </w:rPr>
        <w:t>Totalförsvaret</w:t>
      </w:r>
    </w:p>
    <w:p>
      <w:pPr>
        <w:rPr>
          <w:noProof w:val="1"/>
          <w:lang w:bidi="sv-SE"/>
        </w:rPr>
      </w:pPr>
      <w:bookmarkStart w:id="61" w:name="pf_totalförsvar01"/>
      <w:r>
        <w:rPr>
          <w:noProof w:val="1"/>
        </w:rPr>
        <w:t>Hela planområdet ligger inom riksintresse för totalförsvarets militära del enligt miljöbalken 3 kap. 10 §. Planområdet ligger inom ett av Försvarsmaktens MSA-områden (minimum safety altitude), ett influensområde för luftrummet vilket innebär att höga objekt inte får uppföras inom området. För höga objekt gäller att samtliga objekt högre än 20 meter utanför sammanhållen bebyggelse och högre än 45 meter inom sammanhållande bebyggelse (enligt LFV:s definition) kan utgöra flygsäkerhetsrisk och begränsa verksamheten vid flygplatsen/flottiljen. Höga objekt kan eventuellt uppföras inom MSA-områden om totalhöjden över marken inte uppnår de höjdbegränsningarna som gäller (samt om ingen annan konflikt med riksintresse eller påverkansområde föreligger).</w:t>
      </w:r>
      <w:bookmarkEnd w:id="61"/>
      <w:r>
        <w:rPr>
          <w:noProof w:val="1"/>
        </w:rPr>
        <w:t xml:space="preserve"> </w:t>
      </w:r>
      <w:bookmarkStart w:id="62" w:name="ko_totalförsvar01"/>
      <w:r>
        <w:rPr>
          <w:noProof w:val="1"/>
        </w:rPr>
        <w:t>Planområdet bedöms ligga inom sammanhållen bebyggelse.</w:t>
      </w:r>
      <w:r>
        <w:rPr>
          <w:noProof w:val="1"/>
          <w:lang w:bidi="sv-SE"/>
        </w:rPr>
        <w:t xml:space="preserve"> Ingen byggnation över 45 meter föreslås varför riksintresse för totaltförsvaret inte bedöms påverkas.</w:t>
      </w:r>
      <w:bookmarkEnd w:id="62"/>
      <w:bookmarkStart w:id="63" w:name="_Toc89446017"/>
      <w:bookmarkStart w:id="64" w:name="_Toc101363521"/>
    </w:p>
    <w:p>
      <w:pPr>
        <w:pStyle w:val="P20"/>
        <w:rPr>
          <w:noProof w:val="1"/>
        </w:rPr>
      </w:pPr>
      <w:r>
        <w:rPr>
          <w:noProof w:val="1"/>
        </w:rPr>
        <w:t>Rörligt friluftsliv</w:t>
      </w:r>
    </w:p>
    <w:p>
      <w:pPr>
        <w:rPr>
          <w:noProof w:val="1"/>
        </w:rPr>
      </w:pPr>
      <w:bookmarkEnd w:id="63"/>
      <w:bookmarkEnd w:id="64"/>
      <w:bookmarkStart w:id="65" w:name="pf_rörligtfriluftsliv01"/>
      <w:bookmarkStart w:id="66" w:name="_Toc89446023"/>
      <w:bookmarkStart w:id="67" w:name="_Toc101363527"/>
      <w:r>
        <w:rPr>
          <w:noProof w:val="1"/>
        </w:rPr>
        <w:t xml:space="preserve">Planändringen ligger inom område för riksintresse för rörligt friluftsliv enligt 4 kap. 2 § MB. </w:t>
      </w:r>
      <w:bookmarkEnd w:id="65"/>
      <w:bookmarkStart w:id="68" w:name="ko_rörligtfriluftsliv01"/>
      <w:r>
        <w:rPr>
          <w:noProof w:val="1"/>
        </w:rPr>
        <w:t xml:space="preserve">Riksintresset bedöms inte påverkas då ändringen är inom ett befintligt industriområde. Se siktanalys och landskapsbild nedan för utförligare resonemang. </w:t>
      </w:r>
      <w:bookmarkEnd w:id="68"/>
    </w:p>
    <w:p>
      <w:pPr>
        <w:pStyle w:val="P20"/>
        <w:rPr>
          <w:noProof w:val="1"/>
        </w:rPr>
      </w:pPr>
      <w:r>
        <w:rPr>
          <w:noProof w:val="1"/>
        </w:rPr>
        <w:t>Natura 2000</w:t>
      </w:r>
    </w:p>
    <w:p>
      <w:pPr>
        <w:rPr>
          <w:noProof w:val="1"/>
        </w:rPr>
      </w:pPr>
      <w:bookmarkEnd w:id="66"/>
      <w:bookmarkEnd w:id="67"/>
      <w:bookmarkStart w:id="69" w:name="pf_natura200001"/>
      <w:r>
        <w:rPr>
          <w:noProof w:val="1"/>
        </w:rPr>
        <w:t xml:space="preserve">Ändringen ligger inte inom, men strax utanför Natura 2000-området Kinnekulle. </w:t>
      </w:r>
      <w:bookmarkEnd w:id="69"/>
      <w:bookmarkStart w:id="70" w:name="ko_natura200001"/>
      <w:r>
        <w:rPr>
          <w:noProof w:val="1"/>
        </w:rPr>
        <w:t>Den bgränsade ändri</w:t>
      </w:r>
      <w:bookmarkStart w:id="71" w:name="_GoBack"/>
      <w:bookmarkEnd w:id="71"/>
      <w:r>
        <w:rPr>
          <w:noProof w:val="1"/>
        </w:rPr>
        <w:t>ngen bedöms inte påverka Natura 2000-området då den ligger inom befintligt industriområde.</w:t>
      </w:r>
      <w:bookmarkEnd w:id="70"/>
    </w:p>
    <w:p>
      <w:pPr>
        <w:pStyle w:val="P19"/>
      </w:pPr>
      <w:bookmarkStart w:id="72" w:name="_Toc89446025"/>
      <w:bookmarkStart w:id="73" w:name="_Toc101363529"/>
      <w:r>
        <w:t>Hushållningsbestämmelser enligt 3 kap. Miljöbalken</w:t>
      </w:r>
    </w:p>
    <w:p>
      <w:pPr>
        <w:rPr>
          <w:noProof w:val="1"/>
          <w:shd w:val="clear" w:color="auto" w:fill="FFFFFF"/>
        </w:rPr>
      </w:pPr>
      <w:bookmarkEnd w:id="72"/>
      <w:bookmarkEnd w:id="73"/>
      <w:bookmarkStart w:id="74" w:name="pf_hushållningsbestämmelserenl3kap_mb01"/>
      <w:r>
        <w:rPr>
          <w:noProof w:val="1"/>
          <w:shd w:val="clear" w:color="auto" w:fill="FFFFFF"/>
        </w:rPr>
        <w:t>Planändringsområdet omfattar inte jordbruksmark, mark för skogsbruk, oexploaterade områden eller ekologiskt särskilt känsliga områden.</w:t>
      </w:r>
    </w:p>
    <w:p>
      <w:pPr>
        <w:pStyle w:val="P19"/>
        <w:rPr>
          <w:noProof w:val="1"/>
        </w:rPr>
      </w:pPr>
      <w:bookmarkEnd w:id="74"/>
      <w:bookmarkStart w:id="75" w:name="_Toc89446030"/>
      <w:bookmarkStart w:id="76" w:name="_Toc101363534"/>
      <w:r>
        <w:rPr>
          <w:noProof w:val="1"/>
        </w:rPr>
        <w:t>Miljökvalitetsnormer</w:t>
      </w:r>
    </w:p>
    <w:p>
      <w:pPr>
        <w:rPr>
          <w:noProof w:val="1"/>
        </w:rPr>
      </w:pPr>
      <w:bookmarkEnd w:id="75"/>
      <w:bookmarkEnd w:id="76"/>
      <w:bookmarkStart w:id="77" w:name="ko_vatten01"/>
      <w:r>
        <w:rPr>
          <w:noProof w:val="1"/>
          <w:shd w:val="clear" w:color="auto" w:fill="FFFFFF"/>
        </w:rPr>
        <w:t>Planändringen bedöms inte påverka möjligheten att uppnå gällande miljökvalitetsnormer.</w:t>
      </w:r>
    </w:p>
    <w:p>
      <w:pPr>
        <w:pStyle w:val="P19"/>
        <w:rPr>
          <w:noProof w:val="1"/>
        </w:rPr>
      </w:pPr>
      <w:bookmarkEnd w:id="77"/>
      <w:bookmarkStart w:id="78" w:name="_Toc89446035"/>
      <w:bookmarkStart w:id="79" w:name="_Toc101363539"/>
      <w:r>
        <w:rPr>
          <w:noProof w:val="1"/>
        </w:rPr>
        <w:t>Miljö</w:t>
      </w:r>
    </w:p>
    <w:p>
      <w:pPr>
        <w:pStyle w:val="P20"/>
        <w:rPr>
          <w:noProof w:val="1"/>
        </w:rPr>
      </w:pPr>
      <w:bookmarkEnd w:id="78"/>
      <w:bookmarkEnd w:id="79"/>
      <w:bookmarkStart w:id="80" w:name="_Toc89446036"/>
      <w:bookmarkStart w:id="81" w:name="_Toc101363540"/>
      <w:r>
        <w:rPr>
          <w:noProof w:val="1"/>
        </w:rPr>
        <w:t>Strandskydd</w:t>
      </w:r>
      <w:bookmarkEnd w:id="80"/>
      <w:bookmarkEnd w:id="81"/>
      <w:r>
        <w:rPr>
          <w:noProof w:val="1"/>
        </w:rPr>
        <w:t xml:space="preserve"> </w:t>
      </w:r>
    </w:p>
    <w:p>
      <w:pPr>
        <w:rPr>
          <w:noProof w:val="1"/>
        </w:rPr>
      </w:pPr>
      <w:bookmarkStart w:id="82" w:name="pf_strandskydd01"/>
      <w:r>
        <w:rPr>
          <w:noProof w:val="1"/>
        </w:rPr>
        <w:t>Delar av planändringen och den ursprunliga detaljplanen omfattas av strandskydd (Vänern). Strandskyddet är genom bestämmelse i ursprungsplanen upphävt och prövas inte igen i denna ändring.</w:t>
      </w:r>
    </w:p>
    <w:p>
      <w:pPr>
        <w:pStyle w:val="P20"/>
        <w:rPr>
          <w:noProof w:val="1"/>
        </w:rPr>
      </w:pPr>
      <w:bookmarkEnd w:id="82"/>
      <w:bookmarkStart w:id="83" w:name="_Toc89446037"/>
      <w:bookmarkStart w:id="84" w:name="_Toc101363541"/>
      <w:r>
        <w:rPr>
          <w:noProof w:val="1"/>
        </w:rPr>
        <w:t>Dagvatten</w:t>
      </w:r>
      <w:bookmarkEnd w:id="83"/>
      <w:bookmarkEnd w:id="84"/>
    </w:p>
    <w:p>
      <w:pPr>
        <w:rPr>
          <w:noProof w:val="1"/>
        </w:rPr>
      </w:pPr>
      <w:bookmarkStart w:id="85" w:name="pf_dagvatten01"/>
      <w:r>
        <w:rPr>
          <w:noProof w:val="1"/>
        </w:rPr>
        <w:t>Området får redan idag bebyggas och ett tillräckligt omhändertagande av dagvatten finns i ursprunlig detaljplan.</w:t>
      </w:r>
      <w:bookmarkEnd w:id="85"/>
      <w:r>
        <w:rPr>
          <w:noProof w:val="1"/>
        </w:rPr>
        <w:t xml:space="preserve"> </w:t>
      </w:r>
      <w:bookmarkStart w:id="86" w:name="ko_dagvatten01"/>
      <w:r>
        <w:rPr>
          <w:noProof w:val="1"/>
        </w:rPr>
        <w:t>Ändringen bedöms inte påverka dagvattenhanteringen alls.</w:t>
      </w:r>
      <w:bookmarkEnd w:id="86"/>
    </w:p>
    <w:p>
      <w:pPr>
        <w:pStyle w:val="P19"/>
        <w:rPr>
          <w:noProof w:val="1"/>
        </w:rPr>
      </w:pPr>
      <w:bookmarkStart w:id="87" w:name="_Toc89446038"/>
      <w:bookmarkStart w:id="88" w:name="_Toc101363542"/>
      <w:r>
        <w:rPr>
          <w:noProof w:val="1"/>
        </w:rPr>
        <w:t>Hälsa och säkerhet</w:t>
      </w:r>
      <w:bookmarkEnd w:id="87"/>
      <w:bookmarkEnd w:id="88"/>
    </w:p>
    <w:p>
      <w:pPr>
        <w:pStyle w:val="P20"/>
        <w:rPr>
          <w:noProof w:val="1"/>
        </w:rPr>
      </w:pPr>
      <w:bookmarkStart w:id="89" w:name="_Toc89446039"/>
      <w:bookmarkStart w:id="90" w:name="_Toc101363543"/>
      <w:r>
        <w:rPr>
          <w:noProof w:val="1"/>
        </w:rPr>
        <w:t>Omgivningsbuller</w:t>
      </w:r>
      <w:bookmarkEnd w:id="89"/>
      <w:bookmarkEnd w:id="90"/>
      <w:r>
        <w:rPr>
          <w:noProof w:val="1"/>
        </w:rPr>
        <w:t xml:space="preserve"> </w:t>
      </w:r>
    </w:p>
    <w:p>
      <w:pPr>
        <w:rPr>
          <w:noProof w:val="1"/>
        </w:rPr>
      </w:pPr>
      <w:bookmarkStart w:id="91" w:name="pf_omgivningsbuller01"/>
      <w:bookmarkStart w:id="92" w:name="_Toc89446040"/>
      <w:bookmarkStart w:id="93" w:name="_Toc101363544"/>
      <w:r>
        <w:rPr>
          <w:noProof w:val="1"/>
        </w:rPr>
        <w:t>Buller inom det aktuella området regleras i det miljötillstånd som finns för verksamheten.</w:t>
      </w:r>
      <w:bookmarkEnd w:id="91"/>
      <w:r>
        <w:rPr>
          <w:noProof w:val="1"/>
        </w:rPr>
        <w:t xml:space="preserve"> </w:t>
      </w:r>
      <w:bookmarkStart w:id="94" w:name="ko_beräkningavomgivningsbuller01"/>
      <w:r>
        <w:rPr>
          <w:noProof w:val="1"/>
        </w:rPr>
        <w:t>Planändringen bedöms inte medföra någon förändring av bullernivåerna inom eller angränsande området.</w:t>
      </w:r>
      <w:bookmarkEnd w:id="94"/>
    </w:p>
    <w:p>
      <w:pPr>
        <w:pStyle w:val="P20"/>
        <w:rPr>
          <w:noProof w:val="1"/>
        </w:rPr>
      </w:pPr>
      <w:bookmarkEnd w:id="92"/>
      <w:bookmarkEnd w:id="93"/>
      <w:bookmarkStart w:id="95" w:name="_Toc89446041"/>
      <w:bookmarkStart w:id="96" w:name="_Toc101363545"/>
      <w:r>
        <w:rPr>
          <w:noProof w:val="1"/>
        </w:rPr>
        <w:t>Risk för översvämning</w:t>
      </w:r>
    </w:p>
    <w:p>
      <w:pPr>
        <w:rPr>
          <w:noProof w:val="1"/>
        </w:rPr>
      </w:pPr>
      <w:bookmarkEnd w:id="95"/>
      <w:bookmarkEnd w:id="96"/>
      <w:bookmarkStart w:id="97" w:name="ko_översvämning01"/>
      <w:r>
        <w:rPr>
          <w:noProof w:val="1"/>
        </w:rPr>
        <w:t>Området får inte totalt sett en större byggrätt genom ändringen och får bebyggas helt redan genom ursprunglig detaljplan varför ändringen inte förändrar risken för översvämning.</w:t>
      </w:r>
    </w:p>
    <w:p>
      <w:pPr>
        <w:pStyle w:val="P19"/>
        <w:rPr>
          <w:noProof w:val="1"/>
        </w:rPr>
      </w:pPr>
      <w:bookmarkEnd w:id="97"/>
      <w:bookmarkStart w:id="98" w:name="_Toc89446045"/>
      <w:bookmarkStart w:id="99" w:name="_Toc101363549"/>
      <w:r>
        <w:rPr>
          <w:noProof w:val="1"/>
        </w:rPr>
        <w:t>Geotekniska förhållanden</w:t>
      </w:r>
    </w:p>
    <w:p>
      <w:pPr>
        <w:rPr>
          <w:noProof w:val="1"/>
        </w:rPr>
      </w:pPr>
      <w:bookmarkEnd w:id="98"/>
      <w:bookmarkEnd w:id="99"/>
      <w:bookmarkStart w:id="100" w:name="pf_geotekniskaförhållanden01"/>
      <w:r>
        <w:rPr>
          <w:noProof w:val="1"/>
        </w:rPr>
        <w:t>Genom erfarenhet från befintlig bebyggelse och ursprunlig detaljplan som är framtagen relativt nyligen bedöms de geotekniska förhållandena som goda inom planändringsområdet.</w:t>
      </w:r>
    </w:p>
    <w:p>
      <w:pPr>
        <w:pStyle w:val="P19"/>
        <w:rPr>
          <w:noProof w:val="1"/>
        </w:rPr>
      </w:pPr>
      <w:bookmarkEnd w:id="100"/>
      <w:bookmarkStart w:id="101" w:name="_Toc89446047"/>
      <w:bookmarkStart w:id="102" w:name="_Toc101363551"/>
      <w:r>
        <w:rPr>
          <w:noProof w:val="1"/>
        </w:rPr>
        <w:t>Kulturmiljö</w:t>
      </w:r>
      <w:bookmarkEnd w:id="101"/>
      <w:bookmarkEnd w:id="102"/>
      <w:r>
        <w:rPr>
          <w:noProof w:val="1"/>
        </w:rPr>
        <w:t xml:space="preserve"> och fysisk miljö</w:t>
      </w:r>
    </w:p>
    <w:p>
      <w:pPr>
        <w:pStyle w:val="P20"/>
        <w:rPr>
          <w:noProof w:val="1"/>
        </w:rPr>
      </w:pPr>
      <w:r>
        <w:rPr>
          <w:noProof w:val="1"/>
        </w:rPr>
        <w:t>Siktanalys och landskapsbild</w:t>
      </w:r>
    </w:p>
    <w:p>
      <w:bookmarkStart w:id="103" w:name="pf_kulturmiljö02"/>
      <w:r>
        <w:rPr>
          <w:noProof w:val="1"/>
        </w:rPr>
        <mc:AlternateContent>
          <mc:Choice Requires="wps">
            <w:drawing>
              <wp:anchor xmlns:wp="http://schemas.openxmlformats.org/drawingml/2006/wordprocessingDrawing" distT="0" distB="0" distL="114300" distR="114300" simplePos="0" relativeHeight="5" behindDoc="0" locked="0" layoutInCell="1" allowOverlap="1">
                <wp:simplePos x="0" y="0"/>
                <wp:positionH relativeFrom="column">
                  <wp:posOffset>0</wp:posOffset>
                </wp:positionH>
                <wp:positionV relativeFrom="paragraph">
                  <wp:posOffset>5756275</wp:posOffset>
                </wp:positionV>
                <wp:extent cx="5518150" cy="635"/>
                <wp:effectExtent l="0" t="0" r="0" b="0"/>
                <wp:wrapTopAndBottom/>
                <wp:docPr id="12" name="Textruta 12"/>
                <wp:cNvGraphicFramePr/>
                <a:graphic xmlns:a="http://schemas.openxmlformats.org/drawingml/2006/main">
                  <a:graphicData uri="http://schemas.microsoft.com/office/word/2010/wordprocessingShape">
                    <wps:wsp>
                      <wps:cNvSpPr txBox="1"/>
                      <wps:spPr>
                        <a:xfrm>
                          <a:off x="0" y="0"/>
                          <a:ext cx="5518150" cy="635"/>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2"/>
                              <w:rPr>
                                <w:noProof w:val="1"/>
                                <w:color w:val="000000"/>
                                <w:sz w:val="24"/>
                              </w:rPr>
                            </w:pPr>
                            <w:r>
                              <w:t>F</w:t>
                            </w:r>
                            <w:bookmarkStart w:id="0" w:name="pf_kulturmiljö03"/>
                            <w:r>
                              <w:t xml:space="preserve">igur </w:t>
                            </w:r>
                            <w:r>
                              <w:fldChar w:fldCharType="begin"/>
                            </w:r>
                            <w:r>
                              <w:instrText xml:space="preserve"> SEQ Figur \* ARABIC </w:instrText>
                            </w:r>
                            <w:r>
                              <w:fldChar w:fldCharType="separate"/>
                            </w:r>
                            <w:r>
                              <w:rPr>
                                <w:noProof w:val="1"/>
                              </w:rPr>
                              <w:t>3</w:t>
                            </w:r>
                            <w:r>
                              <w:rPr>
                                <w:noProof w:val="1"/>
                              </w:rPr>
                              <w:fldChar w:fldCharType="end"/>
                            </w:r>
                            <w:r>
                              <w:t>. Bild hämtad från ursprungliga planbeskrivningen. Beskriver vilka punkter som ingått i analysen och vilken synlighet som exploateringen skulle ha från dessa punkter.</w:t>
                            </w:r>
                            <w:bookmarkEnd w:id="0"/>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xmlns:o="urn:schemas-microsoft-com:office:office" type="#_x0000_t202" id="Textruta 12" o:spid="_x0000_s1050" style="position:absolute;width:434.5pt;height:0.05pt;z-index:5;mso-wrap-distance-left:9pt;mso-wrap-distance-top:0pt;mso-wrap-distance-right:9pt;mso-wrap-distance-bottom:0pt;margin-left:0pt;margin-top:453.25pt;mso-position-horizontal:absolute;mso-position-horizontal-relative:text;mso-position-vertical:absolute;mso-position-vertical-relative:text" o:allowincell="t" fillcolor="#FFFFFF" stroked="f">
                <v:textbox style="mso-fit-shape-to-text:t" inset="0mm,0mm,0mm,0mm">
                  <w:txbxContent>
                    <w:p>
                      <w:pPr>
                        <w:pStyle w:val="P32"/>
                        <w:rPr>
                          <w:noProof w:val="1"/>
                          <w:color w:val="000000"/>
                          <w:sz w:val="24"/>
                        </w:rPr>
                      </w:pPr>
                      <w:r>
                        <w:t>F</w:t>
                      </w:r>
                      <w:bookmarkStart w:id="0" w:name="pf_kulturmiljö03"/>
                      <w:r>
                        <w:t xml:space="preserve">igur </w:t>
                      </w:r>
                      <w:r>
                        <w:fldChar w:fldCharType="begin"/>
                      </w:r>
                      <w:r>
                        <w:instrText xml:space="preserve"> SEQ Figur \* ARABIC </w:instrText>
                      </w:r>
                      <w:r>
                        <w:fldChar w:fldCharType="separate"/>
                      </w:r>
                      <w:r>
                        <w:rPr>
                          <w:noProof w:val="1"/>
                        </w:rPr>
                        <w:t>3</w:t>
                      </w:r>
                      <w:r>
                        <w:rPr>
                          <w:noProof w:val="1"/>
                        </w:rPr>
                        <w:fldChar w:fldCharType="end"/>
                      </w:r>
                      <w:r>
                        <w:t>. Bild hämtad från ursprungliga planbeskrivningen. Beskriver vilka punkter som ingått i analysen och vilken synlighet som exploateringen skulle ha från dessa punkter.</w:t>
                      </w:r>
                      <w:bookmarkEnd w:id="0"/>
                    </w:p>
                  </w:txbxContent>
                </v:textbox>
                <w10:wrap type="topAndBottom"/>
              </v:shape>
            </w:pict>
          </mc:Fallback>
        </mc:AlternateContent>
      </w:r>
      <w:bookmarkEnd w:id="103"/>
      <w:r>
        <w:rPr>
          <w:noProof w:val="1"/>
        </w:rPr>
        <mc:AlternateContent>
          <mc:Choice Requires="wps">
            <w:drawing>
              <wp:anchor xmlns:wp="http://schemas.openxmlformats.org/drawingml/2006/wordprocessingDrawing" distT="0" distB="0" distL="114300" distR="114300" simplePos="0" relativeHeight="4" behindDoc="0" locked="0" layoutInCell="1" allowOverlap="1">
                <wp:simplePos x="0" y="0"/>
                <wp:positionH relativeFrom="margin">
                  <wp:posOffset>0</wp:posOffset>
                </wp:positionH>
                <wp:positionV relativeFrom="paragraph">
                  <wp:posOffset>1223010</wp:posOffset>
                </wp:positionV>
                <wp:extent cx="5518150" cy="4476115"/>
                <wp:effectExtent l="0" t="0" r="6350" b="635"/>
                <wp:wrapTopAndBottom/>
                <wp:docPr id="8" name="Rektangel 8"/>
                <wp:cNvGraphicFramePr/>
                <a:graphic xmlns:a="http://schemas.openxmlformats.org/drawingml/2006/main">
                  <a:graphicData uri="http://schemas.microsoft.com/office/word/2010/wordprocessingShape">
                    <wps:wsp>
                      <wps:cNvSpPr/>
                      <wps:spPr>
                        <a:xfrm>
                          <a:off x="0" y="0"/>
                          <a:ext cx="5518150" cy="4476115"/>
                        </a:xfrm>
                        <a:prstGeom prst="rect"/>
                        <a:blipFill dpi="0" rotWithShape="0">
                          <a:blip xmlns:r="http://schemas.openxmlformats.org/officeDocument/2006/relationships" r:embed="Relimage6" cstate="print"/>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xmlns:o="urn:schemas-microsoft-com:office:office" id="Rektangel 8" o:spid="_x0000_s1051" style="position:absolute;width:434.5pt;height:352.45pt;z-index:4;mso-wrap-distance-left:9pt;mso-wrap-distance-top:0pt;mso-wrap-distance-right:9pt;mso-wrap-distance-bottom:0pt;margin-left:0pt;margin-top:96.3pt;mso-position-horizontal:absolute;mso-position-horizontal-relative:margin;mso-position-vertical:absolute;mso-position-vertical-relative:text;v-text-anchor:middle" o:allowincell="t" fillcolor="#FFFFFF" strokeweight="1pt" stroked="f">
                <v:textbox inset="3mm,1mm,3mm,1mm">
                  <w:txbxContent>
                    <w:p/>
                  </w:txbxContent>
                </v:textbox>
                <w10:wrap type="topAndBottom"/>
              </v:rect>
            </w:pict>
          </mc:Fallback>
        </mc:AlternateContent>
      </w:r>
      <w:bookmarkStart w:id="104" w:name="pf_kulturmiljö01"/>
      <w:r>
        <w:t>Till den ursprungliga detaljplanen togs en siktanalys fram då planområdet berörs av riksintresse för kulturmiljö, Kinnekulle, där landskapsbilden är en av de framstående delarna. Både synlighet från och mot riksintresseområdet har studerats för att visa vilka konsekvenserna blir på riksintresset. Åtta vypunkter valdes ut och på fyra av dessa skulle byggnaderna synas i varierande grad. Utöver dessa punkter är verksamheten synlig från flera platser, men då främst genom att den befintliga skorstenen på 91 meter syns.</w:t>
      </w:r>
    </w:p>
    <w:p>
      <w:bookmarkEnd w:id="104"/>
      <w:bookmarkStart w:id="105" w:name="ko_annat01"/>
      <w:r>
        <w:t>Aktuell ändring föreslår en något högre nockhöjd. Efter genomgång av analysen bedöms fortfarande att byggnationen blir synlig från dessa fyra platser men inte från någon av de fyra andra platserna. Placering av högre byggnader enligt den ändrade detaljplanen påverkar inte synligheten i någon högre grad. Den höjning av tillåten nockhöjd som föreslås är begränsad och byggnaderna kommer fortfarande till största del att avskärmas av växtlighet. Bestämmelse om färgsättning finns liksom att byggnader/byggnadsdelar över 25 meter ska delas upp för att upplevelsen inte ska påverkas negativt i någon större grad.</w:t>
      </w:r>
    </w:p>
    <w:p>
      <w:bookmarkEnd w:id="105"/>
      <w:bookmarkStart w:id="106" w:name="ko_annat02"/>
      <w:r>
        <w:t>Från vypunkt 6 togs ett fotomontage fram till ursprungliga detaljplanen då bebyggelsen bedöms bli mest synlig från vattnet förutom platser alldeles intill industriområdet. Nya montage från vypunkt 6 har tagits fram till denna ändring. Byggnadernas färger är valda för att bebyggelsen ska synas i montagen och representerar inte den tillåtna färgskalan. Byggnaderna har den föreslagna tillåtna nockhöjden på 38 meter. En markering finns för gällande nockhöjd på 35 meter. I figur 4 och 5 visas exempel på tillåten bebyggelse i två olika placeringar, fler möjligheter finns. För att skillnaden mellan tillåten nockhöjd idag och den föreslagna nockhöjden ska synas tydligare har en förstoring av industriområdet gjorts i figur 6.</w:t>
      </w:r>
    </w:p>
    <w:p>
      <w:r>
        <w:rPr>
          <w:noProof w:val="1"/>
        </w:rPr>
        <mc:AlternateContent>
          <mc:Choice Requires="wpg">
            <w:drawing>
              <wp:inline xmlns:wp="http://schemas.openxmlformats.org/drawingml/2006/wordprocessingDrawing" distT="0" distB="0" distL="0" distR="0">
                <wp:extent cx="5731510" cy="2161540"/>
                <wp:effectExtent l="0" t="0" r="2540" b="0"/>
                <wp:docPr id="199" name="Grupp 199"/>
                <wp:cNvGraphicFramePr/>
                <a:graphic xmlns:a="http://schemas.openxmlformats.org/drawingml/2006/main">
                  <a:graphicData uri="http://schemas.microsoft.com/office/word/2010/wordprocessingGroup">
                    <wpg:wgp>
                      <wpg:cNvGrpSpPr/>
                      <wpg:grpSpPr>
                        <a:xfrm>
                          <a:off x="0" y="0"/>
                          <a:ext cx="5731510" cy="2161540"/>
                          <a:chOff x="0" y="0"/>
                          <a:chExt cx="5731510" cy="2161540"/>
                        </a:xfrm>
                      </wpg:grpSpPr>
                      <pic:pic xmlns:pic="http://schemas.openxmlformats.org/drawingml/2006/picture">
                        <pic:nvPicPr>
                          <pic:cNvPr id="192" name="Bildobjekt 192"/>
                          <pic:cNvPicPr>
                            <a:picLocks noChangeAspect="1"/>
                          </pic:cNvPicPr>
                        </pic:nvPicPr>
                        <pic:blipFill dpi="0">
                          <a:blip xmlns:r="http://schemas.openxmlformats.org/officeDocument/2006/relationships" r:embed="Relimage7" cstate="print"/>
                          <a:srcRect/>
                          <a:stretch>
                            <a:fillRect/>
                          </a:stretch>
                        </pic:blipFill>
                        <pic:spPr>
                          <a:xfrm>
                            <a:off x="0" y="0"/>
                            <a:ext cx="5731510" cy="1711325"/>
                          </a:xfrm>
                          <a:prstGeom prst="rect"/>
                        </pic:spPr>
                      </pic:pic>
                      <wps:wsp>
                        <wps:cNvPr id="197" name="Textruta 197"/>
                        <wps:cNvSpPr txBox="1"/>
                        <wps:spPr>
                          <a:xfrm>
                            <a:off x="0" y="1771650"/>
                            <a:ext cx="5731510" cy="389890"/>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2"/>
                                <w:rPr>
                                  <w:noProof w:val="1"/>
                                  <w:color w:val="000000"/>
                                  <w:sz w:val="24"/>
                                </w:rPr>
                              </w:pPr>
                              <w:r>
                                <w:t xml:space="preserve">Figur </w:t>
                              </w:r>
                              <w:r>
                                <w:fldChar w:fldCharType="begin"/>
                              </w:r>
                              <w:r>
                                <w:instrText xml:space="preserve"> SEQ Figur \* ARABIC </w:instrText>
                              </w:r>
                              <w:r>
                                <w:fldChar w:fldCharType="separate"/>
                              </w:r>
                              <w:r>
                                <w:rPr>
                                  <w:noProof w:val="1"/>
                                </w:rPr>
                                <w:t>4</w:t>
                              </w:r>
                              <w:r>
                                <w:rPr>
                                  <w:noProof w:val="1"/>
                                </w:rPr>
                                <w:fldChar w:fldCharType="end"/>
                              </w:r>
                              <w:r>
                                <w:t>. Fotomontage med byggnader placerade i samma lägen som ursprunglig plan tillåter men med högre nockhöjd. Fotomontage: Sweco.</w:t>
                              </w:r>
                            </w:p>
                          </w:txbxContent>
                        </wps:txbx>
                        <wps:bodyPr rot="0" spcFirstLastPara="0" vertOverflow="overflow" horzOverflow="overflow" vert="horz" wrap="square" lIns="0" tIns="0" rIns="0" bIns="0" numCol="1" spcCol="0" rtlCol="0" fromWordArt="0" anchor="t" anchorCtr="0" forceAA="0" compatLnSpc="1">
                          <a:spAutoFit/>
                        </wps:bodyPr>
                      </wps:wsp>
                    </wpg:wgp>
                  </a:graphicData>
                </a:graphic>
              </wp:inline>
            </w:drawing>
          </mc:Choice>
          <mc:Fallback>
            <w:pict>
              <v:group xmlns:o="urn:schemas-microsoft-com:office:office" id="Grupp 199" style="width:451.3pt;height:170.2pt;mso-wrap-distance-left:0pt;mso-wrap-distance-top:0pt;mso-wrap-distance-right:0pt;mso-wrap-distance-bottom:0pt;margin-left:0pt;margin-top:0pt;mso-position-horizontal:absolute;mso-position-horizontal-relative:page;mso-position-vertical:absolute;mso-position-vertical-relative:page" coordorigin="0,0" coordsize="5731510,2161540" o:allowoverlap="f">
                <v:shape id="Bildobjekt 192" o:spid="_x0000_s1053" type="#_x0000_t75" style="position:absolute;width:5731510;height:1711325" o:preferrelative="t" stroked="f" o:allowoverlap="f">
                  <v:imagedata src="Relimage7" o:title=""/>
                  <o:lock aspectratio="t"/>
                </v:shape>
                <v:shape type="#_x0000_t202" id="Textruta 197" o:spid="_x0000_s1054" style="position:absolute;top:1771650;width:5731510;height:389890" o:allowoverlap="f" fillcolor="#FFFFFF" stroked="f">
                  <v:textbox style="mso-fit-shape-to-text:t" inset="0mm,0mm,0mm,0mm">
                    <w:txbxContent>
                      <w:p>
                        <w:pPr>
                          <w:pStyle w:val="P32"/>
                          <w:rPr>
                            <w:noProof w:val="1"/>
                            <w:color w:val="000000"/>
                            <w:sz w:val="24"/>
                          </w:rPr>
                        </w:pPr>
                        <w:r>
                          <w:t xml:space="preserve">Figur </w:t>
                        </w:r>
                        <w:r>
                          <w:fldChar w:fldCharType="begin"/>
                        </w:r>
                        <w:r>
                          <w:instrText xml:space="preserve"> SEQ Figur \* ARABIC </w:instrText>
                        </w:r>
                        <w:r>
                          <w:fldChar w:fldCharType="separate"/>
                        </w:r>
                        <w:r>
                          <w:rPr>
                            <w:noProof w:val="1"/>
                          </w:rPr>
                          <w:t>4</w:t>
                        </w:r>
                        <w:r>
                          <w:rPr>
                            <w:noProof w:val="1"/>
                          </w:rPr>
                          <w:fldChar w:fldCharType="end"/>
                        </w:r>
                        <w:r>
                          <w:t>. Fotomontage med byggnader placerade i samma lägen som ursprunglig plan tillåter men med högre nockhöjd. Fotomontage: Sweco.</w:t>
                        </w:r>
                      </w:p>
                    </w:txbxContent>
                  </v:textbox>
                </v:shape>
              </v:group>
            </w:pict>
          </mc:Fallback>
        </mc:AlternateContent>
      </w:r>
      <w:r>
        <w:rPr>
          <w:noProof w:val="1"/>
        </w:rPr>
        <mc:AlternateContent>
          <mc:Choice Requires="wpg">
            <w:drawing>
              <wp:inline xmlns:wp="http://schemas.openxmlformats.org/drawingml/2006/wordprocessingDrawing" distT="0" distB="0" distL="0" distR="0">
                <wp:extent cx="5753735" cy="2106295"/>
                <wp:effectExtent l="0" t="0" r="0" b="8255"/>
                <wp:docPr id="204" name="Grupp 204"/>
                <wp:cNvGraphicFramePr/>
                <a:graphic xmlns:a="http://schemas.openxmlformats.org/drawingml/2006/main">
                  <a:graphicData uri="http://schemas.microsoft.com/office/word/2010/wordprocessingGroup">
                    <wpg:wgp>
                      <wpg:cNvGrpSpPr/>
                      <wpg:grpSpPr>
                        <a:xfrm>
                          <a:off x="0" y="0"/>
                          <a:ext cx="5753735" cy="2106848"/>
                          <a:chOff x="-316984" y="-219434"/>
                          <a:chExt cx="5760110" cy="2109331"/>
                        </a:xfrm>
                      </wpg:grpSpPr>
                      <pic:pic xmlns:pic="http://schemas.openxmlformats.org/drawingml/2006/picture">
                        <pic:nvPicPr>
                          <pic:cNvPr id="30" name="Bildobjekt 30"/>
                          <pic:cNvPicPr>
                            <a:picLocks noChangeAspect="1"/>
                          </pic:cNvPicPr>
                        </pic:nvPicPr>
                        <pic:blipFill dpi="0">
                          <a:blip xmlns:r="http://schemas.openxmlformats.org/officeDocument/2006/relationships" r:embed="Relimage8" cstate="print"/>
                          <a:srcRect l="1" t="14250" r="8" b="30713"/>
                          <a:stretch>
                            <a:fillRect/>
                          </a:stretch>
                        </pic:blipFill>
                        <pic:spPr>
                          <a:xfrm>
                            <a:off x="-316984" y="-219434"/>
                            <a:ext cx="5760110" cy="1783192"/>
                          </a:xfrm>
                          <a:prstGeom prst="rect"/>
                        </pic:spPr>
                      </pic:pic>
                      <wps:wsp>
                        <wps:cNvPr id="203" name="Textruta 203"/>
                        <wps:cNvSpPr txBox="1"/>
                        <wps:spPr>
                          <a:xfrm>
                            <a:off x="-288384" y="1631453"/>
                            <a:ext cx="5731510" cy="258445"/>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2"/>
                                <w:rPr>
                                  <w:noProof w:val="1"/>
                                  <w:color w:val="000000"/>
                                  <w:sz w:val="24"/>
                                </w:rPr>
                              </w:pPr>
                              <w:r>
                                <w:t xml:space="preserve">Figur </w:t>
                              </w:r>
                              <w:r>
                                <w:fldChar w:fldCharType="begin"/>
                              </w:r>
                              <w:r>
                                <w:instrText xml:space="preserve"> SEQ Figur \* ARABIC </w:instrText>
                              </w:r>
                              <w:r>
                                <w:fldChar w:fldCharType="separate"/>
                              </w:r>
                              <w:r>
                                <w:rPr>
                                  <w:noProof w:val="1"/>
                                </w:rPr>
                                <w:t>5</w:t>
                              </w:r>
                              <w:r>
                                <w:rPr>
                                  <w:noProof w:val="1"/>
                                </w:rPr>
                                <w:fldChar w:fldCharType="end"/>
                              </w:r>
                              <w:r>
                                <w:t>. Fotomontage med byggnader i annan placering, tillåten enligt nu aktuell ändring. Fotomontage: Sweco.</w:t>
                              </w:r>
                            </w:p>
                          </w:txbxContent>
                        </wps:txbx>
                        <wps:bodyPr rot="0" spcFirstLastPara="0" vertOverflow="overflow" horzOverflow="overflow" vert="horz" wrap="square" lIns="0" tIns="0" rIns="0" bIns="0" numCol="1" spcCol="0" rtlCol="0" fromWordArt="0" anchor="t" anchorCtr="0" forceAA="0" compatLnSpc="1">
                          <a:spAutoFit/>
                        </wps:bodyPr>
                      </wps:wsp>
                    </wpg:wgp>
                  </a:graphicData>
                </a:graphic>
              </wp:inline>
            </w:drawing>
          </mc:Choice>
          <mc:Fallback>
            <w:pict>
              <v:group xmlns:o="urn:schemas-microsoft-com:office:office" id="Grupp 204" style="width:453.05pt;height:165.85pt;mso-wrap-distance-left:0pt;mso-wrap-distance-top:0pt;mso-wrap-distance-right:0pt;mso-wrap-distance-bottom:0pt;margin-left:0pt;margin-top:0pt;mso-position-horizontal:absolute;mso-position-horizontal-relative:page;mso-position-vertical:absolute;mso-position-vertical-relative:page" coordorigin="-316984,-219434" coordsize="5760109,2109330" o:allowoverlap="f">
                <v:shape id="Bildobjekt 30" o:spid="_x0000_s1056" type="#_x0000_t75" style="position:absolute;left:-316984;top:-219434;width:5760109;height:1783191" o:preferrelative="t" stroked="f" o:allowoverlap="f">
                  <v:imagedata src="Relimage8" o:title="" croptop="9339f" cropbottom="20128f" cropleft="1f" cropright="5f"/>
                  <o:lock aspectratio="t"/>
                </v:shape>
                <v:shape type="#_x0000_t202" id="Textruta 203" o:spid="_x0000_s1057" style="position:absolute;left:-288384;top:1631452;width:5731510;height:258445" o:allowoverlap="f" fillcolor="#FFFFFF" stroked="f">
                  <v:textbox style="mso-fit-shape-to-text:t" inset="0mm,0mm,0mm,0mm">
                    <w:txbxContent>
                      <w:p>
                        <w:pPr>
                          <w:pStyle w:val="P32"/>
                          <w:rPr>
                            <w:noProof w:val="1"/>
                            <w:color w:val="000000"/>
                            <w:sz w:val="24"/>
                          </w:rPr>
                        </w:pPr>
                        <w:r>
                          <w:t xml:space="preserve">Figur </w:t>
                        </w:r>
                        <w:r>
                          <w:fldChar w:fldCharType="begin"/>
                        </w:r>
                        <w:r>
                          <w:instrText xml:space="preserve"> SEQ Figur \* ARABIC </w:instrText>
                        </w:r>
                        <w:r>
                          <w:fldChar w:fldCharType="separate"/>
                        </w:r>
                        <w:r>
                          <w:rPr>
                            <w:noProof w:val="1"/>
                          </w:rPr>
                          <w:t>5</w:t>
                        </w:r>
                        <w:r>
                          <w:rPr>
                            <w:noProof w:val="1"/>
                          </w:rPr>
                          <w:fldChar w:fldCharType="end"/>
                        </w:r>
                        <w:r>
                          <w:t>. Fotomontage med byggnader i annan placering, tillåten enligt nu aktuell ändring. Fotomontage: Sweco.</w:t>
                        </w:r>
                      </w:p>
                    </w:txbxContent>
                  </v:textbox>
                </v:shape>
              </v:group>
            </w:pict>
          </mc:Fallback>
        </mc:AlternateContent>
      </w:r>
      <w:r>
        <w:rPr>
          <w:noProof w:val="1"/>
        </w:rPr>
        <mc:AlternateContent>
          <mc:Choice Requires="wpg">
            <w:drawing>
              <wp:inline xmlns:wp="http://schemas.openxmlformats.org/drawingml/2006/wordprocessingDrawing" distT="0" distB="0" distL="0" distR="0">
                <wp:extent cx="5731510" cy="3471545"/>
                <wp:effectExtent l="0" t="0" r="2540" b="0"/>
                <wp:docPr id="202" name="Grupp 202"/>
                <wp:cNvGraphicFramePr/>
                <a:graphic xmlns:a="http://schemas.openxmlformats.org/drawingml/2006/main">
                  <a:graphicData uri="http://schemas.microsoft.com/office/word/2010/wordprocessingGroup">
                    <wpg:wgp>
                      <wpg:cNvGrpSpPr/>
                      <wpg:grpSpPr>
                        <a:xfrm>
                          <a:off x="0" y="0"/>
                          <a:ext cx="5731510" cy="3472145"/>
                          <a:chOff x="-6350" y="-114300"/>
                          <a:chExt cx="5737860" cy="3475990"/>
                        </a:xfrm>
                      </wpg:grpSpPr>
                      <pic:pic xmlns:pic="http://schemas.openxmlformats.org/drawingml/2006/picture">
                        <pic:nvPicPr>
                          <pic:cNvPr id="193" name="Bildobjekt 193"/>
                          <pic:cNvPicPr>
                            <a:picLocks noChangeAspect="1"/>
                          </pic:cNvPicPr>
                        </pic:nvPicPr>
                        <pic:blipFill dpi="0">
                          <a:blip xmlns:r="http://schemas.openxmlformats.org/officeDocument/2006/relationships" r:embed="Relimage9" cstate="print"/>
                          <a:srcRect/>
                          <a:stretch>
                            <a:fillRect/>
                          </a:stretch>
                        </pic:blipFill>
                        <pic:spPr>
                          <a:xfrm>
                            <a:off x="-6350" y="-114300"/>
                            <a:ext cx="5731510" cy="3061970"/>
                          </a:xfrm>
                          <a:prstGeom prst="rect"/>
                        </pic:spPr>
                      </pic:pic>
                      <wps:wsp>
                        <wps:cNvPr id="201" name="Textruta 201"/>
                        <wps:cNvSpPr txBox="1"/>
                        <wps:spPr>
                          <a:xfrm>
                            <a:off x="0" y="2971800"/>
                            <a:ext cx="5731510" cy="389890"/>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2"/>
                                <w:rPr>
                                  <w:noProof w:val="1"/>
                                  <w:color w:val="000000"/>
                                  <w:sz w:val="24"/>
                                </w:rPr>
                              </w:pPr>
                              <w:r>
                                <w:t xml:space="preserve">Figur </w:t>
                              </w:r>
                              <w:r>
                                <w:fldChar w:fldCharType="begin"/>
                              </w:r>
                              <w:r>
                                <w:instrText xml:space="preserve"> SEQ Figur \* ARABIC </w:instrText>
                              </w:r>
                              <w:r>
                                <w:fldChar w:fldCharType="separate"/>
                              </w:r>
                              <w:r>
                                <w:rPr>
                                  <w:noProof w:val="1"/>
                                </w:rPr>
                                <w:t>6</w:t>
                              </w:r>
                              <w:r>
                                <w:rPr>
                                  <w:noProof w:val="1"/>
                                </w:rPr>
                                <w:fldChar w:fldCharType="end"/>
                              </w:r>
                              <w:r>
                                <w:t>. Samma fotomontage som figur 4, men förstorat. En markering finns på de nya byggnaderna som visar tidigare tillåten nockhöjd. Fotomontage: Sweco.</w:t>
                              </w:r>
                            </w:p>
                          </w:txbxContent>
                        </wps:txbx>
                        <wps:bodyPr rot="0" spcFirstLastPara="0" vertOverflow="overflow" horzOverflow="overflow" vert="horz" wrap="square" lIns="0" tIns="0" rIns="0" bIns="0" numCol="1" spcCol="0" rtlCol="0" fromWordArt="0" anchor="t" anchorCtr="0" forceAA="0" compatLnSpc="1">
                          <a:spAutoFit/>
                        </wps:bodyPr>
                      </wps:wsp>
                    </wpg:wgp>
                  </a:graphicData>
                </a:graphic>
              </wp:inline>
            </w:drawing>
          </mc:Choice>
          <mc:Fallback>
            <w:pict>
              <v:group xmlns:o="urn:schemas-microsoft-com:office:office" id="Grupp 202" style="width:451.3pt;height:273.35pt;mso-wrap-distance-left:0pt;mso-wrap-distance-top:0pt;mso-wrap-distance-right:0pt;mso-wrap-distance-bottom:0pt;margin-left:0pt;margin-top:0pt;mso-position-horizontal:absolute;mso-position-horizontal-relative:page;mso-position-vertical:absolute;mso-position-vertical-relative:page" coordorigin="-6350,-114300" coordsize="5737860,3475990" o:allowoverlap="f">
                <v:shape id="Bildobjekt 193" o:spid="_x0000_s1059" type="#_x0000_t75" style="position:absolute;left:-6350;top:-114300;width:5731510;height:3061970" o:preferrelative="t" stroked="f" o:allowoverlap="f">
                  <v:imagedata src="Relimage9" o:title=""/>
                  <o:lock aspectratio="t"/>
                </v:shape>
                <v:shape type="#_x0000_t202" id="Textruta 201" o:spid="_x0000_s1060" style="position:absolute;top:2971800;width:5731510;height:389890" o:allowoverlap="f" fillcolor="#FFFFFF" stroked="f">
                  <v:textbox style="mso-fit-shape-to-text:t" inset="0mm,0mm,0mm,0mm">
                    <w:txbxContent>
                      <w:p>
                        <w:pPr>
                          <w:pStyle w:val="P32"/>
                          <w:rPr>
                            <w:noProof w:val="1"/>
                            <w:color w:val="000000"/>
                            <w:sz w:val="24"/>
                          </w:rPr>
                        </w:pPr>
                        <w:r>
                          <w:t xml:space="preserve">Figur </w:t>
                        </w:r>
                        <w:r>
                          <w:fldChar w:fldCharType="begin"/>
                        </w:r>
                        <w:r>
                          <w:instrText xml:space="preserve"> SEQ Figur \* ARABIC </w:instrText>
                        </w:r>
                        <w:r>
                          <w:fldChar w:fldCharType="separate"/>
                        </w:r>
                        <w:r>
                          <w:rPr>
                            <w:noProof w:val="1"/>
                          </w:rPr>
                          <w:t>6</w:t>
                        </w:r>
                        <w:r>
                          <w:rPr>
                            <w:noProof w:val="1"/>
                          </w:rPr>
                          <w:fldChar w:fldCharType="end"/>
                        </w:r>
                        <w:r>
                          <w:t>. Samma fotomontage som figur 4, men förstorat. En markering finns på de nya byggnaderna som visar tidigare tillåten nockhöjd. Fotomontage: Sweco.</w:t>
                        </w:r>
                      </w:p>
                    </w:txbxContent>
                  </v:textbox>
                </v:shape>
              </v:group>
            </w:pict>
          </mc:Fallback>
        </mc:AlternateContent>
      </w:r>
    </w:p>
    <w:p/>
    <w:p>
      <w:pPr>
        <w:rPr>
          <w:noProof w:val="1"/>
        </w:rPr>
      </w:pPr>
      <w:r>
        <w:rPr>
          <w:noProof w:val="1"/>
        </w:rPr>
        <mc:AlternateContent>
          <mc:Choice Requires="wpg">
            <w:drawing>
              <wp:anchor xmlns:wp="http://schemas.openxmlformats.org/drawingml/2006/wordprocessingDrawing" distT="0" distB="0" distL="114300" distR="114300" simplePos="0" relativeHeight="6" behindDoc="0" locked="0" layoutInCell="1" allowOverlap="1">
                <wp:simplePos x="0" y="0"/>
                <wp:positionH relativeFrom="margin">
                  <wp:align>center</wp:align>
                </wp:positionH>
                <wp:positionV relativeFrom="paragraph">
                  <wp:posOffset>0</wp:posOffset>
                </wp:positionV>
                <wp:extent cx="5731510" cy="2231390"/>
                <wp:effectExtent l="0" t="0" r="2540" b="0"/>
                <wp:wrapTopAndBottom/>
                <wp:docPr id="200" name="Grupp 200"/>
                <wp:cNvGraphicFramePr/>
                <a:graphic xmlns:a="http://schemas.openxmlformats.org/drawingml/2006/main">
                  <a:graphicData uri="http://schemas.microsoft.com/office/word/2010/wordprocessingGroup">
                    <wpg:wgp>
                      <wpg:cNvGrpSpPr/>
                      <wpg:grpSpPr>
                        <a:xfrm>
                          <a:off x="0" y="0"/>
                          <a:ext cx="5731510" cy="2231390"/>
                          <a:chOff x="0" y="0"/>
                          <a:chExt cx="5731510" cy="2231390"/>
                        </a:xfrm>
                      </wpg:grpSpPr>
                      <pic:pic xmlns:pic="http://schemas.openxmlformats.org/drawingml/2006/picture">
                        <pic:nvPicPr>
                          <pic:cNvPr id="31" name="Bildobjekt 31"/>
                          <pic:cNvPicPr>
                            <a:picLocks noChangeAspect="1"/>
                          </pic:cNvPicPr>
                        </pic:nvPicPr>
                        <pic:blipFill dpi="0">
                          <a:blip xmlns:r="http://schemas.openxmlformats.org/officeDocument/2006/relationships" r:embed="Relimage10" cstate="print"/>
                          <a:srcRect/>
                          <a:stretch>
                            <a:fillRect/>
                          </a:stretch>
                        </pic:blipFill>
                        <pic:spPr>
                          <a:xfrm>
                            <a:off x="0" y="0"/>
                            <a:ext cx="5731510" cy="1785620"/>
                          </a:xfrm>
                          <a:prstGeom prst="rect"/>
                        </pic:spPr>
                      </pic:pic>
                      <wps:wsp>
                        <wps:cNvPr id="198" name="Textruta 198"/>
                        <wps:cNvSpPr txBox="1"/>
                        <wps:spPr>
                          <a:xfrm>
                            <a:off x="0" y="1841500"/>
                            <a:ext cx="5731510" cy="389890"/>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2"/>
                                <w:rPr>
                                  <w:noProof w:val="1"/>
                                  <w:color w:val="000000"/>
                                  <w:sz w:val="24"/>
                                </w:rPr>
                              </w:pPr>
                              <w:r>
                                <w:t xml:space="preserve">Figur </w:t>
                              </w:r>
                              <w:r>
                                <w:fldChar w:fldCharType="begin"/>
                              </w:r>
                              <w:r>
                                <w:instrText xml:space="preserve"> SEQ Figur \* ARABIC </w:instrText>
                              </w:r>
                              <w:r>
                                <w:fldChar w:fldCharType="separate"/>
                              </w:r>
                              <w:r>
                                <w:rPr>
                                  <w:noProof w:val="1"/>
                                </w:rPr>
                                <w:t>7</w:t>
                              </w:r>
                              <w:r>
                                <w:rPr>
                                  <w:noProof w:val="1"/>
                                </w:rPr>
                                <w:fldChar w:fldCharType="end"/>
                              </w:r>
                              <w:r>
                                <w:t>. Fotomontage som visar den utbyggnad som är aktuell i närtid. Planförslaget tillåter mer byggnation än detta. Fotomontage: Sweco.</w:t>
                              </w:r>
                            </w:p>
                          </w:txbxContent>
                        </wps:txbx>
                        <wps:bodyPr rot="0" spcFirstLastPara="0" vertOverflow="overflow" horzOverflow="overflow" vert="horz" wrap="square" lIns="0" tIns="0" rIns="0" bIns="0" numCol="1" spcCol="0" rtlCol="0" fromWordArt="0" anchor="t" anchorCtr="0" forceAA="0" compatLnSpc="1">
                          <a:spAutoFit/>
                        </wps:bodyPr>
                      </wps:wsp>
                    </wpg:wgp>
                  </a:graphicData>
                </a:graphic>
              </wp:anchor>
            </w:drawing>
          </mc:Choice>
          <mc:Fallback>
            <w:pict>
              <v:group xmlns:o="urn:schemas-microsoft-com:office:office" id="Grupp 200" style="position:absolute;width:451.3pt;height:175.7pt;z-index:6;mso-wrap-distance-left:9pt;mso-wrap-distance-top:0pt;mso-wrap-distance-right:9pt;mso-wrap-distance-bottom:0pt;margin-left:0pt;margin-top:0pt;mso-position-horizontal:center;mso-position-horizontal-relative:margin;mso-position-vertical:absolute;mso-position-vertical-relative:text" coordorigin="0,0" coordsize="5731510,2231390" o:allowincell="t">
                <v:shape id="Bildobjekt 31" o:spid="_x0000_s1062" type="#_x0000_t75" style="position:absolute;width:5731510;height:1785620" o:preferrelative="t" stroked="f" o:allowincell="t">
                  <v:imagedata src="Relimage10" o:title=""/>
                  <w10:wrap type="topAndBottom"/>
                  <o:lock aspectratio="t"/>
                </v:shape>
                <v:shape type="#_x0000_t202" id="Textruta 198" o:spid="_x0000_s1063" style="position:absolute;top:1841500;width:5731510;height:389890" o:allowincell="t" fillcolor="#FFFFFF" stroked="f">
                  <v:textbox style="mso-fit-shape-to-text:t" inset="0mm,0mm,0mm,0mm">
                    <w:txbxContent>
                      <w:p>
                        <w:pPr>
                          <w:pStyle w:val="P32"/>
                          <w:rPr>
                            <w:noProof w:val="1"/>
                            <w:color w:val="000000"/>
                            <w:sz w:val="24"/>
                          </w:rPr>
                        </w:pPr>
                        <w:r>
                          <w:t xml:space="preserve">Figur </w:t>
                        </w:r>
                        <w:r>
                          <w:fldChar w:fldCharType="begin"/>
                        </w:r>
                        <w:r>
                          <w:instrText xml:space="preserve"> SEQ Figur \* ARABIC </w:instrText>
                        </w:r>
                        <w:r>
                          <w:fldChar w:fldCharType="separate"/>
                        </w:r>
                        <w:r>
                          <w:rPr>
                            <w:noProof w:val="1"/>
                          </w:rPr>
                          <w:t>7</w:t>
                        </w:r>
                        <w:r>
                          <w:rPr>
                            <w:noProof w:val="1"/>
                          </w:rPr>
                          <w:fldChar w:fldCharType="end"/>
                        </w:r>
                        <w:r>
                          <w:t>. Fotomontage som visar den utbyggnad som är aktuell i närtid. Planförslaget tillåter mer byggnation än detta. Fotomontage: Sweco.</w:t>
                        </w:r>
                      </w:p>
                    </w:txbxContent>
                  </v:textbox>
                  <w10:wrap type="topAndBottom"/>
                </v:shape>
              </v:group>
            </w:pict>
          </mc:Fallback>
        </mc:AlternateContent>
      </w:r>
      <w:r>
        <w:rPr>
          <w:noProof w:val="1"/>
        </w:rPr>
        <w:t>Inom ursprunlig detaljplan varierar tillåten högsta nockhöjd mellan 12-35 meter med en skorstensbyggnad på tillåtna 91 meter. De högre höjderna tillåts i mitten av industriområdet. Bebyggelse högre än 25 meter inom planområdet blir synlig på avstånd på vissa platser. Därför har byggnader och byggnadsdelar över 25 meter i nockhöjd begränsats gällande maximal byggnadsyta och maximal sammanhängande byggnadsyta. Dessa bestämmelser kvarstår även med denna ändring.</w:t>
      </w:r>
    </w:p>
    <w:p>
      <w:pPr>
        <w:rPr>
          <w:noProof w:val="1"/>
        </w:rPr>
      </w:pPr>
      <w:r>
        <w:rPr>
          <w:noProof w:val="1"/>
        </w:rPr>
        <w:t xml:space="preserve">Byggnader med nockhöjd mellan 25-35 meter tillåts inom två delar av befintlig detaljplan. Ändringen med innebär att ett av dessa områden utökas för att nån en större frihet i placeringen av byggnaderna. Det uppmuntras att placeringen av byggnadsvolymerna väljs så att de hamnar bakom varandra för att på så sätt minska risken för att bilda en visuell skärm. Ändringen innebär också att högsta nockhöjd höjs med 3 meter till 38 meter. </w:t>
      </w:r>
    </w:p>
    <w:p>
      <w:pPr>
        <w:rPr>
          <w:noProof w:val="1"/>
        </w:rPr>
      </w:pPr>
      <w:r>
        <w:rPr>
          <w:noProof w:val="1"/>
        </w:rPr>
        <w:t>Högre byggnadsvolymer tillåts fortsatt endast i mitten av industriområdet och byggnaderna ska fortsatt delas upp i flera delar för att inte skapa för stora volymer. Därför bedöms ändringen inte ge några konsekvenser för landskapsbilden.</w:t>
      </w:r>
    </w:p>
    <w:p>
      <w:pPr>
        <w:pStyle w:val="P19"/>
        <w:rPr>
          <w:noProof w:val="1"/>
          <w:rtl w:val="0"/>
          <w:lang w:val="sv-SE" w:bidi="sv-SE" w:eastAsia="sv-SE"/>
        </w:rPr>
      </w:pPr>
      <w:bookmarkEnd w:id="106"/>
      <w:bookmarkStart w:id="107" w:name="pf_teknik01"/>
      <w:bookmarkStart w:id="108" w:name="_Toc89446055"/>
      <w:bookmarkStart w:id="109" w:name="_Toc101363559"/>
      <w:r>
        <w:rPr>
          <w:noProof w:val="1"/>
          <w:rtl w:val="0"/>
          <w:lang w:val="sv-SE" w:bidi="sv-SE" w:eastAsia="sv-SE"/>
        </w:rPr>
        <w:t>Teknik</w:t>
      </w:r>
    </w:p>
    <w:p>
      <w:pPr>
        <w:rPr>
          <w:noProof w:val="1"/>
        </w:rPr>
      </w:pPr>
      <w:r>
        <w:rPr>
          <w:noProof w:val="1"/>
          <w:rtl w:val="0"/>
          <w:lang w:val="sv-SE" w:bidi="sv-SE" w:eastAsia="sv-SE"/>
        </w:rPr>
        <w:t xml:space="preserve">Söder om planområdet finns en 130kV-ledning. Denna påverka hur byggnation i närheten ska utföras. Metalliska delar  marken inom 50 meter från ledningens jordade delar ska elektiskt isoleras med anledning av risker kopplade till steg- och beröringsspänning. Åtgärder inom 50 meter från ledningen som innebär att ledande material byggs/anläggs ocan mark (fasad, tak, stängsel mm) ska föregås av en riskbedömning kopplat till induktion från lednignarna och nödvändiga åtgärder vidtas (t.ex. jordning). Elsäkerhetsverkets föreskifter (ELSÄKFS 2022:1) gäller öfr lednignen. I föreskrifterna (6 kap. 13 §) finns bland annat regler om avstånd mellan ledning och brandfarliga respektive explosiva varor.</w:t>
      </w:r>
    </w:p>
    <w:p>
      <w:pPr>
        <w:pStyle w:val="P19"/>
        <w:rPr>
          <w:noProof w:val="1"/>
        </w:rPr>
      </w:pPr>
      <w:bookmarkEnd w:id="107"/>
      <w:r>
        <w:rPr>
          <w:noProof w:val="1"/>
        </w:rPr>
        <w:t>Trafik</w:t>
      </w:r>
      <w:bookmarkEnd w:id="108"/>
      <w:bookmarkEnd w:id="109"/>
      <w:r>
        <w:rPr>
          <w:noProof w:val="1"/>
        </w:rPr>
        <w:t xml:space="preserve"> </w:t>
      </w:r>
    </w:p>
    <w:p>
      <w:pPr>
        <w:rPr>
          <w:noProof w:val="1"/>
        </w:rPr>
      </w:pPr>
      <w:bookmarkStart w:id="110" w:name="ko_trafik01"/>
      <w:r>
        <w:rPr>
          <w:noProof w:val="1"/>
        </w:rPr>
        <w:t>Planändringen ligger inom befintligt industriområde och innebär ingen utökad byggrätt. Ändringen bedöms inte påverka befintlig trafiksituation.</w:t>
      </w:r>
    </w:p>
    <w:p>
      <w:pPr>
        <w:pStyle w:val="P18"/>
        <w:rPr>
          <w:noProof w:val="1"/>
        </w:rPr>
      </w:pPr>
      <w:bookmarkEnd w:id="110"/>
      <w:bookmarkStart w:id="111" w:name="_Toc89446138"/>
      <w:bookmarkStart w:id="112" w:name="_Toc101363645"/>
      <w:bookmarkStart w:id="113" w:name="_Toc156894025"/>
      <w:r>
        <w:rPr>
          <w:noProof w:val="1"/>
        </w:rPr>
        <w:t>Genomförandefrågor</w:t>
      </w:r>
      <w:bookmarkEnd w:id="111"/>
      <w:bookmarkEnd w:id="112"/>
      <w:bookmarkEnd w:id="113"/>
    </w:p>
    <w:p>
      <w:bookmarkStart w:id="114" w:name="gf_upplysningar01"/>
      <w:r>
        <w:t>Genomförandedelen har till uppgift att redovisa de organisatoriska, fastighetsrättsliga, ekonomiska och tekniska åtgärder som behövs för att åstadkomma ett samordnat och ändamålsenligt genomförande av detaljplanen. Plan- och genomförandebeskrivningen har ingen rättsverkan. Avsikten med beskrivningen av genomförandet av projektet är att den ska vara vägledande vid genomförandet av detaljplanen.</w:t>
      </w:r>
    </w:p>
    <w:p>
      <w:pPr>
        <w:pStyle w:val="P19"/>
        <w:rPr>
          <w:noProof w:val="1"/>
        </w:rPr>
      </w:pPr>
      <w:bookmarkEnd w:id="114"/>
      <w:bookmarkStart w:id="115" w:name="_Toc89446144"/>
      <w:bookmarkStart w:id="116" w:name="_Toc101363651"/>
      <w:bookmarkStart w:id="117" w:name="gf_fastighetsrättsligafrågor02"/>
      <w:r>
        <w:rPr>
          <w:noProof w:val="1"/>
        </w:rPr>
        <w:t>Fastighetsrättsliga frågor</w:t>
      </w:r>
      <w:bookmarkEnd w:id="115"/>
      <w:bookmarkEnd w:id="116"/>
    </w:p>
    <w:p>
      <w:pPr>
        <w:rPr>
          <w:noProof w:val="1"/>
          <w:shd w:val="clear" w:color="auto" w:fill="FFFFFF"/>
        </w:rPr>
      </w:pPr>
      <w:r>
        <w:rPr>
          <w:noProof w:val="1"/>
          <w:shd w:val="clear" w:color="auto" w:fill="FFFFFF"/>
        </w:rPr>
        <w:t>Här beskrivs de fastighetsrättsliga åtgärderna som behövs för att planen ska kunna genomföras på ett samordat och ändamålsenligt sätt. Även konsekvenserna av planens genomförande avseende kommande fastighetsbildning beskrivs.</w:t>
      </w:r>
    </w:p>
    <w:p>
      <w:pPr>
        <w:pStyle w:val="P19"/>
        <w:rPr>
          <w:noProof w:val="1"/>
        </w:rPr>
      </w:pPr>
      <w:bookmarkEnd w:id="117"/>
      <w:bookmarkStart w:id="118" w:name="gf_fastighetsrättsligafrågor01"/>
      <w:r>
        <w:rPr>
          <w:noProof w:val="1"/>
          <w:shd w:val="clear" w:color="auto" w:fill="FFFFFF"/>
        </w:rPr>
        <w:t>Markägoförhållande</w:t>
      </w:r>
    </w:p>
    <w:p>
      <w:pPr>
        <w:rPr>
          <w:noProof w:val="1"/>
        </w:rPr>
      </w:pPr>
      <w:bookmarkStart w:id="119" w:name="_Toc89446145"/>
      <w:bookmarkStart w:id="120" w:name="_Toc101363652"/>
      <w:r>
        <w:rPr>
          <w:noProof w:val="1"/>
        </w:rPr>
        <w:t>All mark inom ändringen ägs av Paroc AB.</w:t>
      </w:r>
    </w:p>
    <w:p>
      <w:pPr>
        <w:pStyle w:val="P20"/>
        <w:rPr>
          <w:noProof w:val="1"/>
        </w:rPr>
      </w:pPr>
      <w:bookmarkEnd w:id="118"/>
      <w:bookmarkEnd w:id="119"/>
      <w:bookmarkEnd w:id="120"/>
      <w:bookmarkStart w:id="121" w:name="_Toc89446146"/>
      <w:bookmarkStart w:id="122" w:name="_Toc101363653"/>
      <w:r>
        <w:rPr>
          <w:noProof w:val="1"/>
        </w:rPr>
        <w:t>Förändrad fastighetsindelning</w:t>
      </w:r>
      <w:bookmarkEnd w:id="121"/>
      <w:bookmarkEnd w:id="122"/>
    </w:p>
    <w:p>
      <w:pPr>
        <w:rPr>
          <w:noProof w:val="1"/>
        </w:rPr>
      </w:pPr>
      <w:bookmarkStart w:id="123" w:name="gf_förändradfastighetsindelning01"/>
      <w:r>
        <w:rPr>
          <w:noProof w:val="1"/>
        </w:rPr>
        <w:t>Ingen ändrad fastighetsindelning är påkallad eller tänkt som följd av ändringen.</w:t>
      </w:r>
    </w:p>
    <w:p>
      <w:pPr>
        <w:pStyle w:val="P19"/>
        <w:rPr>
          <w:noProof w:val="1"/>
        </w:rPr>
      </w:pPr>
      <w:bookmarkEnd w:id="123"/>
      <w:bookmarkStart w:id="124" w:name="_Toc89446148"/>
      <w:bookmarkStart w:id="125" w:name="_Toc101363655"/>
      <w:r>
        <w:rPr>
          <w:noProof w:val="1"/>
        </w:rPr>
        <w:t>Tekniska frågor</w:t>
      </w:r>
      <w:bookmarkEnd w:id="124"/>
      <w:bookmarkEnd w:id="125"/>
    </w:p>
    <w:p>
      <w:pPr>
        <w:pStyle w:val="P20"/>
        <w:rPr>
          <w:noProof w:val="1"/>
        </w:rPr>
      </w:pPr>
      <w:bookmarkStart w:id="126" w:name="_Toc89446149"/>
      <w:bookmarkStart w:id="127" w:name="_Toc101363656"/>
      <w:r>
        <w:rPr>
          <w:noProof w:val="1"/>
        </w:rPr>
        <w:t>Tekniska åtgärder</w:t>
      </w:r>
      <w:bookmarkEnd w:id="126"/>
      <w:bookmarkEnd w:id="127"/>
    </w:p>
    <w:p>
      <w:pPr>
        <w:rPr>
          <w:noProof w:val="1"/>
        </w:rPr>
      </w:pPr>
      <w:bookmarkStart w:id="128" w:name="gf_tekniskaåtgärder01"/>
      <w:r>
        <w:rPr>
          <w:noProof w:val="1"/>
        </w:rPr>
        <w:t>Planändringen medför inte behov av tekniska åtgärder i allmän infrastruktur.</w:t>
      </w:r>
    </w:p>
    <w:p>
      <w:pPr>
        <w:pStyle w:val="P19"/>
        <w:rPr>
          <w:noProof w:val="1"/>
        </w:rPr>
      </w:pPr>
      <w:bookmarkEnd w:id="128"/>
      <w:bookmarkStart w:id="129" w:name="_Toc89446152"/>
      <w:bookmarkStart w:id="130" w:name="_Toc101363659"/>
      <w:r>
        <w:rPr>
          <w:noProof w:val="1"/>
        </w:rPr>
        <w:t>Ekonomiska frågor</w:t>
      </w:r>
      <w:bookmarkEnd w:id="129"/>
      <w:bookmarkEnd w:id="130"/>
    </w:p>
    <w:p>
      <w:pPr>
        <w:pStyle w:val="P20"/>
        <w:rPr>
          <w:noProof w:val="1"/>
        </w:rPr>
      </w:pPr>
      <w:bookmarkStart w:id="131" w:name="_Toc89446153"/>
      <w:bookmarkStart w:id="132" w:name="_Toc101363660"/>
      <w:bookmarkStart w:id="133" w:name="gf_planekonomiskbedömning02"/>
      <w:r>
        <w:rPr>
          <w:noProof w:val="1"/>
        </w:rPr>
        <w:t>Ekonomiska konsekvenser för kommunen</w:t>
      </w:r>
      <w:bookmarkEnd w:id="131"/>
      <w:bookmarkEnd w:id="132"/>
    </w:p>
    <w:p>
      <w:pPr>
        <w:rPr>
          <w:noProof w:val="1"/>
        </w:rPr>
      </w:pPr>
      <w:r>
        <w:rPr>
          <w:noProof w:val="1"/>
          <w:lang w:bidi="sv-SE"/>
        </w:rPr>
        <w:t>Planområdet omfattar ingen allmän plats och p</w:t>
      </w:r>
      <w:r>
        <w:rPr>
          <w:noProof w:val="1"/>
        </w:rPr>
        <w:t>lanarbetet bekostas genom planavtal varför det inte blir några ekonomiska konsekvenser för kommunen.</w:t>
      </w:r>
    </w:p>
    <w:p>
      <w:pPr>
        <w:pStyle w:val="P20"/>
        <w:rPr>
          <w:noProof w:val="1"/>
        </w:rPr>
      </w:pPr>
      <w:bookmarkEnd w:id="133"/>
      <w:bookmarkStart w:id="134" w:name="gf_planekonomiskbedömning01"/>
      <w:r>
        <w:rPr>
          <w:noProof w:val="1"/>
        </w:rPr>
        <w:t>Ekonomiska konsekvenser för enskilda fastighetsägare</w:t>
      </w:r>
    </w:p>
    <w:p>
      <w:pPr>
        <w:rPr>
          <w:noProof w:val="1"/>
        </w:rPr>
      </w:pPr>
      <w:r>
        <w:rPr>
          <w:noProof w:val="1"/>
        </w:rPr>
        <w:t>Planarbetet bekostas av Paroc AB, som är fastighetsägare inom planändringsområdet.</w:t>
      </w:r>
    </w:p>
    <w:p>
      <w:pPr>
        <w:pStyle w:val="P20"/>
        <w:rPr>
          <w:noProof w:val="1"/>
        </w:rPr>
      </w:pPr>
      <w:bookmarkEnd w:id="134"/>
      <w:bookmarkStart w:id="135" w:name="_Toc89446154"/>
      <w:bookmarkStart w:id="136" w:name="_Toc101363661"/>
      <w:r>
        <w:rPr>
          <w:noProof w:val="1"/>
        </w:rPr>
        <w:t>Planavgift</w:t>
      </w:r>
      <w:bookmarkEnd w:id="135"/>
      <w:bookmarkEnd w:id="136"/>
    </w:p>
    <w:p>
      <w:pPr>
        <w:rPr>
          <w:noProof w:val="1"/>
        </w:rPr>
      </w:pPr>
      <w:bookmarkStart w:id="137" w:name="gf_planavgift01"/>
      <w:r>
        <w:rPr>
          <w:noProof w:val="1"/>
        </w:rPr>
        <w:t>Kommunen avser inte att ta ut planavgift vid bygglov. Omkostnader kring planen regleras i ett plankostnadsavtal.</w:t>
      </w:r>
    </w:p>
    <w:p>
      <w:pPr>
        <w:pStyle w:val="P19"/>
        <w:rPr>
          <w:noProof w:val="1"/>
        </w:rPr>
      </w:pPr>
      <w:bookmarkEnd w:id="137"/>
      <w:bookmarkStart w:id="138" w:name="_Toc89446161"/>
      <w:bookmarkStart w:id="139" w:name="_Toc101363668"/>
      <w:bookmarkStart w:id="140" w:name="gf_organisatoriskafrågor01"/>
      <w:r>
        <w:rPr>
          <w:noProof w:val="1"/>
        </w:rPr>
        <w:t>Organisatoriska frågor</w:t>
      </w:r>
      <w:bookmarkEnd w:id="138"/>
      <w:bookmarkEnd w:id="139"/>
    </w:p>
    <w:p>
      <w:pPr>
        <w:pStyle w:val="P20"/>
        <w:rPr>
          <w:noProof w:val="1"/>
          <w:shd w:val="clear" w:color="auto" w:fill="FFFFFF"/>
        </w:rPr>
      </w:pPr>
      <w:r>
        <w:rPr>
          <w:noProof w:val="1"/>
          <w:shd w:val="clear" w:color="auto" w:fill="FFFFFF"/>
        </w:rPr>
        <w:t>Plankostnadsavtal</w:t>
      </w:r>
    </w:p>
    <w:p>
      <w:r>
        <w:t>Plankostnadsavtal har upprättats vid inledning av planarbetet. Avtalet har hanterat exploatörens och kommunens åtaganden och kostnader för framställning av ändringen. Kostnaden för ändringen tas ut via plankostnadsavtal mellan kommunen och exploatören. Ingen planavgift tas ut vid bygglov.</w:t>
      </w:r>
    </w:p>
    <w:p>
      <w:pPr>
        <w:pStyle w:val="P20"/>
        <w:rPr>
          <w:noProof w:val="1"/>
        </w:rPr>
      </w:pPr>
      <w:bookmarkEnd w:id="140"/>
      <w:bookmarkStart w:id="141" w:name="_Toc89446164"/>
      <w:bookmarkStart w:id="142" w:name="_Toc101363671"/>
      <w:r>
        <w:rPr>
          <w:noProof w:val="1"/>
        </w:rPr>
        <w:t>Tidplan</w:t>
      </w:r>
      <w:bookmarkEnd w:id="141"/>
      <w:bookmarkEnd w:id="142"/>
    </w:p>
    <w:p>
      <w:pPr>
        <w:rPr>
          <w:noProof w:val="1"/>
        </w:rPr>
      </w:pPr>
      <w:bookmarkStart w:id="143" w:name="gf_tidplan01"/>
      <w:r>
        <w:rPr>
          <w:noProof w:val="1"/>
        </w:rPr>
        <w:t>Planändringen genomförs med standardförfarande och om hela samrådskretsen godkänner förslaget avser kommunen att besluta om antagande direkt efter samrådet, det vill säga tillämpa ett begränsat standardförfarande. Planändringen bedöms då kunna antas under kvartal 1, 2024. Om en granskning behöver genomföras bedöms ett antagande kunna ske i kvartal 2, 2024.</w:t>
      </w:r>
    </w:p>
    <w:p>
      <w:pPr>
        <w:pStyle w:val="P19"/>
        <w:rPr>
          <w:noProof w:val="1"/>
        </w:rPr>
      </w:pPr>
      <w:bookmarkEnd w:id="143"/>
      <w:bookmarkStart w:id="144" w:name="_Toc89446168"/>
      <w:bookmarkStart w:id="145" w:name="_Toc101363675"/>
      <w:r>
        <w:rPr>
          <w:noProof w:val="1"/>
        </w:rPr>
        <w:t>Prövning enligt annan lagstiftning</w:t>
      </w:r>
      <w:bookmarkEnd w:id="144"/>
      <w:bookmarkEnd w:id="145"/>
    </w:p>
    <w:p>
      <w:pPr>
        <w:rPr>
          <w:noProof w:val="1"/>
        </w:rPr>
      </w:pPr>
      <w:bookmarkStart w:id="146" w:name="gf_prövningenlannanlagstiftning01"/>
      <w:r>
        <w:rPr>
          <w:noProof w:val="1"/>
        </w:rPr>
        <w:t>Här redovisas vilka prövningar som genomförts eller kommer behöva genomföras enligt annan lagstiftning än PBL och vem som ansvarar för att ansöka om dessa.</w:t>
      </w:r>
    </w:p>
    <w:p>
      <w:pPr>
        <w:tabs>
          <w:tab w:val="left" w:pos="3969" w:leader="none"/>
        </w:tabs>
        <w:suppressAutoHyphens w:val="1"/>
        <w:spacing w:lineRule="auto" w:line="288" w:after="170" w:beforeAutospacing="0" w:afterAutospacing="0"/>
        <w:rPr>
          <w:rFonts w:cs="Times New Roman" w:eastAsiaTheme="minorEastAsia"/>
          <w:szCs w:val="24"/>
        </w:rPr>
      </w:pPr>
      <w:r>
        <w:rPr>
          <w:rFonts w:cs="Times New Roman" w:eastAsiaTheme="minorEastAsia"/>
          <w:szCs w:val="24"/>
        </w:rPr>
        <w:t>Tillstånd enligt miljöbalken</w:t>
        <w:tab/>
        <w:t>Exploatör/Verksamhetsutövare</w:t>
      </w:r>
    </w:p>
    <w:p>
      <w:pPr>
        <w:pStyle w:val="P18"/>
        <w:rPr>
          <w:noProof w:val="1"/>
          <w:shd w:val="clear" w:color="auto" w:fill="FFFFFF"/>
        </w:rPr>
      </w:pPr>
      <w:bookmarkEnd w:id="146"/>
      <w:bookmarkStart w:id="147" w:name="_Toc156894026"/>
      <w:r>
        <w:rPr>
          <w:noProof w:val="1"/>
          <w:shd w:val="clear" w:color="auto" w:fill="FFFFFF"/>
        </w:rPr>
        <w:t>Medverkande</w:t>
      </w:r>
      <w:bookmarkEnd w:id="147"/>
    </w:p>
    <w:p>
      <w:bookmarkStart w:id="148" w:name="be_ärendeinformation02"/>
      <w:r>
        <w:t xml:space="preserve">Planförslaget har tagits fram av </w:t>
      </w:r>
      <w:r>
        <w:rPr>
          <w:rtl w:val="0"/>
          <w:lang w:val="sv-SE" w:bidi="sv-SE" w:eastAsia="sv-SE"/>
        </w:rPr>
        <w:t>S</w:t>
      </w:r>
      <w:r>
        <w:t xml:space="preserve">ektor </w:t>
      </w:r>
      <w:r>
        <w:rPr>
          <w:rtl w:val="0"/>
          <w:lang w:val="sv-SE" w:bidi="sv-SE" w:eastAsia="sv-SE"/>
        </w:rPr>
        <w:t>S</w:t>
      </w:r>
      <w:r>
        <w:t>amhällsbyggnad, genom Elin Perjos, planarkitekt i Götene kommun.</w:t>
      </w:r>
    </w:p>
    <w:p>
      <w:r>
        <w:t xml:space="preserve"> </w:t>
      </w:r>
    </w:p>
    <w:p>
      <w:pPr>
        <w:tabs>
          <w:tab w:val="left" w:pos="4536" w:leader="none"/>
        </w:tabs>
      </w:pPr>
      <w:r>
        <w:t>Elin Perjos</w:t>
        <w:br w:type="textWrapping"/>
        <w:t>Planarkitekt</w:t>
      </w:r>
      <w:bookmarkEnd w:id="148"/>
    </w:p>
    <w:sectPr>
      <w:footerReference xmlns:r="http://schemas.openxmlformats.org/officeDocument/2006/relationships" w:type="default" r:id="RelFtr1"/>
      <w:footnotePr/>
      <w:endnotePr/>
      <w:type w:val="nextPage"/>
      <w:pgSz w:w="11906" w:h="16838" w:code="0"/>
      <w:pgMar w:left="1440" w:right="1440" w:top="1361" w:bottom="1361" w:header="720" w:footer="414" w:gutter="0"/>
      <w:cols w:equalWidth="1" w:space="720"/>
      <w:titlePg w:val="1"/>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r>
        <w:separator/>
      </w:r>
    </w:p>
    <w:p/>
  </w:endnote>
  <w:endnote w:type="continuationSeparator" w:id="0">
    <w:p>
      <w:r>
        <w:continuationSeparator/>
      </w:r>
    </w:p>
    <w:p/>
  </w:endnote>
  <w:endnote w:type="continuationNotice" w:id="1">
    <w:p/>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7"/>
      <w:jc w:val="center"/>
    </w:pPr>
    <w:r>
      <w:rPr>
        <w:b w:val="1"/>
        <w:bCs w:val="1"/>
        <w:noProof w:val="1"/>
        <w:szCs w:val="24"/>
      </w:rPr>
      <mc:AlternateContent>
        <mc:Choice Requires="wps">
          <w:drawing>
            <wp:anchor xmlns:wp="http://schemas.openxmlformats.org/drawingml/2006/wordprocessingDrawing" distT="0" distB="0" distL="114300" distR="114300" simplePos="0" relativeHeight="1" behindDoc="0" locked="0" layoutInCell="1" allowOverlap="1">
              <wp:simplePos x="0" y="0"/>
              <wp:positionH relativeFrom="column">
                <wp:posOffset>-372110</wp:posOffset>
              </wp:positionH>
              <wp:positionV relativeFrom="paragraph">
                <wp:posOffset>-7620</wp:posOffset>
              </wp:positionV>
              <wp:extent cx="6485255" cy="0"/>
              <wp:effectExtent l="0" t="0" r="29845" b="19050"/>
              <wp:wrapNone/>
              <wp:docPr id="1" name="Rak 1"/>
              <wp:cNvGraphicFramePr/>
              <a:graphic xmlns:a="http://schemas.openxmlformats.org/drawingml/2006/main">
                <a:graphicData uri="http://schemas.microsoft.com/office/word/2010/wordprocessingShape">
                  <wps:wsp>
                    <wps:cNvCnPr>
                      <a:stCxn id="0" idx="0"/>
                      <a:endCxn id="0" idx="0"/>
                    </wps:cNvCnPr>
                    <wps:spPr>
                      <a:xfrm>
                        <a:off x="0" y="0"/>
                        <a:ext cx="6485255" cy="0"/>
                      </a:xfrm>
                      <a:prstGeom prst="line"/>
                      <a:ln w="12700">
                        <a:solidFill>
                          <a:schemeClr val="accent6"/>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xmlns:o="urn:schemas-microsoft-com:office:office" id="Rak 1" o:spid="_x0000_s1064" style="position:absolute;z-index:1;mso-wrap-distance-left:9pt;mso-wrap-distance-top:0pt;mso-wrap-distance-right:9pt;mso-wrap-distance-bottom:0pt;mso-position-horizontal:absolute;mso-position-horizontal-relative:text;mso-position-vertical:absolute;mso-position-vertical-relative:text" strokecolor="#70AD47" strokeweight="1pt" stroked="t" o:allowincell="t" from="-29.3pt,-0.6pt" to="481.35pt,-0.6pt"/>
          </w:pict>
        </mc:Fallback>
      </mc:AlternateContent>
    </w:r>
  </w:p>
  <w:p>
    <w:pPr>
      <w:pStyle w:val="P17"/>
      <w:jc w:val="center"/>
    </w:pPr>
    <w:r>
      <w:rPr>
        <w:b w:val="1"/>
        <w:bCs w:val="1"/>
        <w:szCs w:val="24"/>
      </w:rPr>
      <w:fldChar w:fldCharType="begin"/>
    </w:r>
    <w:r>
      <w:rPr>
        <w:b w:val="1"/>
        <w:bCs w:val="1"/>
      </w:rPr>
      <w:instrText>PAGE</w:instrText>
    </w:r>
    <w:r>
      <w:rPr>
        <w:b w:val="1"/>
        <w:bCs w:val="1"/>
        <w:szCs w:val="24"/>
      </w:rPr>
      <w:fldChar w:fldCharType="separate"/>
    </w:r>
    <w:r>
      <w:rPr>
        <w:b w:val="1"/>
        <w:bCs w:val="1"/>
      </w:rPr>
      <w:t>#</w:t>
    </w:r>
    <w:r>
      <w:rPr>
        <w:b w:val="1"/>
        <w:bCs w:val="1"/>
        <w:szCs w:val="24"/>
      </w:rPr>
      <w:fldChar w:fldCharType="end"/>
    </w:r>
    <w:r>
      <w:t xml:space="preserve"> </w:t>
    </w:r>
    <w:r>
      <w:t>(</w:t>
    </w:r>
    <w:r>
      <w:rPr>
        <w:b w:val="1"/>
        <w:bCs w:val="1"/>
        <w:szCs w:val="24"/>
      </w:rPr>
      <w:fldChar w:fldCharType="begin"/>
    </w:r>
    <w:r>
      <w:rPr>
        <w:b w:val="1"/>
        <w:bCs w:val="1"/>
      </w:rPr>
      <w:instrText>NUMPAGES</w:instrText>
    </w:r>
    <w:r>
      <w:rPr>
        <w:b w:val="1"/>
        <w:bCs w:val="1"/>
        <w:szCs w:val="24"/>
      </w:rPr>
      <w:fldChar w:fldCharType="separate"/>
    </w:r>
    <w:r>
      <w:rPr>
        <w:b w:val="1"/>
        <w:bCs w:val="1"/>
      </w:rPr>
      <w:t>#</w:t>
    </w:r>
    <w:r>
      <w:rPr>
        <w:b w:val="1"/>
        <w:bCs w:val="1"/>
        <w:szCs w:val="24"/>
      </w:rPr>
      <w:fldChar w:fldCharType="end"/>
    </w:r>
    <w:r>
      <w:rPr>
        <w:b w:val="1"/>
        <w:bCs w:val="1"/>
        <w:szCs w:val="24"/>
      </w:rPr>
      <w:t>)</w:t>
    </w:r>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r>
        <w:separator/>
      </w:r>
    </w:p>
    <w:p/>
  </w:footnote>
  <w:footnote w:type="continuationSeparator" w:id="0">
    <w:p>
      <w:r>
        <w:continuationSeparator/>
      </w:r>
    </w:p>
    <w:p/>
  </w:footnote>
  <w:footnote w:type="continuationNotice" w:id="1">
    <w:p/>
    <w:p/>
  </w:footnote>
</w:footnotes>
</file>

<file path=word/numbering.xml><?xml version="1.0" encoding="utf-8"?>
<w:numbering xmlns:w="http://schemas.openxmlformats.org/wordprocessingml/2006/main">
  <w:abstractNum w:abstractNumId="0">
    <w:nsid w:val="00FE5121"/>
    <w:multiLevelType w:val="hybridMultilevel"/>
    <w:lvl w:ilvl="0" w:tplc="846A7484">
      <w:start w:val="1"/>
      <w:numFmt w:val="bullet"/>
      <w:suff w:val="tab"/>
      <w:lvlText w:val="•"/>
      <w:lvlJc w:val="left"/>
      <w:pPr>
        <w:ind w:left="651"/>
      </w:pPr>
      <w:rPr>
        <w:rFonts w:ascii="Arial" w:hAnsi="Arial" w:cs="Arial" w:eastAsia="Arial"/>
        <w:b w:val="0"/>
        <w:i w:val="0"/>
        <w:color w:val="000000"/>
        <w:sz w:val="24"/>
        <w:szCs w:val="24"/>
        <w:u w:val="none" w:color="000000"/>
        <w:shd w:val="clear" w:color="auto" w:fill="auto"/>
        <w:vertAlign w:val="baseline"/>
      </w:rPr>
    </w:lvl>
    <w:lvl w:ilvl="1" w:tplc="6144E354">
      <w:start w:val="1"/>
      <w:numFmt w:val="bullet"/>
      <w:suff w:val="tab"/>
      <w:lvlText w:val="o"/>
      <w:lvlJc w:val="left"/>
      <w:pPr>
        <w:ind w:left="1080"/>
      </w:pPr>
      <w:rPr>
        <w:rFonts w:ascii="Arial" w:hAnsi="Arial" w:cs="Arial" w:eastAsia="Arial"/>
        <w:b w:val="0"/>
        <w:i w:val="0"/>
        <w:color w:val="000000"/>
        <w:sz w:val="24"/>
        <w:szCs w:val="24"/>
        <w:u w:val="none" w:color="000000"/>
        <w:shd w:val="clear" w:color="auto" w:fill="auto"/>
        <w:vertAlign w:val="baseline"/>
      </w:rPr>
    </w:lvl>
    <w:lvl w:ilvl="2" w:tplc="C2A2354C">
      <w:start w:val="1"/>
      <w:numFmt w:val="bullet"/>
      <w:suff w:val="tab"/>
      <w:lvlText w:val="▪"/>
      <w:lvlJc w:val="left"/>
      <w:pPr>
        <w:ind w:left="1800"/>
      </w:pPr>
      <w:rPr>
        <w:rFonts w:ascii="Arial" w:hAnsi="Arial" w:cs="Arial" w:eastAsia="Arial"/>
        <w:b w:val="0"/>
        <w:i w:val="0"/>
        <w:color w:val="000000"/>
        <w:sz w:val="24"/>
        <w:szCs w:val="24"/>
        <w:u w:val="none" w:color="000000"/>
        <w:shd w:val="clear" w:color="auto" w:fill="auto"/>
        <w:vertAlign w:val="baseline"/>
      </w:rPr>
    </w:lvl>
    <w:lvl w:ilvl="3" w:tplc="EC424B1A">
      <w:start w:val="1"/>
      <w:numFmt w:val="bullet"/>
      <w:suff w:val="tab"/>
      <w:lvlText w:val="•"/>
      <w:lvlJc w:val="left"/>
      <w:pPr>
        <w:ind w:left="2520"/>
      </w:pPr>
      <w:rPr>
        <w:rFonts w:ascii="Arial" w:hAnsi="Arial" w:cs="Arial" w:eastAsia="Arial"/>
        <w:b w:val="0"/>
        <w:i w:val="0"/>
        <w:color w:val="000000"/>
        <w:sz w:val="24"/>
        <w:szCs w:val="24"/>
        <w:u w:val="none" w:color="000000"/>
        <w:shd w:val="clear" w:color="auto" w:fill="auto"/>
        <w:vertAlign w:val="baseline"/>
      </w:rPr>
    </w:lvl>
    <w:lvl w:ilvl="4" w:tplc="959ABF7E">
      <w:start w:val="1"/>
      <w:numFmt w:val="bullet"/>
      <w:suff w:val="tab"/>
      <w:lvlText w:val="o"/>
      <w:lvlJc w:val="left"/>
      <w:pPr>
        <w:ind w:left="3240"/>
      </w:pPr>
      <w:rPr>
        <w:rFonts w:ascii="Arial" w:hAnsi="Arial" w:cs="Arial" w:eastAsia="Arial"/>
        <w:b w:val="0"/>
        <w:i w:val="0"/>
        <w:color w:val="000000"/>
        <w:sz w:val="24"/>
        <w:szCs w:val="24"/>
        <w:u w:val="none" w:color="000000"/>
        <w:shd w:val="clear" w:color="auto" w:fill="auto"/>
        <w:vertAlign w:val="baseline"/>
      </w:rPr>
    </w:lvl>
    <w:lvl w:ilvl="5" w:tplc="C108EF94">
      <w:start w:val="1"/>
      <w:numFmt w:val="bullet"/>
      <w:suff w:val="tab"/>
      <w:lvlText w:val="▪"/>
      <w:lvlJc w:val="left"/>
      <w:pPr>
        <w:ind w:left="3960"/>
      </w:pPr>
      <w:rPr>
        <w:rFonts w:ascii="Arial" w:hAnsi="Arial" w:cs="Arial" w:eastAsia="Arial"/>
        <w:b w:val="0"/>
        <w:i w:val="0"/>
        <w:color w:val="000000"/>
        <w:sz w:val="24"/>
        <w:szCs w:val="24"/>
        <w:u w:val="none" w:color="000000"/>
        <w:shd w:val="clear" w:color="auto" w:fill="auto"/>
        <w:vertAlign w:val="baseline"/>
      </w:rPr>
    </w:lvl>
    <w:lvl w:ilvl="6" w:tplc="ADC60302">
      <w:start w:val="1"/>
      <w:numFmt w:val="bullet"/>
      <w:suff w:val="tab"/>
      <w:lvlText w:val="•"/>
      <w:lvlJc w:val="left"/>
      <w:pPr>
        <w:ind w:left="4680"/>
      </w:pPr>
      <w:rPr>
        <w:rFonts w:ascii="Arial" w:hAnsi="Arial" w:cs="Arial" w:eastAsia="Arial"/>
        <w:b w:val="0"/>
        <w:i w:val="0"/>
        <w:color w:val="000000"/>
        <w:sz w:val="24"/>
        <w:szCs w:val="24"/>
        <w:u w:val="none" w:color="000000"/>
        <w:shd w:val="clear" w:color="auto" w:fill="auto"/>
        <w:vertAlign w:val="baseline"/>
      </w:rPr>
    </w:lvl>
    <w:lvl w:ilvl="7" w:tplc="DAAA597E">
      <w:start w:val="1"/>
      <w:numFmt w:val="bullet"/>
      <w:suff w:val="tab"/>
      <w:lvlText w:val="o"/>
      <w:lvlJc w:val="left"/>
      <w:pPr>
        <w:ind w:left="5400"/>
      </w:pPr>
      <w:rPr>
        <w:rFonts w:ascii="Arial" w:hAnsi="Arial" w:cs="Arial" w:eastAsia="Arial"/>
        <w:b w:val="0"/>
        <w:i w:val="0"/>
        <w:color w:val="000000"/>
        <w:sz w:val="24"/>
        <w:szCs w:val="24"/>
        <w:u w:val="none" w:color="000000"/>
        <w:shd w:val="clear" w:color="auto" w:fill="auto"/>
        <w:vertAlign w:val="baseline"/>
      </w:rPr>
    </w:lvl>
    <w:lvl w:ilvl="8" w:tplc="941C948C">
      <w:start w:val="1"/>
      <w:numFmt w:val="bullet"/>
      <w:suff w:val="tab"/>
      <w:lvlText w:val="▪"/>
      <w:lvlJc w:val="left"/>
      <w:pPr>
        <w:ind w:left="6120"/>
      </w:pPr>
      <w:rPr>
        <w:rFonts w:ascii="Arial" w:hAnsi="Arial" w:cs="Arial" w:eastAsia="Arial"/>
        <w:b w:val="0"/>
        <w:i w:val="0"/>
        <w:color w:val="000000"/>
        <w:sz w:val="24"/>
        <w:szCs w:val="24"/>
        <w:u w:val="none" w:color="000000"/>
        <w:shd w:val="clear" w:color="auto" w:fill="auto"/>
        <w:vertAlign w:val="baseline"/>
      </w:rPr>
    </w:lvl>
  </w:abstractNum>
  <w:abstractNum w:abstractNumId="1">
    <w:nsid w:val="06615F1F"/>
    <w:multiLevelType w:val="multilevel"/>
    <w:lvl w:ilvl="0">
      <w:start w:val="1"/>
      <w:numFmt w:val="decimal"/>
      <w:suff w:val="tab"/>
      <w:lvlText w:val="%1"/>
      <w:lvlJc w:val="left"/>
      <w:pPr>
        <w:ind w:hanging="432" w:left="432"/>
      </w:pPr>
      <w:rPr>
        <w:rFonts w:hint="default"/>
      </w:rPr>
    </w:lvl>
    <w:lvl w:ilvl="1">
      <w:start w:val="1"/>
      <w:numFmt w:val="decimal"/>
      <w:suff w:val="space"/>
      <w:lvlText w:val="%1.%2"/>
      <w:lvlJc w:val="left"/>
      <w:pPr>
        <w:ind w:hanging="463" w:left="576"/>
      </w:pPr>
      <w:rPr>
        <w:rFonts w:hint="default"/>
      </w:rPr>
    </w:lvl>
    <w:lvl w:ilvl="2">
      <w:start w:val="1"/>
      <w:numFmt w:val="decimal"/>
      <w:suff w:val="space"/>
      <w:lvlText w:val="%1.%2.%3"/>
      <w:lvlJc w:val="left"/>
      <w:pPr>
        <w:ind w:hanging="380" w:left="720"/>
      </w:pPr>
      <w:rPr>
        <w:rFonts w:hint="default"/>
      </w:rPr>
    </w:lvl>
    <w:lvl w:ilvl="3">
      <w:start w:val="1"/>
      <w:numFmt w:val="decimal"/>
      <w:suff w:val="tab"/>
      <w:lvlText w:val="%1.%2.%3.%4"/>
      <w:lvlJc w:val="left"/>
      <w:pPr>
        <w:ind w:hanging="864" w:left="864"/>
      </w:pPr>
      <w:rPr>
        <w:rFonts w:hint="default"/>
      </w:rPr>
    </w:lvl>
    <w:lvl w:ilvl="4">
      <w:start w:val="1"/>
      <w:numFmt w:val="decimal"/>
      <w:pStyle w:val="P5"/>
      <w:suff w:val="tab"/>
      <w:lvlText w:val="%1.%2.%3.%4.%5"/>
      <w:lvlJc w:val="left"/>
      <w:pPr>
        <w:ind w:hanging="1008" w:left="1008"/>
      </w:pPr>
      <w:rPr>
        <w:rFonts w:hint="default"/>
      </w:rPr>
    </w:lvl>
    <w:lvl w:ilvl="5">
      <w:start w:val="1"/>
      <w:numFmt w:val="decimal"/>
      <w:pStyle w:val="P6"/>
      <w:suff w:val="tab"/>
      <w:lvlText w:val="%1.%2.%3.%4.%5.%6"/>
      <w:lvlJc w:val="left"/>
      <w:pPr>
        <w:ind w:hanging="1152" w:left="1152"/>
      </w:pPr>
      <w:rPr>
        <w:rFonts w:hint="default"/>
      </w:rPr>
    </w:lvl>
    <w:lvl w:ilvl="6">
      <w:start w:val="1"/>
      <w:numFmt w:val="decimal"/>
      <w:pStyle w:val="P7"/>
      <w:suff w:val="tab"/>
      <w:lvlText w:val="%1.%2.%3.%4.%5.%6.%7"/>
      <w:lvlJc w:val="left"/>
      <w:pPr>
        <w:ind w:hanging="1296" w:left="1296"/>
      </w:pPr>
      <w:rPr>
        <w:rFonts w:hint="default"/>
      </w:rPr>
    </w:lvl>
    <w:lvl w:ilvl="7">
      <w:start w:val="1"/>
      <w:numFmt w:val="decimal"/>
      <w:pStyle w:val="P8"/>
      <w:suff w:val="tab"/>
      <w:lvlText w:val="%1.%2.%3.%4.%5.%6.%7.%8"/>
      <w:lvlJc w:val="left"/>
      <w:pPr>
        <w:ind w:hanging="1440" w:left="1440"/>
      </w:pPr>
      <w:rPr>
        <w:rFonts w:hint="default"/>
      </w:rPr>
    </w:lvl>
    <w:lvl w:ilvl="8">
      <w:start w:val="1"/>
      <w:numFmt w:val="decimal"/>
      <w:pStyle w:val="P9"/>
      <w:suff w:val="tab"/>
      <w:lvlText w:val="%1.%2.%3.%4.%5.%6.%7.%8.%9"/>
      <w:lvlJc w:val="left"/>
      <w:pPr>
        <w:ind w:hanging="1584" w:left="1584"/>
      </w:pPr>
      <w:rPr>
        <w:rFonts w:hint="default"/>
      </w:rPr>
    </w:lvl>
  </w:abstractNum>
  <w:abstractNum w:abstractNumId="2">
    <w:nsid w:val="112435E5"/>
    <w:multiLevelType w:val="hybridMultilevel"/>
    <w:lvl w:ilvl="0" w:tplc="EAF0B1AC">
      <w:start w:val="1"/>
      <w:numFmt w:val="bullet"/>
      <w:suff w:val="tab"/>
      <w:lvlText w:val="-"/>
      <w:lvlJc w:val="left"/>
      <w:pPr>
        <w:ind w:hanging="360" w:left="720"/>
      </w:pPr>
      <w:rPr>
        <w:rFonts w:ascii="Times New Roman" w:hAnsi="Times New Roman" w:cs="Times New Roman" w:eastAsia="Aria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3">
    <w:nsid w:val="12BF53A8"/>
    <w:multiLevelType w:val="hybridMultilevel"/>
    <w:lvl w:ilvl="0" w:tplc="AD0423AC">
      <w:start w:val="1"/>
      <w:numFmt w:val="bullet"/>
      <w:suff w:val="tab"/>
      <w:lvlText w:val="•"/>
      <w:lvlJc w:val="left"/>
      <w:pPr>
        <w:ind w:left="651"/>
      </w:pPr>
      <w:rPr>
        <w:rFonts w:ascii="Arial" w:hAnsi="Arial" w:cs="Arial" w:eastAsia="Arial"/>
        <w:b w:val="0"/>
        <w:i w:val="0"/>
        <w:color w:val="000000"/>
        <w:sz w:val="22"/>
        <w:szCs w:val="22"/>
        <w:u w:val="none" w:color="000000"/>
        <w:shd w:val="clear" w:color="auto" w:fill="auto"/>
        <w:vertAlign w:val="baseline"/>
      </w:rPr>
    </w:lvl>
    <w:lvl w:ilvl="1" w:tplc="D1763E0C">
      <w:start w:val="1"/>
      <w:numFmt w:val="bullet"/>
      <w:suff w:val="tab"/>
      <w:lvlText w:val="o"/>
      <w:lvlJc w:val="left"/>
      <w:pPr>
        <w:ind w:left="1080"/>
      </w:pPr>
      <w:rPr>
        <w:rFonts w:ascii="Arial" w:hAnsi="Arial" w:cs="Arial" w:eastAsia="Arial"/>
        <w:b w:val="0"/>
        <w:i w:val="0"/>
        <w:color w:val="000000"/>
        <w:sz w:val="22"/>
        <w:szCs w:val="22"/>
        <w:u w:val="none" w:color="000000"/>
        <w:shd w:val="clear" w:color="auto" w:fill="auto"/>
        <w:vertAlign w:val="baseline"/>
      </w:rPr>
    </w:lvl>
    <w:lvl w:ilvl="2" w:tplc="C01C8D4A">
      <w:start w:val="1"/>
      <w:numFmt w:val="bullet"/>
      <w:suff w:val="tab"/>
      <w:lvlText w:val="▪"/>
      <w:lvlJc w:val="left"/>
      <w:pPr>
        <w:ind w:left="1800"/>
      </w:pPr>
      <w:rPr>
        <w:rFonts w:ascii="Arial" w:hAnsi="Arial" w:cs="Arial" w:eastAsia="Arial"/>
        <w:b w:val="0"/>
        <w:i w:val="0"/>
        <w:color w:val="000000"/>
        <w:sz w:val="22"/>
        <w:szCs w:val="22"/>
        <w:u w:val="none" w:color="000000"/>
        <w:shd w:val="clear" w:color="auto" w:fill="auto"/>
        <w:vertAlign w:val="baseline"/>
      </w:rPr>
    </w:lvl>
    <w:lvl w:ilvl="3" w:tplc="B2260E8E">
      <w:start w:val="1"/>
      <w:numFmt w:val="bullet"/>
      <w:suff w:val="tab"/>
      <w:lvlText w:val="•"/>
      <w:lvlJc w:val="left"/>
      <w:pPr>
        <w:ind w:left="2520"/>
      </w:pPr>
      <w:rPr>
        <w:rFonts w:ascii="Arial" w:hAnsi="Arial" w:cs="Arial" w:eastAsia="Arial"/>
        <w:b w:val="0"/>
        <w:i w:val="0"/>
        <w:color w:val="000000"/>
        <w:sz w:val="22"/>
        <w:szCs w:val="22"/>
        <w:u w:val="none" w:color="000000"/>
        <w:shd w:val="clear" w:color="auto" w:fill="auto"/>
        <w:vertAlign w:val="baseline"/>
      </w:rPr>
    </w:lvl>
    <w:lvl w:ilvl="4" w:tplc="E0F49962">
      <w:start w:val="1"/>
      <w:numFmt w:val="bullet"/>
      <w:suff w:val="tab"/>
      <w:lvlText w:val="o"/>
      <w:lvlJc w:val="left"/>
      <w:pPr>
        <w:ind w:left="3240"/>
      </w:pPr>
      <w:rPr>
        <w:rFonts w:ascii="Arial" w:hAnsi="Arial" w:cs="Arial" w:eastAsia="Arial"/>
        <w:b w:val="0"/>
        <w:i w:val="0"/>
        <w:color w:val="000000"/>
        <w:sz w:val="22"/>
        <w:szCs w:val="22"/>
        <w:u w:val="none" w:color="000000"/>
        <w:shd w:val="clear" w:color="auto" w:fill="auto"/>
        <w:vertAlign w:val="baseline"/>
      </w:rPr>
    </w:lvl>
    <w:lvl w:ilvl="5" w:tplc="C2D4DD7E">
      <w:start w:val="1"/>
      <w:numFmt w:val="bullet"/>
      <w:suff w:val="tab"/>
      <w:lvlText w:val="▪"/>
      <w:lvlJc w:val="left"/>
      <w:pPr>
        <w:ind w:left="3960"/>
      </w:pPr>
      <w:rPr>
        <w:rFonts w:ascii="Arial" w:hAnsi="Arial" w:cs="Arial" w:eastAsia="Arial"/>
        <w:b w:val="0"/>
        <w:i w:val="0"/>
        <w:color w:val="000000"/>
        <w:sz w:val="22"/>
        <w:szCs w:val="22"/>
        <w:u w:val="none" w:color="000000"/>
        <w:shd w:val="clear" w:color="auto" w:fill="auto"/>
        <w:vertAlign w:val="baseline"/>
      </w:rPr>
    </w:lvl>
    <w:lvl w:ilvl="6" w:tplc="CA70B28A">
      <w:start w:val="1"/>
      <w:numFmt w:val="bullet"/>
      <w:suff w:val="tab"/>
      <w:lvlText w:val="•"/>
      <w:lvlJc w:val="left"/>
      <w:pPr>
        <w:ind w:left="4680"/>
      </w:pPr>
      <w:rPr>
        <w:rFonts w:ascii="Arial" w:hAnsi="Arial" w:cs="Arial" w:eastAsia="Arial"/>
        <w:b w:val="0"/>
        <w:i w:val="0"/>
        <w:color w:val="000000"/>
        <w:sz w:val="22"/>
        <w:szCs w:val="22"/>
        <w:u w:val="none" w:color="000000"/>
        <w:shd w:val="clear" w:color="auto" w:fill="auto"/>
        <w:vertAlign w:val="baseline"/>
      </w:rPr>
    </w:lvl>
    <w:lvl w:ilvl="7" w:tplc="F7BEC436">
      <w:start w:val="1"/>
      <w:numFmt w:val="bullet"/>
      <w:suff w:val="tab"/>
      <w:lvlText w:val="o"/>
      <w:lvlJc w:val="left"/>
      <w:pPr>
        <w:ind w:left="5400"/>
      </w:pPr>
      <w:rPr>
        <w:rFonts w:ascii="Arial" w:hAnsi="Arial" w:cs="Arial" w:eastAsia="Arial"/>
        <w:b w:val="0"/>
        <w:i w:val="0"/>
        <w:color w:val="000000"/>
        <w:sz w:val="22"/>
        <w:szCs w:val="22"/>
        <w:u w:val="none" w:color="000000"/>
        <w:shd w:val="clear" w:color="auto" w:fill="auto"/>
        <w:vertAlign w:val="baseline"/>
      </w:rPr>
    </w:lvl>
    <w:lvl w:ilvl="8" w:tplc="ECB2FF02">
      <w:start w:val="1"/>
      <w:numFmt w:val="bullet"/>
      <w:suff w:val="tab"/>
      <w:lvlText w:val="▪"/>
      <w:lvlJc w:val="left"/>
      <w:pPr>
        <w:ind w:left="6120"/>
      </w:pPr>
      <w:rPr>
        <w:rFonts w:ascii="Arial" w:hAnsi="Arial" w:cs="Arial" w:eastAsia="Arial"/>
        <w:b w:val="0"/>
        <w:i w:val="0"/>
        <w:color w:val="000000"/>
        <w:sz w:val="22"/>
        <w:szCs w:val="22"/>
        <w:u w:val="none" w:color="000000"/>
        <w:shd w:val="clear" w:color="auto" w:fill="auto"/>
        <w:vertAlign w:val="baseline"/>
      </w:rPr>
    </w:lvl>
  </w:abstractNum>
  <w:abstractNum w:abstractNumId="4">
    <w:nsid w:val="294F7BFE"/>
    <w:multiLevelType w:val="multilevel"/>
    <w:lvl w:ilvl="0">
      <w:start w:val="1"/>
      <w:numFmt w:val="decimal"/>
      <w:suff w:val="tab"/>
      <w:lvlText w:val="%1)"/>
      <w:lvlJc w:val="left"/>
      <w:pPr>
        <w:ind w:hanging="360" w:left="360"/>
      </w:pPr>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5">
    <w:nsid w:val="2D0F5DCC"/>
    <w:multiLevelType w:val="hybridMultilevel"/>
    <w:lvl w:ilvl="0" w:tplc="5CDCBC68">
      <w:start w:val="1"/>
      <w:numFmt w:val="decimal"/>
      <w:suff w:val="tab"/>
      <w:lvlText w:val="%1."/>
      <w:lvlJc w:val="left"/>
      <w:pPr>
        <w:ind w:left="536"/>
      </w:pPr>
      <w:rPr>
        <w:rFonts w:ascii="Arial" w:hAnsi="Arial" w:cs="Arial" w:eastAsia="Arial"/>
        <w:b w:val="0"/>
        <w:i w:val="0"/>
        <w:color w:val="000000"/>
        <w:sz w:val="22"/>
        <w:szCs w:val="22"/>
        <w:u w:val="none" w:color="000000"/>
        <w:shd w:val="clear" w:color="auto" w:fill="auto"/>
        <w:vertAlign w:val="baseline"/>
      </w:rPr>
    </w:lvl>
    <w:lvl w:ilvl="1" w:tplc="524CB5AA">
      <w:start w:val="1"/>
      <w:numFmt w:val="lowerLetter"/>
      <w:suff w:val="tab"/>
      <w:lvlText w:val="%2"/>
      <w:lvlJc w:val="left"/>
      <w:pPr>
        <w:ind w:left="1447"/>
      </w:pPr>
      <w:rPr>
        <w:rFonts w:ascii="Arial" w:hAnsi="Arial" w:cs="Arial" w:eastAsia="Arial"/>
        <w:b w:val="0"/>
        <w:i w:val="0"/>
        <w:color w:val="000000"/>
        <w:sz w:val="22"/>
        <w:szCs w:val="22"/>
        <w:u w:val="none" w:color="000000"/>
        <w:shd w:val="clear" w:color="auto" w:fill="auto"/>
        <w:vertAlign w:val="baseline"/>
      </w:rPr>
    </w:lvl>
    <w:lvl w:ilvl="2" w:tplc="E41A38C6">
      <w:start w:val="1"/>
      <w:numFmt w:val="lowerRoman"/>
      <w:suff w:val="tab"/>
      <w:lvlText w:val="%3"/>
      <w:lvlJc w:val="left"/>
      <w:pPr>
        <w:ind w:left="2167"/>
      </w:pPr>
      <w:rPr>
        <w:rFonts w:ascii="Arial" w:hAnsi="Arial" w:cs="Arial" w:eastAsia="Arial"/>
        <w:b w:val="0"/>
        <w:i w:val="0"/>
        <w:color w:val="000000"/>
        <w:sz w:val="22"/>
        <w:szCs w:val="22"/>
        <w:u w:val="none" w:color="000000"/>
        <w:shd w:val="clear" w:color="auto" w:fill="auto"/>
        <w:vertAlign w:val="baseline"/>
      </w:rPr>
    </w:lvl>
    <w:lvl w:ilvl="3" w:tplc="64E2C99C">
      <w:start w:val="1"/>
      <w:numFmt w:val="decimal"/>
      <w:suff w:val="tab"/>
      <w:lvlText w:val="%4"/>
      <w:lvlJc w:val="left"/>
      <w:pPr>
        <w:ind w:left="2887"/>
      </w:pPr>
      <w:rPr>
        <w:rFonts w:ascii="Arial" w:hAnsi="Arial" w:cs="Arial" w:eastAsia="Arial"/>
        <w:b w:val="0"/>
        <w:i w:val="0"/>
        <w:color w:val="000000"/>
        <w:sz w:val="22"/>
        <w:szCs w:val="22"/>
        <w:u w:val="none" w:color="000000"/>
        <w:shd w:val="clear" w:color="auto" w:fill="auto"/>
        <w:vertAlign w:val="baseline"/>
      </w:rPr>
    </w:lvl>
    <w:lvl w:ilvl="4" w:tplc="DC009B92">
      <w:start w:val="1"/>
      <w:numFmt w:val="lowerLetter"/>
      <w:suff w:val="tab"/>
      <w:lvlText w:val="%5"/>
      <w:lvlJc w:val="left"/>
      <w:pPr>
        <w:ind w:left="3607"/>
      </w:pPr>
      <w:rPr>
        <w:rFonts w:ascii="Arial" w:hAnsi="Arial" w:cs="Arial" w:eastAsia="Arial"/>
        <w:b w:val="0"/>
        <w:i w:val="0"/>
        <w:color w:val="000000"/>
        <w:sz w:val="22"/>
        <w:szCs w:val="22"/>
        <w:u w:val="none" w:color="000000"/>
        <w:shd w:val="clear" w:color="auto" w:fill="auto"/>
        <w:vertAlign w:val="baseline"/>
      </w:rPr>
    </w:lvl>
    <w:lvl w:ilvl="5" w:tplc="9D962A02">
      <w:start w:val="1"/>
      <w:numFmt w:val="lowerRoman"/>
      <w:suff w:val="tab"/>
      <w:lvlText w:val="%6"/>
      <w:lvlJc w:val="left"/>
      <w:pPr>
        <w:ind w:left="4327"/>
      </w:pPr>
      <w:rPr>
        <w:rFonts w:ascii="Arial" w:hAnsi="Arial" w:cs="Arial" w:eastAsia="Arial"/>
        <w:b w:val="0"/>
        <w:i w:val="0"/>
        <w:color w:val="000000"/>
        <w:sz w:val="22"/>
        <w:szCs w:val="22"/>
        <w:u w:val="none" w:color="000000"/>
        <w:shd w:val="clear" w:color="auto" w:fill="auto"/>
        <w:vertAlign w:val="baseline"/>
      </w:rPr>
    </w:lvl>
    <w:lvl w:ilvl="6" w:tplc="FA288866">
      <w:start w:val="1"/>
      <w:numFmt w:val="decimal"/>
      <w:suff w:val="tab"/>
      <w:lvlText w:val="%7"/>
      <w:lvlJc w:val="left"/>
      <w:pPr>
        <w:ind w:left="5047"/>
      </w:pPr>
      <w:rPr>
        <w:rFonts w:ascii="Arial" w:hAnsi="Arial" w:cs="Arial" w:eastAsia="Arial"/>
        <w:b w:val="0"/>
        <w:i w:val="0"/>
        <w:color w:val="000000"/>
        <w:sz w:val="22"/>
        <w:szCs w:val="22"/>
        <w:u w:val="none" w:color="000000"/>
        <w:shd w:val="clear" w:color="auto" w:fill="auto"/>
        <w:vertAlign w:val="baseline"/>
      </w:rPr>
    </w:lvl>
    <w:lvl w:ilvl="7" w:tplc="2480B7F0">
      <w:start w:val="1"/>
      <w:numFmt w:val="lowerLetter"/>
      <w:suff w:val="tab"/>
      <w:lvlText w:val="%8"/>
      <w:lvlJc w:val="left"/>
      <w:pPr>
        <w:ind w:left="5767"/>
      </w:pPr>
      <w:rPr>
        <w:rFonts w:ascii="Arial" w:hAnsi="Arial" w:cs="Arial" w:eastAsia="Arial"/>
        <w:b w:val="0"/>
        <w:i w:val="0"/>
        <w:color w:val="000000"/>
        <w:sz w:val="22"/>
        <w:szCs w:val="22"/>
        <w:u w:val="none" w:color="000000"/>
        <w:shd w:val="clear" w:color="auto" w:fill="auto"/>
        <w:vertAlign w:val="baseline"/>
      </w:rPr>
    </w:lvl>
    <w:lvl w:ilvl="8" w:tplc="02442628">
      <w:start w:val="1"/>
      <w:numFmt w:val="lowerRoman"/>
      <w:suff w:val="tab"/>
      <w:lvlText w:val="%9"/>
      <w:lvlJc w:val="left"/>
      <w:pPr>
        <w:ind w:left="6487"/>
      </w:pPr>
      <w:rPr>
        <w:rFonts w:ascii="Arial" w:hAnsi="Arial" w:cs="Arial" w:eastAsia="Arial"/>
        <w:b w:val="0"/>
        <w:i w:val="0"/>
        <w:color w:val="000000"/>
        <w:sz w:val="22"/>
        <w:szCs w:val="22"/>
        <w:u w:val="none" w:color="000000"/>
        <w:shd w:val="clear" w:color="auto" w:fill="auto"/>
        <w:vertAlign w:val="baseline"/>
      </w:rPr>
    </w:lvl>
  </w:abstractNum>
  <w:abstractNum w:abstractNumId="6">
    <w:nsid w:val="33E801AB"/>
    <w:multiLevelType w:val="hybridMultilevel"/>
    <w:lvl w:ilvl="0" w:tplc="3D20593A">
      <w:start w:val="1"/>
      <w:numFmt w:val="bullet"/>
      <w:suff w:val="tab"/>
      <w:lvlText w:val="-"/>
      <w:lvlJc w:val="left"/>
      <w:pPr>
        <w:ind w:hanging="360" w:left="720"/>
      </w:pPr>
      <w:rPr>
        <w:rFonts w:ascii="Times New Roman" w:hAnsi="Times New Roman" w:cs="Times New Roman" w:eastAsia="Aria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7">
    <w:nsid w:val="48617E06"/>
    <w:multiLevelType w:val="hybridMultilevel"/>
    <w:lvl w:ilvl="0" w:tplc="5A6400B6">
      <w:start w:val="1"/>
      <w:numFmt w:val="decimal"/>
      <w:suff w:val="tab"/>
      <w:lvlText w:val="%1."/>
      <w:lvlJc w:val="left"/>
      <w:pPr>
        <w:ind w:left="536"/>
      </w:pPr>
      <w:rPr>
        <w:rFonts w:ascii="Arial" w:hAnsi="Arial" w:cs="Arial" w:eastAsia="Arial"/>
        <w:b w:val="0"/>
        <w:i w:val="0"/>
        <w:color w:val="000000"/>
        <w:sz w:val="22"/>
        <w:szCs w:val="22"/>
        <w:u w:val="none" w:color="000000"/>
        <w:shd w:val="clear" w:color="auto" w:fill="auto"/>
        <w:vertAlign w:val="baseline"/>
      </w:rPr>
    </w:lvl>
    <w:lvl w:ilvl="1" w:tplc="BE82356A">
      <w:start w:val="1"/>
      <w:numFmt w:val="lowerLetter"/>
      <w:suff w:val="tab"/>
      <w:lvlText w:val="%2"/>
      <w:lvlJc w:val="left"/>
      <w:pPr>
        <w:ind w:left="1800"/>
      </w:pPr>
      <w:rPr>
        <w:rFonts w:ascii="Arial" w:hAnsi="Arial" w:cs="Arial" w:eastAsia="Arial"/>
        <w:b w:val="0"/>
        <w:i w:val="0"/>
        <w:color w:val="000000"/>
        <w:sz w:val="22"/>
        <w:szCs w:val="22"/>
        <w:u w:val="none" w:color="000000"/>
        <w:shd w:val="clear" w:color="auto" w:fill="auto"/>
        <w:vertAlign w:val="baseline"/>
      </w:rPr>
    </w:lvl>
    <w:lvl w:ilvl="2" w:tplc="7C9AC2DC">
      <w:start w:val="1"/>
      <w:numFmt w:val="lowerRoman"/>
      <w:suff w:val="tab"/>
      <w:lvlText w:val="%3"/>
      <w:lvlJc w:val="left"/>
      <w:pPr>
        <w:ind w:left="2520"/>
      </w:pPr>
      <w:rPr>
        <w:rFonts w:ascii="Arial" w:hAnsi="Arial" w:cs="Arial" w:eastAsia="Arial"/>
        <w:b w:val="0"/>
        <w:i w:val="0"/>
        <w:color w:val="000000"/>
        <w:sz w:val="22"/>
        <w:szCs w:val="22"/>
        <w:u w:val="none" w:color="000000"/>
        <w:shd w:val="clear" w:color="auto" w:fill="auto"/>
        <w:vertAlign w:val="baseline"/>
      </w:rPr>
    </w:lvl>
    <w:lvl w:ilvl="3" w:tplc="EF844194">
      <w:start w:val="1"/>
      <w:numFmt w:val="decimal"/>
      <w:suff w:val="tab"/>
      <w:lvlText w:val="%4"/>
      <w:lvlJc w:val="left"/>
      <w:pPr>
        <w:ind w:left="3240"/>
      </w:pPr>
      <w:rPr>
        <w:rFonts w:ascii="Arial" w:hAnsi="Arial" w:cs="Arial" w:eastAsia="Arial"/>
        <w:b w:val="0"/>
        <w:i w:val="0"/>
        <w:color w:val="000000"/>
        <w:sz w:val="22"/>
        <w:szCs w:val="22"/>
        <w:u w:val="none" w:color="000000"/>
        <w:shd w:val="clear" w:color="auto" w:fill="auto"/>
        <w:vertAlign w:val="baseline"/>
      </w:rPr>
    </w:lvl>
    <w:lvl w:ilvl="4" w:tplc="3A4846DC">
      <w:start w:val="1"/>
      <w:numFmt w:val="lowerLetter"/>
      <w:suff w:val="tab"/>
      <w:lvlText w:val="%5"/>
      <w:lvlJc w:val="left"/>
      <w:pPr>
        <w:ind w:left="3960"/>
      </w:pPr>
      <w:rPr>
        <w:rFonts w:ascii="Arial" w:hAnsi="Arial" w:cs="Arial" w:eastAsia="Arial"/>
        <w:b w:val="0"/>
        <w:i w:val="0"/>
        <w:color w:val="000000"/>
        <w:sz w:val="22"/>
        <w:szCs w:val="22"/>
        <w:u w:val="none" w:color="000000"/>
        <w:shd w:val="clear" w:color="auto" w:fill="auto"/>
        <w:vertAlign w:val="baseline"/>
      </w:rPr>
    </w:lvl>
    <w:lvl w:ilvl="5" w:tplc="EFA2AE58">
      <w:start w:val="1"/>
      <w:numFmt w:val="lowerRoman"/>
      <w:suff w:val="tab"/>
      <w:lvlText w:val="%6"/>
      <w:lvlJc w:val="left"/>
      <w:pPr>
        <w:ind w:left="4680"/>
      </w:pPr>
      <w:rPr>
        <w:rFonts w:ascii="Arial" w:hAnsi="Arial" w:cs="Arial" w:eastAsia="Arial"/>
        <w:b w:val="0"/>
        <w:i w:val="0"/>
        <w:color w:val="000000"/>
        <w:sz w:val="22"/>
        <w:szCs w:val="22"/>
        <w:u w:val="none" w:color="000000"/>
        <w:shd w:val="clear" w:color="auto" w:fill="auto"/>
        <w:vertAlign w:val="baseline"/>
      </w:rPr>
    </w:lvl>
    <w:lvl w:ilvl="6" w:tplc="19B22C6C">
      <w:start w:val="1"/>
      <w:numFmt w:val="decimal"/>
      <w:suff w:val="tab"/>
      <w:lvlText w:val="%7"/>
      <w:lvlJc w:val="left"/>
      <w:pPr>
        <w:ind w:left="5400"/>
      </w:pPr>
      <w:rPr>
        <w:rFonts w:ascii="Arial" w:hAnsi="Arial" w:cs="Arial" w:eastAsia="Arial"/>
        <w:b w:val="0"/>
        <w:i w:val="0"/>
        <w:color w:val="000000"/>
        <w:sz w:val="22"/>
        <w:szCs w:val="22"/>
        <w:u w:val="none" w:color="000000"/>
        <w:shd w:val="clear" w:color="auto" w:fill="auto"/>
        <w:vertAlign w:val="baseline"/>
      </w:rPr>
    </w:lvl>
    <w:lvl w:ilvl="7" w:tplc="A830B74E">
      <w:start w:val="1"/>
      <w:numFmt w:val="lowerLetter"/>
      <w:suff w:val="tab"/>
      <w:lvlText w:val="%8"/>
      <w:lvlJc w:val="left"/>
      <w:pPr>
        <w:ind w:left="6120"/>
      </w:pPr>
      <w:rPr>
        <w:rFonts w:ascii="Arial" w:hAnsi="Arial" w:cs="Arial" w:eastAsia="Arial"/>
        <w:b w:val="0"/>
        <w:i w:val="0"/>
        <w:color w:val="000000"/>
        <w:sz w:val="22"/>
        <w:szCs w:val="22"/>
        <w:u w:val="none" w:color="000000"/>
        <w:shd w:val="clear" w:color="auto" w:fill="auto"/>
        <w:vertAlign w:val="baseline"/>
      </w:rPr>
    </w:lvl>
    <w:lvl w:ilvl="8" w:tplc="BD40E402">
      <w:start w:val="1"/>
      <w:numFmt w:val="lowerRoman"/>
      <w:suff w:val="tab"/>
      <w:lvlText w:val="%9"/>
      <w:lvlJc w:val="left"/>
      <w:pPr>
        <w:ind w:left="6840"/>
      </w:pPr>
      <w:rPr>
        <w:rFonts w:ascii="Arial" w:hAnsi="Arial" w:cs="Arial" w:eastAsia="Arial"/>
        <w:b w:val="0"/>
        <w:i w:val="0"/>
        <w:color w:val="000000"/>
        <w:sz w:val="22"/>
        <w:szCs w:val="22"/>
        <w:u w:val="none" w:color="000000"/>
        <w:shd w:val="clear" w:color="auto" w:fill="auto"/>
        <w:vertAlign w:val="baseline"/>
      </w:rPr>
    </w:lvl>
  </w:abstractNum>
  <w:abstractNum w:abstractNumId="8">
    <w:nsid w:val="58630EA5"/>
    <w:multiLevelType w:val="hybridMultilevel"/>
    <w:lvl w:ilvl="0" w:tplc="3D20593A">
      <w:start w:val="1"/>
      <w:numFmt w:val="bullet"/>
      <w:suff w:val="tab"/>
      <w:lvlText w:val="-"/>
      <w:lvlJc w:val="left"/>
      <w:pPr>
        <w:ind w:hanging="360" w:left="720"/>
      </w:pPr>
      <w:rPr>
        <w:rFonts w:ascii="Times New Roman" w:hAnsi="Times New Roman" w:cs="Times New Roman" w:eastAsia="Aria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9">
    <w:nsid w:val="5ABC3334"/>
    <w:multiLevelType w:val="hybridMultilevel"/>
    <w:lvl w:ilvl="0" w:tplc="3796E08A">
      <w:start w:val="1"/>
      <w:numFmt w:val="bullet"/>
      <w:suff w:val="tab"/>
      <w:lvlText w:val="-"/>
      <w:lvlJc w:val="left"/>
      <w:pPr>
        <w:ind w:hanging="360" w:left="720"/>
      </w:pPr>
      <w:rPr>
        <w:rFonts w:ascii="Times New Roman" w:hAnsi="Times New Roman" w:cs="Times New Roman" w:eastAsia="Aria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0">
    <w:nsid w:val="65412FF1"/>
    <w:multiLevelType w:val="hybridMultilevel"/>
    <w:lvl w:ilvl="0" w:tplc="3D20593A">
      <w:start w:val="1"/>
      <w:numFmt w:val="bullet"/>
      <w:suff w:val="tab"/>
      <w:lvlText w:val="-"/>
      <w:lvlJc w:val="left"/>
      <w:pPr>
        <w:ind w:hanging="360" w:left="720"/>
      </w:pPr>
      <w:rPr>
        <w:rFonts w:ascii="Times New Roman" w:hAnsi="Times New Roman" w:cs="Times New Roman" w:eastAsia="Aria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1">
    <w:nsid w:val="69B87E02"/>
    <w:multiLevelType w:val="multilevel"/>
    <w:lvl w:ilvl="0">
      <w:start w:val="1"/>
      <w:numFmt w:val="decimal"/>
      <w:suff w:val="tab"/>
      <w:lvlText w:val="%1."/>
      <w:lvlJc w:val="left"/>
      <w:pPr>
        <w:ind w:hanging="360" w:left="720"/>
      </w:pPr>
      <w:rPr>
        <w:rFonts w:hint="default"/>
      </w:rPr>
    </w:lvl>
    <w:lvl w:ilvl="1">
      <w:start w:val="1"/>
      <w:numFmt w:val="decimal"/>
      <w:isLgl w:val="1"/>
      <w:suff w:val="tab"/>
      <w:lvlText w:val="%1.%2"/>
      <w:lvlJc w:val="left"/>
      <w:pPr>
        <w:ind w:hanging="720" w:left="1080"/>
      </w:pPr>
      <w:rPr>
        <w:rFonts w:hint="default"/>
      </w:rPr>
    </w:lvl>
    <w:lvl w:ilvl="2">
      <w:start w:val="2"/>
      <w:numFmt w:val="decimal"/>
      <w:isLgl w:val="1"/>
      <w:suff w:val="tab"/>
      <w:lvlText w:val="%1.%2.%3"/>
      <w:lvlJc w:val="left"/>
      <w:pPr>
        <w:ind w:hanging="1080" w:left="1440"/>
      </w:pPr>
      <w:rPr>
        <w:rFonts w:hint="default"/>
      </w:rPr>
    </w:lvl>
    <w:lvl w:ilvl="3">
      <w:start w:val="1"/>
      <w:numFmt w:val="decimal"/>
      <w:isLgl w:val="1"/>
      <w:suff w:val="tab"/>
      <w:lvlText w:val="%1.%2.%3.%4"/>
      <w:lvlJc w:val="left"/>
      <w:pPr>
        <w:ind w:hanging="1440" w:left="1800"/>
      </w:pPr>
      <w:rPr>
        <w:rFonts w:hint="default"/>
      </w:rPr>
    </w:lvl>
    <w:lvl w:ilvl="4">
      <w:start w:val="1"/>
      <w:numFmt w:val="decimal"/>
      <w:isLgl w:val="1"/>
      <w:suff w:val="tab"/>
      <w:lvlText w:val="%1.%2.%3.%4.%5"/>
      <w:lvlJc w:val="left"/>
      <w:pPr>
        <w:ind w:hanging="1800" w:left="2160"/>
      </w:pPr>
      <w:rPr>
        <w:rFonts w:hint="default"/>
      </w:rPr>
    </w:lvl>
    <w:lvl w:ilvl="5">
      <w:start w:val="1"/>
      <w:numFmt w:val="decimal"/>
      <w:isLgl w:val="1"/>
      <w:suff w:val="tab"/>
      <w:lvlText w:val="%1.%2.%3.%4.%5.%6"/>
      <w:lvlJc w:val="left"/>
      <w:pPr>
        <w:ind w:hanging="2160" w:left="2520"/>
      </w:pPr>
      <w:rPr>
        <w:rFonts w:hint="default"/>
      </w:rPr>
    </w:lvl>
    <w:lvl w:ilvl="6">
      <w:start w:val="1"/>
      <w:numFmt w:val="decimal"/>
      <w:isLgl w:val="1"/>
      <w:suff w:val="tab"/>
      <w:lvlText w:val="%1.%2.%3.%4.%5.%6.%7"/>
      <w:lvlJc w:val="left"/>
      <w:pPr>
        <w:ind w:hanging="2520" w:left="2880"/>
      </w:pPr>
      <w:rPr>
        <w:rFonts w:hint="default"/>
      </w:rPr>
    </w:lvl>
    <w:lvl w:ilvl="7">
      <w:start w:val="1"/>
      <w:numFmt w:val="decimal"/>
      <w:isLgl w:val="1"/>
      <w:suff w:val="tab"/>
      <w:lvlText w:val="%1.%2.%3.%4.%5.%6.%7.%8"/>
      <w:lvlJc w:val="left"/>
      <w:pPr>
        <w:ind w:hanging="2880" w:left="3240"/>
      </w:pPr>
      <w:rPr>
        <w:rFonts w:hint="default"/>
      </w:rPr>
    </w:lvl>
    <w:lvl w:ilvl="8">
      <w:start w:val="1"/>
      <w:numFmt w:val="decimal"/>
      <w:isLgl w:val="1"/>
      <w:suff w:val="tab"/>
      <w:lvlText w:val="%1.%2.%3.%4.%5.%6.%7.%8.%9"/>
      <w:lvlJc w:val="left"/>
      <w:pPr>
        <w:ind w:hanging="3240" w:left="3600"/>
      </w:pPr>
      <w:rPr>
        <w:rFonts w:hint="default"/>
      </w:rPr>
    </w:lvl>
  </w:abstractNum>
  <w:num w:numId="1">
    <w:abstractNumId w:val="0"/>
  </w:num>
  <w:num w:numId="2">
    <w:abstractNumId w:val="5"/>
  </w:num>
  <w:num w:numId="3">
    <w:abstractNumId w:val="3"/>
  </w:num>
  <w:num w:numId="4">
    <w:abstractNumId w:val="7"/>
  </w:num>
  <w:num w:numId="5">
    <w:abstractNumId w:val="11"/>
  </w:num>
  <w:num w:numId="6">
    <w:abstractNumId w:val="4"/>
  </w:num>
  <w:num w:numId="7">
    <w:abstractNumId w:val="1"/>
  </w:num>
  <w:num w:numId="8">
    <w:abstractNumId w:val="1"/>
    <w:lvlOverride w:ilvl="0">
      <w:lvl w:ilvl="0">
        <w:start w:val="1"/>
        <w:numFmt w:val="decimal"/>
        <w:suff w:val="tab"/>
        <w:lvlText w:val="%1"/>
        <w:lvlJc w:val="left"/>
        <w:pPr>
          <w:ind w:hanging="432" w:left="432"/>
        </w:pPr>
        <w:rPr>
          <w:rFonts w:hint="default"/>
        </w:rPr>
      </w:lvl>
    </w:lvlOverride>
    <w:lvlOverride w:ilvl="1">
      <w:lvl w:ilvl="1">
        <w:start w:val="1"/>
        <w:numFmt w:val="decimal"/>
        <w:suff w:val="space"/>
        <w:lvlText w:val="%1.%2"/>
        <w:lvlJc w:val="left"/>
        <w:pPr>
          <w:ind w:hanging="576" w:left="576"/>
        </w:pPr>
        <w:rPr>
          <w:rFonts w:hint="default"/>
        </w:rPr>
      </w:lvl>
    </w:lvlOverride>
    <w:lvlOverride w:ilvl="2">
      <w:lvl w:ilvl="2">
        <w:start w:val="1"/>
        <w:numFmt w:val="decimal"/>
        <w:suff w:val="tab"/>
        <w:lvlText w:val="%1.%2.%3"/>
        <w:lvlJc w:val="left"/>
        <w:pPr>
          <w:ind w:hanging="72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9">
    <w:abstractNumId w:val="1"/>
    <w:lvlOverride w:ilvl="0">
      <w:lvl w:ilvl="0">
        <w:start w:val="1"/>
        <w:numFmt w:val="decimal"/>
        <w:suff w:val="tab"/>
        <w:lvlText w:val="%1"/>
        <w:lvlJc w:val="left"/>
        <w:pPr>
          <w:ind w:hanging="432" w:left="432"/>
        </w:pPr>
        <w:rPr>
          <w:rFonts w:hint="default"/>
        </w:rPr>
      </w:lvl>
    </w:lvlOverride>
    <w:lvlOverride w:ilvl="1">
      <w:lvl w:ilvl="1">
        <w:start w:val="1"/>
        <w:numFmt w:val="decimal"/>
        <w:suff w:val="tab"/>
        <w:lvlText w:val="%1.%2"/>
        <w:lvlJc w:val="left"/>
        <w:pPr>
          <w:ind w:hanging="463" w:left="576"/>
          <w:tabs>
            <w:tab w:val="num" w:pos="1134" w:leader="none"/>
          </w:tabs>
        </w:pPr>
        <w:rPr>
          <w:rFonts w:hint="default"/>
        </w:rPr>
      </w:lvl>
    </w:lvlOverride>
    <w:lvlOverride w:ilvl="2">
      <w:lvl w:ilvl="2">
        <w:start w:val="1"/>
        <w:numFmt w:val="decimal"/>
        <w:suff w:val="space"/>
        <w:lvlText w:val="%1.%2.%3"/>
        <w:lvlJc w:val="left"/>
        <w:pPr>
          <w:ind w:hanging="38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10">
    <w:abstractNumId w:val="1"/>
    <w:lvlOverride w:ilvl="0">
      <w:lvl w:ilvl="0">
        <w:start w:val="1"/>
        <w:numFmt w:val="decimal"/>
        <w:suff w:val="tab"/>
        <w:lvlText w:val="%1"/>
        <w:lvlJc w:val="left"/>
        <w:pPr>
          <w:ind w:hanging="432" w:left="432"/>
        </w:pPr>
        <w:rPr>
          <w:rFonts w:hint="default"/>
        </w:rPr>
      </w:lvl>
    </w:lvlOverride>
    <w:lvlOverride w:ilvl="1">
      <w:lvl w:ilvl="1">
        <w:start w:val="1"/>
        <w:numFmt w:val="decimal"/>
        <w:suff w:val="tab"/>
        <w:lvlText w:val="%1.%2"/>
        <w:lvlJc w:val="left"/>
        <w:pPr>
          <w:ind w:hanging="576" w:left="576"/>
          <w:tabs>
            <w:tab w:val="num" w:pos="1134" w:leader="none"/>
          </w:tabs>
        </w:pPr>
        <w:rPr>
          <w:rFonts w:hint="default"/>
        </w:rPr>
      </w:lvl>
    </w:lvlOverride>
    <w:lvlOverride w:ilvl="2">
      <w:lvl w:ilvl="2">
        <w:start w:val="1"/>
        <w:numFmt w:val="decimal"/>
        <w:suff w:val="space"/>
        <w:lvlText w:val="%1.%2.%3"/>
        <w:lvlJc w:val="left"/>
        <w:pPr>
          <w:ind w:hanging="38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11">
    <w:abstractNumId w:val="1"/>
  </w:num>
  <w:num w:numId="12">
    <w:abstractNumId w:val="1"/>
    <w:lvlOverride w:ilvl="0">
      <w:lvl w:ilvl="0">
        <w:start w:val="1"/>
        <w:numFmt w:val="decimal"/>
        <w:suff w:val="tab"/>
        <w:lvlText w:val="%1"/>
        <w:lvlJc w:val="left"/>
        <w:pPr>
          <w:ind w:hanging="432" w:left="432"/>
        </w:pPr>
        <w:rPr>
          <w:rFonts w:hint="default"/>
        </w:rPr>
      </w:lvl>
    </w:lvlOverride>
    <w:lvlOverride w:ilvl="1">
      <w:lvl w:ilvl="1">
        <w:start w:val="1"/>
        <w:numFmt w:val="decimal"/>
        <w:suff w:val="space"/>
        <w:lvlText w:val="%1.%2"/>
        <w:lvlJc w:val="left"/>
        <w:pPr>
          <w:ind w:hanging="463" w:left="576"/>
        </w:pPr>
        <w:rPr>
          <w:rFonts w:hint="default"/>
        </w:rPr>
      </w:lvl>
    </w:lvlOverride>
    <w:lvlOverride w:ilvl="2">
      <w:lvl w:ilvl="2">
        <w:start w:val="1"/>
        <w:numFmt w:val="decimal"/>
        <w:suff w:val="space"/>
        <w:lvlText w:val="%1.%2.%3"/>
        <w:lvlJc w:val="left"/>
        <w:pPr>
          <w:ind w:hanging="38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13">
    <w:abstractNumId w:val="1"/>
    <w:lvlOverride w:ilvl="0">
      <w:lvl w:ilvl="0">
        <w:start w:val="1"/>
        <w:numFmt w:val="decimal"/>
        <w:suff w:val="tab"/>
        <w:lvlText w:val="%1"/>
        <w:lvlJc w:val="left"/>
        <w:pPr>
          <w:ind w:hanging="432" w:left="432"/>
        </w:pPr>
        <w:rPr>
          <w:rFonts w:hint="default"/>
        </w:rPr>
      </w:lvl>
    </w:lvlOverride>
    <w:lvlOverride w:ilvl="1">
      <w:lvl w:ilvl="1">
        <w:start w:val="1"/>
        <w:numFmt w:val="decimal"/>
        <w:suff w:val="space"/>
        <w:lvlText w:val="%1.%2"/>
        <w:lvlJc w:val="left"/>
        <w:pPr>
          <w:ind w:hanging="463" w:left="576"/>
        </w:pPr>
        <w:rPr>
          <w:rFonts w:hint="default"/>
        </w:rPr>
      </w:lvl>
    </w:lvlOverride>
    <w:lvlOverride w:ilvl="2">
      <w:lvl w:ilvl="2">
        <w:start w:val="1"/>
        <w:numFmt w:val="decimal"/>
        <w:suff w:val="space"/>
        <w:lvlText w:val="%1.%2.%3"/>
        <w:lvlJc w:val="left"/>
        <w:pPr>
          <w:ind w:hanging="38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14">
    <w:abstractNumId w:val="2"/>
  </w:num>
  <w:num w:numId="15">
    <w:abstractNumId w:val="9"/>
  </w:num>
  <w:num w:numId="16">
    <w:abstractNumId w:val="10"/>
  </w:num>
  <w:num w:numId="17">
    <w:abstractNumId w:val="6"/>
  </w:num>
  <w:num w:numId="18">
    <w:abstractNumId w:val="8"/>
  </w:num>
</w:numbering>
</file>

<file path=word/settings.xml><?xml version="1.0" encoding="utf-8"?>
<w:settings xmlns:w="http://schemas.openxmlformats.org/wordprocessingml/2006/main">
  <w:displayBackgroundShape w:val="0"/>
  <w:defaultTabStop w:val="1304"/>
  <w:autoHyphenation w:val="0"/>
  <w:hyphenationZone w:val="425"/>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clrSchemeMapping w:bg1="light1" w:t1="dark1" w:bg2="light2" w:t2="dark2" w:accent1="accent1" w:accent2="accent2" w:accent3="accent3" w:accent4="accent4" w:accent5="accent5" w:accent6="accent6" w:hyperlink="hyperlink" w:followedHyperlink="followedHyperlink"/>
  <w:footnotePr>
    <w:footnote w:id="-1"/>
    <w:footnote w:id="0"/>
    <w:footnote w:id="1"/>
  </w:footnotePr>
  <w:endnotePr>
    <w:endnote w:id="-1"/>
    <w:endnote w:id="0"/>
    <w:endnote w:id="1"/>
  </w:endnotePr>
</w:settings>
</file>

<file path=word/styles.xml><?xml version="1.0" encoding="utf-8"?>
<w:styles xmlns:w="http://schemas.openxmlformats.org/wordprocessingml/2006/main">
  <w:docDefaults>
    <w:rPrDefault>
      <w:rPr>
        <w:rFonts w:asciiTheme="minorHAnsi" w:hAnsiTheme="minorHAnsi" w:cstheme="minorBidi" w:eastAsiaTheme="minorEastAsia"/>
        <w:sz w:val="22"/>
        <w:szCs w:val="22"/>
        <w:lang w:val="sv-SE" w:bidi="ar-SA" w:eastAsia="sv-SE"/>
      </w:rPr>
    </w:rPrDefault>
    <w:pPrDefault>
      <w:pPr>
        <w:keepNext w:val="0"/>
        <w:keepLines w:val="0"/>
        <w:pageBreakBefore w:val="0"/>
        <w:widowControl w:val="1"/>
        <w:suppressLineNumbers w:val="0"/>
        <w:shd w:val="clear" w:fill="auto"/>
        <w:suppressAutoHyphens w:val="0"/>
        <w:spacing w:lineRule="auto" w:line="259" w:before="0" w:after="160" w:beforeAutospacing="0" w:afterAutospacing="0"/>
        <w:ind w:firstLine="0" w:left="0" w:right="0"/>
        <w:contextualSpacing w:val="0"/>
        <w:bidi w:val="0"/>
        <w:jc w:val="left"/>
        <w:outlineLvl w:val="9"/>
      </w:pPr>
    </w:pPrDefault>
  </w:docDefaults>
  <w:style w:type="paragraph" w:styleId="P0" w:default="1">
    <w:name w:val="Normal"/>
    <w:qFormat/>
    <w:pPr>
      <w:spacing w:after="257" w:beforeAutospacing="0" w:afterAutospacing="0"/>
    </w:pPr>
    <w:rPr>
      <w:rFonts w:ascii="Times New Roman" w:hAnsi="Times New Roman" w:cs="Arial" w:eastAsia="Arial"/>
      <w:color w:val="000000"/>
      <w:sz w:val="24"/>
    </w:rPr>
  </w:style>
  <w:style w:type="paragraph" w:styleId="P1">
    <w:name w:val="Heading 1"/>
    <w:next w:val="P0"/>
    <w:link w:val="C5"/>
    <w:qFormat/>
    <w:pPr>
      <w:keepNext w:val="1"/>
      <w:keepLines w:val="1"/>
      <w:spacing w:before="200" w:after="51" w:beforeAutospacing="0" w:afterAutospacing="0"/>
      <w:ind w:hanging="11" w:left="317"/>
      <w:outlineLvl w:val="0"/>
    </w:pPr>
    <w:rPr>
      <w:rFonts w:ascii="Arial" w:hAnsi="Arial" w:cs="Arial" w:eastAsia="Arial"/>
      <w:color w:val="000000"/>
      <w:sz w:val="40"/>
    </w:rPr>
  </w:style>
  <w:style w:type="paragraph" w:styleId="P2">
    <w:name w:val="Heading 2"/>
    <w:next w:val="P0"/>
    <w:link w:val="C6"/>
    <w:qFormat/>
    <w:pPr>
      <w:keepNext w:val="1"/>
      <w:keepLines w:val="1"/>
      <w:spacing w:after="51" w:beforeAutospacing="0" w:afterAutospacing="0"/>
      <w:ind w:hanging="10" w:left="316"/>
      <w:outlineLvl w:val="1"/>
    </w:pPr>
    <w:rPr>
      <w:rFonts w:ascii="Arial" w:hAnsi="Arial" w:cs="Arial" w:eastAsia="Arial"/>
      <w:color w:val="000000"/>
      <w:sz w:val="40"/>
    </w:rPr>
  </w:style>
  <w:style w:type="paragraph" w:styleId="P3">
    <w:name w:val="Heading 3"/>
    <w:next w:val="P0"/>
    <w:link w:val="C7"/>
    <w:qFormat/>
    <w:pPr>
      <w:keepNext w:val="1"/>
      <w:keepLines w:val="1"/>
      <w:spacing w:after="3" w:beforeAutospacing="0" w:afterAutospacing="0"/>
      <w:ind w:hanging="10" w:left="316"/>
      <w:outlineLvl w:val="2"/>
    </w:pPr>
    <w:rPr>
      <w:rFonts w:ascii="Arial" w:hAnsi="Arial" w:cs="Arial" w:eastAsia="Arial"/>
      <w:color w:val="000000"/>
      <w:sz w:val="32"/>
    </w:rPr>
  </w:style>
  <w:style w:type="paragraph" w:styleId="P4">
    <w:name w:val="Heading 4"/>
    <w:next w:val="P0"/>
    <w:link w:val="C8"/>
    <w:semiHidden/>
    <w:qFormat/>
    <w:pPr>
      <w:keepNext w:val="1"/>
      <w:keepLines w:val="1"/>
      <w:spacing w:after="3" w:beforeAutospacing="0" w:afterAutospacing="0"/>
      <w:outlineLvl w:val="3"/>
    </w:pPr>
    <w:rPr>
      <w:rFonts w:ascii="Arial" w:hAnsi="Arial" w:cs="Arial" w:eastAsia="Arial"/>
      <w:color w:val="000000"/>
      <w:sz w:val="32"/>
    </w:rPr>
  </w:style>
  <w:style w:type="paragraph" w:styleId="P5">
    <w:name w:val="Heading 5"/>
    <w:next w:val="P0"/>
    <w:link w:val="C9"/>
    <w:semiHidden/>
    <w:qFormat/>
    <w:pPr>
      <w:keepNext w:val="1"/>
      <w:keepLines w:val="1"/>
      <w:numPr>
        <w:ilvl w:val="4"/>
        <w:numId w:val="11"/>
      </w:numPr>
      <w:spacing w:after="0" w:beforeAutospacing="0" w:afterAutospacing="0"/>
      <w:outlineLvl w:val="4"/>
    </w:pPr>
    <w:rPr>
      <w:rFonts w:ascii="Arial" w:hAnsi="Arial" w:cs="Arial" w:eastAsia="Arial"/>
      <w:color w:val="000000"/>
      <w:sz w:val="28"/>
    </w:rPr>
  </w:style>
  <w:style w:type="paragraph" w:styleId="P6">
    <w:name w:val="Heading 6"/>
    <w:next w:val="P0"/>
    <w:link w:val="C3"/>
    <w:semiHidden/>
    <w:qFormat/>
    <w:pPr>
      <w:keepNext w:val="1"/>
      <w:keepLines w:val="1"/>
      <w:numPr>
        <w:ilvl w:val="5"/>
        <w:numId w:val="11"/>
      </w:numPr>
      <w:spacing w:after="0" w:beforeAutospacing="0" w:afterAutospacing="0"/>
      <w:outlineLvl w:val="5"/>
    </w:pPr>
    <w:rPr>
      <w:rFonts w:ascii="Arial" w:hAnsi="Arial" w:cs="Arial" w:eastAsia="Arial"/>
      <w:color w:val="000000"/>
      <w:sz w:val="28"/>
    </w:rPr>
  </w:style>
  <w:style w:type="paragraph" w:styleId="P7">
    <w:name w:val="Heading 7"/>
    <w:next w:val="P0"/>
    <w:link w:val="C4"/>
    <w:qFormat/>
    <w:pPr>
      <w:keepNext w:val="1"/>
      <w:keepLines w:val="1"/>
      <w:numPr>
        <w:ilvl w:val="6"/>
        <w:numId w:val="11"/>
      </w:numPr>
      <w:spacing w:after="3" w:beforeAutospacing="0" w:afterAutospacing="0"/>
      <w:outlineLvl w:val="6"/>
    </w:pPr>
    <w:rPr>
      <w:rFonts w:ascii="Arial" w:hAnsi="Arial" w:cs="Arial" w:eastAsia="Arial"/>
      <w:color w:val="000000"/>
      <w:sz w:val="24"/>
    </w:rPr>
  </w:style>
  <w:style w:type="paragraph" w:styleId="P8">
    <w:name w:val="Heading 8"/>
    <w:basedOn w:val="P0"/>
    <w:next w:val="P0"/>
    <w:link w:val="C18"/>
    <w:semiHidden/>
    <w:qFormat/>
    <w:pPr>
      <w:keepNext w:val="1"/>
      <w:keepLines w:val="1"/>
      <w:numPr>
        <w:ilvl w:val="7"/>
        <w:numId w:val="11"/>
      </w:numPr>
      <w:spacing w:before="40" w:after="0" w:beforeAutospacing="0" w:afterAutospacing="0"/>
      <w:outlineLvl w:val="7"/>
    </w:pPr>
    <w:rPr>
      <w:rFonts w:asciiTheme="majorHAnsi" w:hAnsiTheme="majorHAnsi" w:cstheme="majorBidi" w:eastAsiaTheme="majorEastAsia"/>
      <w:color w:val="272727" w:themeColor="text1" w:themeTint="D8"/>
      <w:sz w:val="21"/>
      <w:szCs w:val="21"/>
    </w:rPr>
  </w:style>
  <w:style w:type="paragraph" w:styleId="P9">
    <w:name w:val="Heading 9"/>
    <w:basedOn w:val="P0"/>
    <w:next w:val="P0"/>
    <w:link w:val="C19"/>
    <w:semiHidden/>
    <w:qFormat/>
    <w:pPr>
      <w:keepNext w:val="1"/>
      <w:keepLines w:val="1"/>
      <w:numPr>
        <w:ilvl w:val="8"/>
        <w:numId w:val="11"/>
      </w:numPr>
      <w:spacing w:before="40" w:after="0" w:beforeAutospacing="0" w:afterAutospacing="0"/>
      <w:outlineLvl w:val="8"/>
    </w:pPr>
    <w:rPr>
      <w:rFonts w:asciiTheme="majorHAnsi" w:hAnsiTheme="majorHAnsi" w:cstheme="majorBidi" w:eastAsiaTheme="majorEastAsia"/>
      <w:i w:val="1"/>
      <w:iCs w:val="1"/>
      <w:color w:val="272727" w:themeColor="text1" w:themeTint="D8"/>
      <w:sz w:val="21"/>
      <w:szCs w:val="21"/>
    </w:rPr>
  </w:style>
  <w:style w:type="paragraph" w:styleId="P10">
    <w:name w:val="TOC 1"/>
    <w:basedOn w:val="P0"/>
    <w:next w:val="P0"/>
    <w:pPr>
      <w:spacing w:after="100" w:beforeAutospacing="0" w:afterAutospacing="0"/>
    </w:pPr>
    <w:rPr/>
  </w:style>
  <w:style w:type="paragraph" w:styleId="P11">
    <w:name w:val="TOC 2"/>
    <w:hidden/>
    <w:pPr>
      <w:spacing w:after="0" w:beforeAutospacing="0" w:afterAutospacing="0"/>
      <w:ind w:hanging="10" w:left="220"/>
    </w:pPr>
    <w:rPr>
      <w:rFonts w:cstheme="minorHAnsi" w:eastAsia="Arial"/>
      <w:smallCaps w:val="1"/>
      <w:color w:val="000000"/>
      <w:sz w:val="20"/>
      <w:szCs w:val="20"/>
    </w:rPr>
  </w:style>
  <w:style w:type="paragraph" w:styleId="P12">
    <w:name w:val="TOC 3"/>
    <w:hidden/>
    <w:pPr>
      <w:spacing w:after="0" w:beforeAutospacing="0" w:afterAutospacing="0"/>
      <w:ind w:hanging="10" w:left="440"/>
    </w:pPr>
    <w:rPr>
      <w:rFonts w:cstheme="minorHAnsi" w:eastAsia="Arial"/>
      <w:i w:val="1"/>
      <w:iCs w:val="1"/>
      <w:color w:val="000000"/>
      <w:sz w:val="20"/>
      <w:szCs w:val="20"/>
    </w:rPr>
  </w:style>
  <w:style w:type="paragraph" w:styleId="P13">
    <w:name w:val="TOC 5"/>
    <w:hidden/>
    <w:pPr>
      <w:spacing w:after="0" w:beforeAutospacing="0" w:afterAutospacing="0"/>
      <w:ind w:hanging="10" w:left="880"/>
    </w:pPr>
    <w:rPr>
      <w:rFonts w:cstheme="minorHAnsi" w:eastAsia="Arial"/>
      <w:color w:val="000000"/>
      <w:sz w:val="18"/>
      <w:szCs w:val="18"/>
    </w:rPr>
  </w:style>
  <w:style w:type="paragraph" w:styleId="P14">
    <w:name w:val="Footnote Text"/>
    <w:link w:val="C11"/>
    <w:semiHidden/>
    <w:pPr>
      <w:spacing w:lineRule="auto" w:line="240" w:after="0" w:beforeAutospacing="0" w:afterAutospacing="0"/>
    </w:pPr>
    <w:rPr>
      <w:sz w:val="20"/>
      <w:szCs w:val="20"/>
    </w:rPr>
  </w:style>
  <w:style w:type="paragraph" w:styleId="P15">
    <w:name w:val="Endnote Text"/>
    <w:link w:val="C13"/>
    <w:semiHidden/>
    <w:pPr>
      <w:spacing w:lineRule="auto" w:line="240" w:after="0" w:beforeAutospacing="0" w:afterAutospacing="0"/>
    </w:pPr>
    <w:rPr>
      <w:sz w:val="20"/>
      <w:szCs w:val="20"/>
    </w:rPr>
  </w:style>
  <w:style w:type="paragraph" w:styleId="P16">
    <w:name w:val="Header"/>
    <w:basedOn w:val="P0"/>
    <w:link w:val="C14"/>
    <w:pPr>
      <w:tabs>
        <w:tab w:val="center" w:pos="4536" w:leader="none"/>
        <w:tab w:val="right" w:pos="9072" w:leader="none"/>
      </w:tabs>
      <w:spacing w:lineRule="auto" w:line="240" w:after="0" w:beforeAutospacing="0" w:afterAutospacing="0"/>
    </w:pPr>
    <w:rPr/>
  </w:style>
  <w:style w:type="paragraph" w:styleId="P17">
    <w:name w:val="Footer"/>
    <w:basedOn w:val="P0"/>
    <w:link w:val="C15"/>
    <w:pPr>
      <w:tabs>
        <w:tab w:val="center" w:pos="4536" w:leader="none"/>
        <w:tab w:val="right" w:pos="9072" w:leader="none"/>
      </w:tabs>
      <w:spacing w:lineRule="auto" w:line="240" w:after="0" w:beforeAutospacing="0" w:afterAutospacing="0"/>
    </w:pPr>
    <w:rPr/>
  </w:style>
  <w:style w:type="paragraph" w:styleId="P18">
    <w:name w:val="Tema"/>
    <w:basedOn w:val="P1"/>
    <w:next w:val="P0"/>
    <w:qFormat/>
    <w:pPr>
      <w:pageBreakBefore w:val="1"/>
      <w:spacing w:before="360" w:after="120" w:beforeAutospacing="0" w:afterAutospacing="0"/>
      <w:ind w:firstLine="0" w:left="0"/>
    </w:pPr>
    <w:rPr>
      <w:color w:val="006B4F"/>
      <w:sz w:val="44"/>
    </w:rPr>
  </w:style>
  <w:style w:type="paragraph" w:styleId="P19">
    <w:name w:val="Grupp"/>
    <w:basedOn w:val="P2"/>
    <w:next w:val="P0"/>
    <w:qFormat/>
    <w:pPr>
      <w:ind w:firstLine="0" w:left="0"/>
    </w:pPr>
    <w:rPr>
      <w:bCs w:val="1"/>
      <w:color w:val="006B4F"/>
      <w:sz w:val="36"/>
      <w:szCs w:val="20"/>
    </w:rPr>
  </w:style>
  <w:style w:type="paragraph" w:styleId="P20">
    <w:name w:val="Undergrupp"/>
    <w:basedOn w:val="P3"/>
    <w:next w:val="P0"/>
    <w:qFormat/>
    <w:pPr>
      <w:keepNext w:val="0"/>
      <w:keepLines w:val="0"/>
      <w:spacing w:after="60" w:beforeAutospacing="0" w:afterAutospacing="0"/>
      <w:ind w:firstLine="0" w:left="0"/>
    </w:pPr>
    <w:rPr>
      <w:color w:val="006B4F"/>
      <w:sz w:val="28"/>
    </w:rPr>
  </w:style>
  <w:style w:type="paragraph" w:styleId="P21">
    <w:name w:val="TOC 6"/>
    <w:basedOn w:val="P0"/>
    <w:next w:val="P0"/>
    <w:pPr>
      <w:spacing w:after="0" w:beforeAutospacing="0" w:afterAutospacing="0"/>
      <w:ind w:left="1100"/>
    </w:pPr>
    <w:rPr>
      <w:rFonts w:asciiTheme="minorHAnsi" w:hAnsiTheme="minorHAnsi" w:cstheme="minorHAnsi"/>
      <w:sz w:val="18"/>
      <w:szCs w:val="18"/>
    </w:rPr>
  </w:style>
  <w:style w:type="paragraph" w:styleId="P22">
    <w:name w:val="TOC 7"/>
    <w:basedOn w:val="P0"/>
    <w:next w:val="P0"/>
    <w:pPr>
      <w:spacing w:after="0" w:beforeAutospacing="0" w:afterAutospacing="0"/>
      <w:ind w:left="1320"/>
    </w:pPr>
    <w:rPr>
      <w:rFonts w:asciiTheme="minorHAnsi" w:hAnsiTheme="minorHAnsi" w:cstheme="minorHAnsi"/>
      <w:sz w:val="18"/>
      <w:szCs w:val="18"/>
    </w:rPr>
  </w:style>
  <w:style w:type="paragraph" w:styleId="P23">
    <w:name w:val="TOC 8"/>
    <w:basedOn w:val="P0"/>
    <w:next w:val="P0"/>
    <w:pPr>
      <w:spacing w:after="0" w:beforeAutospacing="0" w:afterAutospacing="0"/>
      <w:ind w:left="1540"/>
    </w:pPr>
    <w:rPr>
      <w:rFonts w:asciiTheme="minorHAnsi" w:hAnsiTheme="minorHAnsi" w:cstheme="minorHAnsi"/>
      <w:sz w:val="18"/>
      <w:szCs w:val="18"/>
    </w:rPr>
  </w:style>
  <w:style w:type="paragraph" w:styleId="P24">
    <w:name w:val="TOC 9"/>
    <w:basedOn w:val="P0"/>
    <w:next w:val="P0"/>
    <w:pPr>
      <w:spacing w:after="0" w:beforeAutospacing="0" w:afterAutospacing="0"/>
      <w:ind w:left="1760"/>
    </w:pPr>
    <w:rPr>
      <w:rFonts w:asciiTheme="minorHAnsi" w:hAnsiTheme="minorHAnsi" w:cstheme="minorHAnsi"/>
      <w:sz w:val="18"/>
      <w:szCs w:val="18"/>
    </w:rPr>
  </w:style>
  <w:style w:type="paragraph" w:styleId="P25">
    <w:name w:val="List Paragraph"/>
    <w:basedOn w:val="P0"/>
    <w:qFormat/>
    <w:pPr>
      <w:ind w:left="720"/>
      <w:contextualSpacing w:val="1"/>
    </w:pPr>
    <w:rPr/>
  </w:style>
  <w:style w:type="paragraph" w:styleId="P26">
    <w:name w:val="TOC Heading"/>
    <w:basedOn w:val="P1"/>
    <w:next w:val="P0"/>
    <w:qFormat/>
    <w:pPr>
      <w:spacing w:before="240" w:after="0" w:beforeAutospacing="0" w:afterAutospacing="0"/>
      <w:ind w:firstLine="0" w:left="0"/>
      <w:outlineLvl w:val="9"/>
    </w:pPr>
    <w:rPr>
      <w:rFonts w:asciiTheme="majorHAnsi" w:hAnsiTheme="majorHAnsi" w:cstheme="majorBidi" w:eastAsiaTheme="majorEastAsia"/>
      <w:color w:val="2F5496" w:themeColor="accent1" w:themeShade="BF"/>
      <w:sz w:val="32"/>
      <w:szCs w:val="32"/>
    </w:rPr>
  </w:style>
  <w:style w:type="paragraph" w:styleId="P27">
    <w:name w:val="Annan text"/>
    <w:basedOn w:val="P0"/>
    <w:link w:val="C20"/>
    <w:qFormat/>
    <w:pPr>
      <w:framePr w:wrap="around" w:vAnchor="text" w:hAnchor="page" w:x="8401" w:y="-642"/>
      <w:spacing w:lineRule="auto" w:line="240" w:after="0" w:beforeAutospacing="0" w:afterAutospacing="0"/>
    </w:pPr>
    <w:rPr>
      <w:sz w:val="16"/>
    </w:rPr>
  </w:style>
  <w:style w:type="paragraph" w:styleId="P28">
    <w:name w:val="annotation text"/>
    <w:basedOn w:val="P0"/>
    <w:link w:val="C26"/>
    <w:semiHidden/>
    <w:pPr>
      <w:spacing w:lineRule="auto" w:line="240" w:beforeAutospacing="0" w:afterAutospacing="0"/>
    </w:pPr>
    <w:rPr>
      <w:sz w:val="20"/>
      <w:szCs w:val="20"/>
    </w:rPr>
  </w:style>
  <w:style w:type="paragraph" w:styleId="P29">
    <w:name w:val="annotation subject"/>
    <w:basedOn w:val="P28"/>
    <w:next w:val="P28"/>
    <w:link w:val="C27"/>
    <w:semiHidden/>
    <w:pPr/>
    <w:rPr>
      <w:b w:val="1"/>
      <w:bCs w:val="1"/>
    </w:rPr>
  </w:style>
  <w:style w:type="paragraph" w:styleId="P30">
    <w:name w:val="Balloon Text"/>
    <w:basedOn w:val="P0"/>
    <w:link w:val="C28"/>
    <w:semiHidden/>
    <w:pPr>
      <w:spacing w:lineRule="auto" w:line="240" w:after="0" w:beforeAutospacing="0" w:afterAutospacing="0"/>
    </w:pPr>
    <w:rPr>
      <w:rFonts w:ascii="Segoe UI" w:hAnsi="Segoe UI" w:cs="Segoe UI"/>
      <w:sz w:val="18"/>
      <w:szCs w:val="18"/>
    </w:rPr>
  </w:style>
  <w:style w:type="paragraph" w:styleId="P31">
    <w:name w:val="Body Text"/>
    <w:basedOn w:val="P0"/>
    <w:link w:val="C29"/>
    <w:pPr>
      <w:suppressAutoHyphens w:val="1"/>
      <w:spacing w:lineRule="auto" w:line="288" w:after="170" w:beforeAutospacing="0" w:afterAutospacing="0"/>
    </w:pPr>
    <w:rPr>
      <w:rFonts w:cs="Times New Roman" w:eastAsiaTheme="minorEastAsia"/>
      <w:szCs w:val="24"/>
    </w:rPr>
  </w:style>
  <w:style w:type="paragraph" w:styleId="P32">
    <w:name w:val="Caption"/>
    <w:basedOn w:val="P0"/>
    <w:next w:val="P0"/>
    <w:qFormat/>
    <w:pPr>
      <w:spacing w:lineRule="auto" w:line="240" w:after="200" w:beforeAutospacing="0" w:afterAutospacing="0"/>
    </w:pPr>
    <w:rPr>
      <w:i w:val="1"/>
      <w:iCs w:val="1"/>
      <w:color w:val="44546A" w:themeColor="text2"/>
      <w:sz w:val="18"/>
      <w:szCs w:val="18"/>
    </w:rPr>
  </w:style>
  <w:style w:type="paragraph" w:styleId="P33">
    <w:name w:val="Revision"/>
    <w:hidden/>
    <w:semiHidden/>
    <w:pPr>
      <w:spacing w:lineRule="auto" w:line="240" w:after="0" w:beforeAutospacing="0" w:afterAutospacing="0"/>
    </w:pPr>
    <w:rPr>
      <w:rFonts w:ascii="Times New Roman" w:hAnsi="Times New Roman" w:cs="Arial" w:eastAsia="Arial"/>
      <w:color w:val="000000"/>
      <w:sz w:val="24"/>
    </w:rPr>
  </w:style>
  <w:style w:type="character" w:styleId="C0" w:default="1">
    <w:name w:val="Default Paragraph Font"/>
    <w:semiHidden/>
    <w:rPr/>
  </w:style>
  <w:style w:type="character" w:styleId="C1">
    <w:name w:val="Line Number"/>
    <w:basedOn w:val="C0"/>
    <w:semiHidden/>
    <w:rPr/>
  </w:style>
  <w:style w:type="character" w:styleId="C2">
    <w:name w:val="Hyperlink"/>
    <w:rPr>
      <w:color w:val="0000FF"/>
      <w:u w:val="single"/>
    </w:rPr>
  </w:style>
  <w:style w:type="character" w:styleId="C3">
    <w:name w:val="Rubrik 6 Char"/>
    <w:link w:val="P6"/>
    <w:rPr>
      <w:rFonts w:ascii="Arial" w:hAnsi="Arial" w:cs="Arial" w:eastAsia="Arial"/>
      <w:color w:val="000000"/>
      <w:sz w:val="28"/>
    </w:rPr>
  </w:style>
  <w:style w:type="character" w:styleId="C4">
    <w:name w:val="Rubrik 7 Char"/>
    <w:link w:val="P7"/>
    <w:rPr>
      <w:rFonts w:ascii="Arial" w:hAnsi="Arial" w:cs="Arial" w:eastAsia="Arial"/>
      <w:color w:val="000000"/>
      <w:sz w:val="24"/>
    </w:rPr>
  </w:style>
  <w:style w:type="character" w:styleId="C5">
    <w:name w:val="Rubrik 1 Char"/>
    <w:link w:val="P1"/>
    <w:rPr>
      <w:rFonts w:ascii="Arial" w:hAnsi="Arial" w:cs="Arial" w:eastAsia="Arial"/>
      <w:color w:val="000000"/>
      <w:sz w:val="40"/>
    </w:rPr>
  </w:style>
  <w:style w:type="character" w:styleId="C6">
    <w:name w:val="Rubrik 2 Char"/>
    <w:link w:val="P2"/>
    <w:rPr>
      <w:rFonts w:ascii="Arial" w:hAnsi="Arial" w:cs="Arial" w:eastAsia="Arial"/>
      <w:color w:val="000000"/>
      <w:sz w:val="40"/>
    </w:rPr>
  </w:style>
  <w:style w:type="character" w:styleId="C7">
    <w:name w:val="Rubrik 3 Char"/>
    <w:link w:val="P3"/>
    <w:rPr>
      <w:rFonts w:ascii="Arial" w:hAnsi="Arial" w:cs="Arial" w:eastAsia="Arial"/>
      <w:color w:val="000000"/>
      <w:sz w:val="32"/>
    </w:rPr>
  </w:style>
  <w:style w:type="character" w:styleId="C8">
    <w:name w:val="Rubrik 4 Char"/>
    <w:link w:val="P4"/>
    <w:rPr>
      <w:rFonts w:ascii="Arial" w:hAnsi="Arial" w:cs="Arial" w:eastAsia="Arial"/>
      <w:color w:val="000000"/>
      <w:sz w:val="32"/>
    </w:rPr>
  </w:style>
  <w:style w:type="character" w:styleId="C9">
    <w:name w:val="Rubrik 5 Char"/>
    <w:link w:val="P5"/>
    <w:rPr>
      <w:rFonts w:ascii="Arial" w:hAnsi="Arial" w:cs="Arial" w:eastAsia="Arial"/>
      <w:color w:val="000000"/>
      <w:sz w:val="28"/>
    </w:rPr>
  </w:style>
  <w:style w:type="character" w:styleId="C10">
    <w:name w:val="Footnote Reference"/>
    <w:semiHidden/>
    <w:rPr>
      <w:vertAlign w:val="superscript"/>
    </w:rPr>
  </w:style>
  <w:style w:type="character" w:styleId="C11">
    <w:name w:val="Fotnotstext Char"/>
    <w:link w:val="P14"/>
    <w:semiHidden/>
    <w:rPr>
      <w:sz w:val="20"/>
      <w:szCs w:val="20"/>
    </w:rPr>
  </w:style>
  <w:style w:type="character" w:styleId="C12">
    <w:name w:val="Endnote Reference"/>
    <w:semiHidden/>
    <w:rPr>
      <w:vertAlign w:val="superscript"/>
    </w:rPr>
  </w:style>
  <w:style w:type="character" w:styleId="C13">
    <w:name w:val="Slutkommentar Char"/>
    <w:link w:val="P15"/>
    <w:semiHidden/>
    <w:rPr>
      <w:sz w:val="20"/>
      <w:szCs w:val="20"/>
    </w:rPr>
  </w:style>
  <w:style w:type="character" w:styleId="C14">
    <w:name w:val="Sidhuvud Char"/>
    <w:basedOn w:val="C0"/>
    <w:link w:val="P16"/>
    <w:rPr>
      <w:rFonts w:ascii="Arial" w:hAnsi="Arial" w:cs="Arial" w:eastAsia="Arial"/>
      <w:color w:val="000000"/>
    </w:rPr>
  </w:style>
  <w:style w:type="character" w:styleId="C15">
    <w:name w:val="Sidfot Char"/>
    <w:basedOn w:val="C0"/>
    <w:link w:val="P17"/>
    <w:rPr>
      <w:rFonts w:ascii="Arial" w:hAnsi="Arial" w:cs="Arial" w:eastAsia="Arial"/>
      <w:color w:val="000000"/>
    </w:rPr>
  </w:style>
  <w:style w:type="character" w:styleId="C16">
    <w:name w:val="scxw123887595"/>
    <w:basedOn w:val="C0"/>
    <w:rPr/>
  </w:style>
  <w:style w:type="character" w:styleId="C17">
    <w:name w:val="Unresolved Mention1"/>
    <w:basedOn w:val="C0"/>
    <w:semiHidden/>
    <w:rPr>
      <w:color w:val="605E5C"/>
      <w:shd w:val="clear" w:color="auto" w:fill="E1DFDD"/>
    </w:rPr>
  </w:style>
  <w:style w:type="character" w:styleId="C18">
    <w:name w:val="Rubrik 8 Char"/>
    <w:basedOn w:val="C0"/>
    <w:link w:val="P8"/>
    <w:semiHidden/>
    <w:rPr>
      <w:rFonts w:asciiTheme="majorHAnsi" w:hAnsiTheme="majorHAnsi" w:cstheme="majorBidi" w:eastAsiaTheme="majorEastAsia"/>
      <w:color w:val="272727" w:themeColor="text1" w:themeTint="D8"/>
      <w:sz w:val="21"/>
      <w:szCs w:val="21"/>
    </w:rPr>
  </w:style>
  <w:style w:type="character" w:styleId="C19">
    <w:name w:val="Rubrik 9 Char"/>
    <w:basedOn w:val="C0"/>
    <w:link w:val="P9"/>
    <w:semiHidden/>
    <w:rPr>
      <w:rFonts w:asciiTheme="majorHAnsi" w:hAnsiTheme="majorHAnsi" w:cstheme="majorBidi" w:eastAsiaTheme="majorEastAsia"/>
      <w:i w:val="1"/>
      <w:iCs w:val="1"/>
      <w:color w:val="272727" w:themeColor="text1" w:themeTint="D8"/>
      <w:sz w:val="21"/>
      <w:szCs w:val="21"/>
    </w:rPr>
  </w:style>
  <w:style w:type="character" w:styleId="C20">
    <w:name w:val="Annan text Char"/>
    <w:basedOn w:val="C0"/>
    <w:link w:val="P27"/>
    <w:rPr>
      <w:rFonts w:ascii="Arial" w:hAnsi="Arial" w:cs="Arial" w:eastAsia="Arial"/>
      <w:color w:val="000000"/>
      <w:sz w:val="16"/>
    </w:rPr>
  </w:style>
  <w:style w:type="character" w:styleId="C21">
    <w:name w:val="Unresolved Mention2"/>
    <w:basedOn w:val="C0"/>
    <w:semiHidden/>
    <w:rPr>
      <w:color w:val="605E5C"/>
      <w:shd w:val="clear" w:color="auto" w:fill="E1DFDD"/>
    </w:rPr>
  </w:style>
  <w:style w:type="character" w:styleId="C22">
    <w:name w:val="Footnote Text Char"/>
    <w:semiHidden/>
    <w:rPr>
      <w:sz w:val="20"/>
      <w:szCs w:val="20"/>
    </w:rPr>
  </w:style>
  <w:style w:type="character" w:styleId="C23">
    <w:name w:val="Endnote Text Char"/>
    <w:semiHidden/>
    <w:rPr>
      <w:sz w:val="20"/>
      <w:szCs w:val="20"/>
    </w:rPr>
  </w:style>
  <w:style w:type="character" w:styleId="C24">
    <w:name w:val="Olöst omnämnande1"/>
    <w:basedOn w:val="C0"/>
    <w:semiHidden/>
    <w:rPr>
      <w:color w:val="605E5C"/>
      <w:shd w:val="clear" w:color="auto" w:fill="E1DFDD"/>
    </w:rPr>
  </w:style>
  <w:style w:type="character" w:styleId="C25">
    <w:name w:val="annotation reference"/>
    <w:basedOn w:val="C0"/>
    <w:semiHidden/>
    <w:rPr>
      <w:sz w:val="16"/>
      <w:szCs w:val="16"/>
    </w:rPr>
  </w:style>
  <w:style w:type="character" w:styleId="C26">
    <w:name w:val="Kommentarer Char"/>
    <w:basedOn w:val="C0"/>
    <w:link w:val="P28"/>
    <w:semiHidden/>
    <w:rPr>
      <w:rFonts w:ascii="Times New Roman" w:hAnsi="Times New Roman" w:cs="Arial" w:eastAsia="Arial"/>
      <w:color w:val="000000"/>
      <w:sz w:val="20"/>
      <w:szCs w:val="20"/>
    </w:rPr>
  </w:style>
  <w:style w:type="character" w:styleId="C27">
    <w:name w:val="Kommentarsämne Char"/>
    <w:basedOn w:val="C26"/>
    <w:link w:val="P29"/>
    <w:semiHidden/>
    <w:rPr>
      <w:rFonts w:ascii="Times New Roman" w:hAnsi="Times New Roman" w:cs="Arial" w:eastAsia="Arial"/>
      <w:b w:val="1"/>
      <w:bCs w:val="1"/>
      <w:color w:val="000000"/>
      <w:sz w:val="20"/>
      <w:szCs w:val="20"/>
    </w:rPr>
  </w:style>
  <w:style w:type="character" w:styleId="C28">
    <w:name w:val="Ballongtext Char"/>
    <w:basedOn w:val="C0"/>
    <w:link w:val="P30"/>
    <w:semiHidden/>
    <w:rPr>
      <w:rFonts w:ascii="Segoe UI" w:hAnsi="Segoe UI" w:cs="Segoe UI" w:eastAsia="Arial"/>
      <w:color w:val="000000"/>
      <w:sz w:val="18"/>
      <w:szCs w:val="18"/>
    </w:rPr>
  </w:style>
  <w:style w:type="character" w:styleId="C29">
    <w:name w:val="Brödtext Char"/>
    <w:basedOn w:val="C0"/>
    <w:link w:val="P31"/>
    <w:rPr>
      <w:rFonts w:ascii="Times New Roman" w:hAnsi="Times New Roman" w:cs="Times New Roman"/>
      <w:color w:val="000000"/>
      <w:sz w:val="24"/>
      <w:szCs w:val="24"/>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Pr>
    <w:trPr/>
    <w:tcPr/>
  </w:style>
  <w:style w:type="table" w:styleId="T2">
    <w:name w:val="Table Grid1"/>
    <w:pPr>
      <w:spacing w:lineRule="auto" w:line="240" w:after="0" w:beforeAutospacing="0" w:afterAutospacing="0"/>
    </w:pPr>
    <w:tblPr>
      <w:tblCellMar>
        <w:top w:w="0" w:type="dxa"/>
        <w:left w:w="0" w:type="dxa"/>
        <w:bottom w:w="0" w:type="dxa"/>
        <w:right w:w="0" w:type="dxa"/>
      </w:tblCellMar>
    </w:tblPr>
    <w:trPr/>
    <w:tcPr/>
  </w:style>
  <w:style w:type="numbering" w:styleId="N0">
    <w:name w:val="No List"/>
  </w:style>
</w:styles>
</file>

<file path=word/_rels/document.xml.rels>&#65279;<?xml version="1.0" encoding="utf-8"?><Relationships xmlns="http://schemas.openxmlformats.org/package/2006/relationships"><Relationship Id="Relimage1" Type="http://schemas.openxmlformats.org/officeDocument/2006/relationships/image" Target="/media/image1.jpg" /><Relationship Id="Relimage2" Type="http://schemas.openxmlformats.org/officeDocument/2006/relationships/image" Target="/media/image2.png" /><Relationship Id="Relimage3" Type="http://schemas.openxmlformats.org/officeDocument/2006/relationships/image" Target="/media/image3.png" /><Relationship Id="Relimage4" Type="http://schemas.openxmlformats.org/officeDocument/2006/relationships/image" Target="/media/image4.png" /><Relationship Id="Relimage5" Type="http://schemas.openxmlformats.org/officeDocument/2006/relationships/image" Target="/media/image5.png" /><Relationship Id="Relimage6" Type="http://schemas.openxmlformats.org/officeDocument/2006/relationships/image" Target="/media/image6.jpg" /><Relationship Id="Relimage7" Type="http://schemas.openxmlformats.org/officeDocument/2006/relationships/image" Target="/media/image7.jpg" /><Relationship Id="Relimage8" Type="http://schemas.openxmlformats.org/officeDocument/2006/relationships/image" Target="/media/image8.jpg" /><Relationship Id="Relimage9" Type="http://schemas.openxmlformats.org/officeDocument/2006/relationships/image" Target="/media/image9.jpg" /><Relationship Id="Relimage10" Type="http://schemas.openxmlformats.org/officeDocument/2006/relationships/image" Target="/media/image10.jpg" /><Relationship Id="RelFtr1" Type="http://schemas.openxmlformats.org/officeDocument/2006/relationships/footer" Target="footer1.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 Id="RelItem3" Type="http://schemas.openxmlformats.org/officeDocument/2006/relationships/customXml" Target="../customXml/item3.xml" /><Relationship Id="RelItem4" Type="http://schemas.openxmlformats.org/officeDocument/2006/relationships/customXml" Target="../customXml/item4.xml" /><Relationship Id="RelItem5" Type="http://schemas.openxmlformats.org/officeDocument/2006/relationships/customXml" Target="../customXml/item5.xml" /><Relationship Id="RelItem6" Type="http://schemas.openxmlformats.org/officeDocument/2006/relationships/customXml" Target="../customXml/item6.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 />
</file>

<file path=word/_rels/footnotes.xml.rels>&#65279;<?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_rels/item5.xml.rels>&#65279;<?xml version="1.0" encoding="utf-8"?><Relationships xmlns="http://schemas.openxmlformats.org/package/2006/relationships"><Relationship Id="rId1" Type="http://schemas.openxmlformats.org/officeDocument/2006/relationships/customXmlProps" Target="itemProps5.xml" /></Relationships>
</file>

<file path=customXml/_rels/item6.xml.rels>&#65279;<?xml version="1.0" encoding="utf-8"?><Relationships xmlns="http://schemas.openxmlformats.org/package/2006/relationships"><Relationship Id="rId1" Type="http://schemas.openxmlformats.org/officeDocument/2006/relationships/customXmlProps" Target="itemProps6.xml" /></Relationships>
</file>

<file path=customXml/item1.xml><?xml version="1.0" encoding="utf-8"?>
<Planbeskrivning xmlns:lmg="http://namespace.lantmateriet.se/distribution/geometri/v1" xmlns:gml="http://www.opengis.net/gml/3.2" xmlns="http://namespace.lantmateriet.se/distribution/geodatakatalog/NN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20317652190424FB673AF7230E2E861" ma:contentTypeVersion="125" ma:contentTypeDescription="Skapa ett nytt dokument." ma:contentTypeScope="" ma:versionID="d7b218cc11cc9a77edc1502dbd7e1f6a">
  <xsd:schema xmlns:xsd="http://www.w3.org/2001/XMLSchema" xmlns:xs="http://www.w3.org/2001/XMLSchema" xmlns:p="http://schemas.microsoft.com/office/2006/metadata/properties" xmlns:ns2="63d52ff1-2895-408e-86c9-6934ca34b155" xmlns:ns3="24b66568-ed0b-4077-902f-93d50dc001bd" xmlns:ns4="10d4927a-1818-458a-814a-4ceb75cb40c0" xmlns:ns5="bf467b21-babd-4ab7-ab0b-3349d667b7f8" targetNamespace="http://schemas.microsoft.com/office/2006/metadata/properties" ma:root="true" ma:fieldsID="31c0e0e893b4d31c5995dccfeb93ff8d" ns2:_="" ns3:_="" ns4:_="" ns5:_="">
    <xsd:import namespace="63d52ff1-2895-408e-86c9-6934ca34b155"/>
    <xsd:import namespace="24b66568-ed0b-4077-902f-93d50dc001bd"/>
    <xsd:import namespace="10d4927a-1818-458a-814a-4ceb75cb40c0"/>
    <xsd:import namespace="bf467b21-babd-4ab7-ab0b-3349d667b7f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52ff1-2895-408e-86c9-6934ca34b1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b66568-ed0b-4077-902f-93d50dc001bd"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d4927a-1818-458a-814a-4ceb75cb40c0" elementFormDefault="qualified">
    <xsd:import namespace="http://schemas.microsoft.com/office/2006/documentManagement/types"/>
    <xsd:import namespace="http://schemas.microsoft.com/office/infopath/2007/PartnerControls"/>
    <xsd:element name="lcf76f155ced4ddcb4097134ff3c332f" ma:index="21" nillable="true" ma:taxonomy="true" ma:internalName="lcf76f155ced4ddcb4097134ff3c332f" ma:taxonomyFieldName="MediaServiceImageTags" ma:displayName="Bildmarkeringar" ma:readOnly="false" ma:fieldId="{5cf76f15-5ced-4ddc-b409-7134ff3c332f}" ma:taxonomyMulti="true" ma:sspId="63cae801-ff69-425d-8f93-8872d2d2466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f467b21-babd-4ab7-ab0b-3349d667b7f8"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98b2c31-e7e8-47bc-8a2d-ebf468b7a515}" ma:internalName="TaxCatchAll" ma:showField="CatchAllData" ma:web="bf467b21-babd-4ab7-ab0b-3349d667b7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SharedWithUsers xmlns="24b66568-ed0b-4077-902f-93d50dc001bd">
      <UserInfo>
        <DisplayName/>
        <AccountId xsi:nil="true"/>
        <AccountType/>
      </UserInfo>
    </SharedWithUsers>
    <MediaLengthInSeconds xmlns="63d52ff1-2895-408e-86c9-6934ca34b155" xsi:nil="true"/>
    <lcf76f155ced4ddcb4097134ff3c332f xmlns="10d4927a-1818-458a-814a-4ceb75cb40c0">
      <Terms xmlns="http://schemas.microsoft.com/office/infopath/2007/PartnerControls"/>
    </lcf76f155ced4ddcb4097134ff3c332f>
    <TaxCatchAll xmlns="bf467b21-babd-4ab7-ab0b-3349d667b7f8" xsi:nil="true"/>
  </documentManagement>
</p:properties>
</file>

<file path=customXml/item6.xml><?xml version="1.0" encoding="utf-8"?>
<Planbeskrivning xmlns:lmg="http://namespace.lantmateriet.se/distribution/geometri/v1" xmlns:gml="http://www.opengis.net/gml/3.2" xmlns="http://namespace.lantmateriet.se/distribution/geodatakatalog/planbeskrivning/v1">
  <Omfattning>
    <identitet>be_allmänplats01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6501731.713 145471.85 6501722.098 145475.888 6501725.682 145484.439 6501747.978 145537.63 6501755.925 145556.588 6501753.062 145557.777 6501741.332 145562.651 6501731.7 145566.653 6501713.387 145574.261 6501704.164 145578.093 6501701.878 145579.043 6501698.206 145580.568 6501679.486 145588.346 6501678.048 145584.886 6501641.885 145497.911 6501672.34 145485.634 6501633.726 145393.696 6501696.251 145367.436 6501698.206 145366.615 6501714.955 145359.58 6501715.542 145359.334 6501723.603 145355.948 6501718.505 145344.158 6501766.864 145323.108 6501769.345 145322.028 6501776.126 145319.077 6501800.324 145377.448 6501826.479 145440.544 6501818.885 145443.297 6501818.541 145443.422 6501806.315 145447.853 6501798.944 145450.525 6501769.17 145461.317 6501767.267 145456.917 6501740.508 145468.156 6501731.713 145471.85</gml:posList>
            </gml:LinearRing>
          </gml:exterior>
          <gml:interior>
            <gml:LinearRing>
              <gml:posList>6501710.038 145482.672 6501713.622 145483.338 6501716.627 145481.274 6501717.293 145477.691 6501715.23 145474.686 6501711.646 145474.02 6501708.641 145476.083 6501707.975 145479.667 6501710.038 145482.672</gml:posList>
            </gml:LinearRing>
          </gml:interior>
        </gml:Polygon>
      </lmg:Position>
    </lmg:Ytgeometri>
    <Indelning>
      <tema>Beskrivning av detaljplanen</tema>
      <grupp>Allmän plats</grupp>
    </Indelning>
  </Omfattning>
  <Omfattning>
    <identitet>be_kvartersmark01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6501731.713 145471.85 6501722.098 145475.888 6501725.682 145484.439 6501747.978 145537.63 6501755.925 145556.588 6501753.062 145557.777 6501741.332 145562.651 6501731.7 145566.653 6501713.387 145574.261 6501704.164 145578.093 6501701.878 145579.043 6501698.206 145580.568 6501679.486 145588.346 6501678.048 145584.886 6501641.885 145497.911 6501672.34 145485.634 6501633.726 145393.696 6501696.251 145367.436 6501698.206 145366.615 6501714.955 145359.58 6501715.542 145359.334 6501723.603 145355.948 6501718.505 145344.158 6501766.864 145323.108 6501769.345 145322.028 6501776.126 145319.077 6501800.324 145377.448 6501826.479 145440.544 6501818.885 145443.297 6501818.541 145443.422 6501806.315 145447.853 6501798.944 145450.525 6501769.17 145461.317 6501767.267 145456.917 6501740.508 145468.156 6501731.713 145471.85</gml:posList>
            </gml:LinearRing>
          </gml:exterior>
          <gml:interior>
            <gml:LinearRing>
              <gml:posList>6501710.038 145482.672 6501713.622 145483.338 6501716.627 145481.274 6501717.293 145477.691 6501715.23 145474.686 6501711.646 145474.02 6501708.641 145476.083 6501707.975 145479.667 6501710.038 145482.672</gml:posList>
            </gml:LinearRing>
          </gml:interior>
        </gml:Polygon>
      </lmg:Position>
    </lmg:Ytgeometri>
    <Indelning>
      <tema>Beskrivning av detaljplanen</tema>
      <grupp>Kvartersmark</grupp>
    </Indelning>
  </Omfattning>
  <Omfattning>
    <identitet>be_varförändringavdetaljplanvalts01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6501731.713 145471.85 6501722.098 145475.888 6501725.682 145484.439 6501747.978 145537.63 6501755.925 145556.588 6501753.062 145557.777 6501741.332 145562.651 6501731.7 145566.653 6501713.387 145574.261 6501704.164 145578.093 6501701.878 145579.043 6501698.206 145580.568 6501679.486 145588.346 6501678.048 145584.886 6501641.885 145497.911 6501672.34 145485.634 6501633.726 145393.696 6501696.251 145367.436 6501698.206 145366.615 6501714.955 145359.58 6501715.542 145359.334 6501723.603 145355.948 6501718.505 145344.158 6501766.864 145323.108 6501769.345 145322.028 6501776.126 145319.077 6501800.324 145377.448 6501826.479 145440.544 6501818.885 145443.297 6501818.541 145443.422 6501806.315 145447.853 6501798.944 145450.525 6501769.17 145461.317 6501767.267 145456.917 6501740.508 145468.156 6501731.713 145471.85</gml:posList>
            </gml:LinearRing>
          </gml:exterior>
          <gml:interior>
            <gml:LinearRing>
              <gml:posList>6501710.038 145482.672 6501713.622 145483.338 6501716.627 145481.274 6501717.293 145477.691 6501715.23 145474.686 6501711.646 145474.02 6501708.641 145476.083 6501707.975 145479.667 6501710.038 145482.672</gml:posList>
            </gml:LinearRing>
          </gml:interior>
        </gml:Polygon>
      </lmg:Position>
    </lmg:Ytgeometri>
    <Indelning>
      <tema>Beskrivning av detaljplanen</tema>
      <grupp>Varför ändring av detaljplan valts</grupp>
    </Indelning>
  </Omfattning>
  <Omfattning>
    <identitet>pf_översiktsplan01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6501731.713 145471.85 6501722.098 145475.888 6501725.682 145484.439 6501747.978 145537.63 6501755.925 145556.588 6501753.062 145557.777 6501741.332 145562.651 6501731.7 145566.653 6501713.387 145574.261 6501704.164 145578.093 6501701.878 145579.043 6501698.206 145580.568 6501679.486 145588.346 6501678.048 145584.886 6501641.885 145497.911 6501672.34 145485.634 6501633.726 145393.696 6501696.251 145367.436 6501698.206 145366.615 6501714.955 145359.58 6501715.542 145359.334 6501723.603 145355.948 6501718.505 145344.158 6501766.864 145323.108 6501769.345 145322.028 6501776.126 145319.077 6501800.324 145377.448 6501826.479 145440.544 6501818.885 145443.297 6501818.541 145443.422 6501806.315 145447.853 6501798.944 145450.525 6501769.17 145461.317 6501767.267 145456.917 6501740.508 145468.156 6501731.713 145471.85</gml:posList>
            </gml:LinearRing>
          </gml:exterior>
          <gml:interior>
            <gml:LinearRing>
              <gml:posList>6501710.038 145482.672 6501713.622 145483.338 6501716.627 145481.274 6501717.293 145477.691 6501715.23 145474.686 6501711.646 145474.02 6501708.641 145476.083 6501707.975 145479.667 6501710.038 145482.672</gml:posList>
            </gml:LinearRing>
          </gml:interior>
        </gml:Polygon>
      </lmg:Position>
    </lmg:Ytgeometri>
    <Indelning>
      <tema>Planeringsförutsättningar</tema>
      <grupp>Kommunala</grupp>
      <undergrupp>Översiktsplan</undergrupp>
    </Indelning>
  </Omfattning>
  <Omfattning>
    <identitet>pf_hushållningsbestämmelserenl3kap_mb01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6501731.713 145471.85 6501722.098 145475.888 6501725.682 145484.439 6501747.978 145537.63 6501755.925 145556.588 6501753.062 145557.777 6501741.332 145562.651 6501731.7 145566.653 6501713.387 145574.261 6501704.164 145578.093 6501701.878 145579.043 6501698.206 145580.568 6501679.486 145588.346 6501678.048 145584.886 6501641.885 145497.911 6501672.34 145485.634 6501633.726 145393.696 6501696.251 145367.436 6501698.206 145366.615 6501714.955 145359.58 6501715.542 145359.334 6501723.603 145355.948 6501718.505 145344.158 6501766.864 145323.108 6501769.345 145322.028 6501776.126 145319.077 6501800.324 145377.448 6501826.479 145440.544 6501818.885 145443.297 6501818.541 145443.422 6501806.315 145447.853 6501798.944 145450.525 6501769.17 145461.317 6501767.267 145456.917 6501740.508 145468.156 6501731.713 145471.85</gml:posList>
            </gml:LinearRing>
          </gml:exterior>
          <gml:interior>
            <gml:LinearRing>
              <gml:posList>6501710.038 145482.672 6501713.622 145483.338 6501716.627 145481.274 6501717.293 145477.691 6501715.23 145474.686 6501711.646 145474.02 6501708.641 145476.083 6501707.975 145479.667 6501710.038 145482.672</gml:posList>
            </gml:LinearRing>
          </gml:interior>
        </gml:Polygon>
      </lmg:Position>
    </lmg:Ytgeometri>
    <Indelning>
      <tema>Planeringsförutsättningar</tema>
      <grupp>Hushållningsbestämmelser enligt 3 kap. miljöbalken</grupp>
    </Indelning>
  </Omfattning>
  <Omfattning>
    <identitet>pf_strandskydd01</identitet>
    <Indelning>
      <tema>Planeringsförutsättningar</tema>
      <grupp>Miljö</grupp>
      <undergrupp>Strandskydd</undergrupp>
    </Indelning>
  </Omfattning>
  <Omfattning>
    <identitet>pf_geotekniskaförhållanden01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6501731.713 145471.85 6501722.098 145475.888 6501725.682 145484.439 6501747.978 145537.63 6501755.925 145556.588 6501753.062 145557.777 6501741.332 145562.651 6501731.7 145566.653 6501713.387 145574.261 6501704.164 145578.093 6501701.878 145579.043 6501698.206 145580.568 6501679.486 145588.346 6501678.048 145584.886 6501641.885 145497.911 6501672.34 145485.634 6501633.726 145393.696 6501696.251 145367.436 6501698.206 145366.615 6501714.955 145359.58 6501715.542 145359.334 6501723.603 145355.948 6501718.505 145344.158 6501766.864 145323.108 6501769.345 145322.028 6501776.126 145319.077 6501800.324 145377.448 6501826.479 145440.544 6501818.885 145443.297 6501818.541 145443.422 6501806.315 145447.853 6501798.944 145450.525 6501769.17 145461.317 6501767.267 145456.917 6501740.508 145468.156 6501731.713 145471.85</gml:posList>
            </gml:LinearRing>
          </gml:exterior>
          <gml:interior>
            <gml:LinearRing>
              <gml:posList>6501710.038 145482.672 6501713.622 145483.338 6501716.627 145481.274 6501717.293 145477.691 6501715.23 145474.686 6501711.646 145474.02 6501708.641 145476.083 6501707.975 145479.667 6501710.038 145482.672</gml:posList>
            </gml:LinearRing>
          </gml:interior>
        </gml:Polygon>
      </lmg:Position>
    </lmg:Ytgeometri>
    <Indelning>
      <tema>Planeringsförutsättningar</tema>
      <grupp>Geotekniska förhållanden</grupp>
    </Indelning>
  </Omfattning>
  <Omfattning>
    <identitet>pf_teknik01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6501731.713 145471.85 6501722.098 145475.888 6501725.682 145484.439 6501747.978 145537.63 6501755.925 145556.588 6501753.062 145557.777 6501741.332 145562.651 6501731.7 145566.653 6501713.387 145574.261 6501704.164 145578.093 6501701.878 145579.043 6501698.206 145580.568 6501679.486 145588.346 6501678.048 145584.886 6501641.885 145497.911 6501672.34 145485.634 6501633.726 145393.696 6501696.251 145367.436 6501698.206 145366.615 6501714.955 145359.58 6501715.542 145359.334 6501723.603 145355.948 6501718.505 145344.158 6501766.864 145323.108 6501769.345 145322.028 6501776.126 145319.077 6501800.324 145377.448 6501826.479 145440.544 6501818.885 145443.297 6501818.541 145443.422 6501806.315 145447.853 6501798.944 145450.525 6501769.17 145461.317 6501767.267 145456.917 6501740.508 145468.156 6501731.713 145471.85</gml:posList>
            </gml:LinearRing>
          </gml:exterior>
          <gml:interior>
            <gml:LinearRing>
              <gml:posList>6501710.038 145482.672 6501713.622 145483.338 6501716.627 145481.274 6501717.293 145477.691 6501715.23 145474.686 6501711.646 145474.02 6501708.641 145476.083 6501707.975 145479.667 6501710.038 145482.672</gml:posList>
            </gml:LinearRing>
          </gml:interior>
        </gml:Polygon>
      </lmg:Position>
    </lmg:Ytgeometri>
    <Indelning>
      <tema>Planeringsförutsättningar</tema>
      <grupp>Teknik</grupp>
    </Indelning>
  </Omfattning>
  <Omfattning>
    <identitet>pu_detaljplan01</identitet>
    <Indelning>
      <tema>Planeringsunderlag</tema>
      <grupp>Kommunala</grupp>
      <undergrupp>Detaljplan</undergrupp>
    </Indelning>
  </Omfattning>
  <Omfattning>
    <identitet>pu_särskiltbeslutombetydandemiljöpåver01</identitet>
    <Indelning>
      <tema>Planeringsunderlag</tema>
      <grupp>Kommunala</grupp>
      <undergrupp>Särskilt beslut om betydande miljöpåverkan</undergrupp>
    </Indelning>
  </Omfattning>
  <Omfattning>
    <identitet>ko_dagvatten01</identitet>
    <Indelning>
      <tema>Konsekvenser</tema>
      <grupp>Miljö</grupp>
      <undergrupp>Dagvatten</undergrupp>
    </Indelning>
  </Omfattning>
  <Omfattning>
    <identitet>pf_friluftsliv01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6501731.713 145471.85 6501722.098 145475.888 6501725.682 145484.439 6501747.978 145537.63 6501755.925 145556.588 6501753.062 145557.777 6501741.332 145562.651 6501731.7 145566.653 6501713.387 145574.261 6501704.164 145578.093 6501701.878 145579.043 6501698.206 145580.568 6501679.486 145588.346 6501678.048 145584.886 6501641.885 145497.911 6501672.34 145485.634 6501633.726 145393.696 6501696.251 145367.436 6501698.206 145366.615 6501714.955 145359.58 6501715.542 145359.334 6501723.603 145355.948 6501718.505 145344.158 6501766.864 145323.108 6501769.345 145322.028 6501776.126 145319.077 6501800.324 145377.448 6501826.479 145440.544 6501818.885 145443.297 6501818.541 145443.422 6501806.315 145447.853 6501798.944 145450.525 6501769.17 145461.317 6501767.267 145456.917 6501740.508 145468.156 6501731.713 145471.85</gml:posList>
            </gml:LinearRing>
          </gml:exterior>
          <gml:interior>
            <gml:LinearRing>
              <gml:posList>6501710.038 145482.672 6501713.622 145483.338 6501716.627 145481.274 6501717.293 145477.691 6501715.23 145474.686 6501711.646 145474.02 6501708.641 145476.083 6501707.975 145479.667 6501710.038 145482.672</gml:posList>
            </gml:LinearRing>
          </gml:interior>
        </gml:Polygon>
      </lmg:Position>
    </lmg:Ytgeometri>
    <Indelning>
      <tema>Planeringsförutsättningar</tema>
      <grupp>Riksintressen</grupp>
      <undergrupp>Friluftsliv</undergrupp>
    </Indelning>
  </Omfattning>
  <Omfattning>
    <identitet>pf_totalförsvar01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6501731.713 145471.85 6501722.098 145475.888 6501725.682 145484.439 6501747.978 145537.63 6501755.925 145556.588 6501753.062 145557.777 6501741.332 145562.651 6501731.7 145566.653 6501713.387 145574.261 6501704.164 145578.093 6501701.878 145579.043 6501698.206 145580.568 6501679.486 145588.346 6501678.048 145584.886 6501641.885 145497.911 6501672.34 145485.634 6501633.726 145393.696 6501696.251 145367.436 6501698.206 145366.615 6501714.955 145359.58 6501715.542 145359.334 6501723.603 145355.948 6501718.505 145344.158 6501766.864 145323.108 6501769.345 145322.028 6501776.126 145319.077 6501800.324 145377.448 6501826.479 145440.544 6501818.885 145443.297 6501818.541 145443.422 6501806.315 145447.853 6501798.944 145450.525 6501769.17 145461.317 6501767.267 145456.917 6501740.508 145468.156 6501731.713 145471.85</gml:posList>
            </gml:LinearRing>
          </gml:exterior>
          <gml:interior>
            <gml:LinearRing>
              <gml:posList>6501710.038 145482.672 6501713.622 145483.338 6501716.627 145481.274 6501717.293 145477.691 6501715.23 145474.686 6501711.646 145474.02 6501708.641 145476.083 6501707.975 145479.667 6501710.038 145482.672</gml:posList>
            </gml:LinearRing>
          </gml:interior>
        </gml:Polygon>
      </lmg:Position>
    </lmg:Ytgeometri>
    <Indelning>
      <tema>Planeringsförutsättningar</tema>
      <grupp>Riksintressen</grupp>
      <undergrupp>Totalförsvar</undergrupp>
    </Indelning>
  </Omfattning>
  <Omfattning>
    <identitet>pf_rörligtfriluftsliv01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6501731.713 145471.85 6501722.098 145475.888 6501725.682 145484.439 6501747.978 145537.63 6501755.925 145556.588 6501753.062 145557.777 6501741.332 145562.651 6501731.7 145566.653 6501713.387 145574.261 6501704.164 145578.093 6501701.878 145579.043 6501698.206 145580.568 6501679.486 145588.346 6501678.048 145584.886 6501641.885 145497.911 6501672.34 145485.634 6501633.726 145393.696 6501696.251 145367.436 6501698.206 145366.615 6501714.955 145359.58 6501715.542 145359.334 6501723.603 145355.948 6501718.505 145344.158 6501766.864 145323.108 6501769.345 145322.028 6501776.126 145319.077 6501800.324 145377.448 6501826.479 145440.544 6501818.885 145443.297 6501818.541 145443.422 6501806.315 145447.853 6501798.944 145450.525 6501769.17 145461.317 6501767.267 145456.917 6501740.508 145468.156 6501731.713 145471.85</gml:posList>
            </gml:LinearRing>
          </gml:exterior>
          <gml:interior>
            <gml:LinearRing>
              <gml:posList>6501710.038 145482.672 6501713.622 145483.338 6501716.627 145481.274 6501717.293 145477.691 6501715.23 145474.686 6501711.646 145474.02 6501708.641 145476.083 6501707.975 145479.667 6501710.038 145482.672</gml:posList>
            </gml:LinearRing>
          </gml:interior>
        </gml:Polygon>
      </lmg:Position>
    </lmg:Ytgeometri>
    <Indelning>
      <tema>Planeringsförutsättningar</tema>
      <grupp>Riksintressen</grupp>
      <undergrupp>Rörligt friluftsliv</undergrupp>
    </Indelning>
  </Omfattning>
  <Omfattning>
    <identitet>ko_vatten01</identitet>
    <Indelning>
      <tema>Konsekvenser</tema>
      <grupp>Miljökvalitetsnormer</grupp>
      <undergrupp>Vatten</undergrupp>
    </Indelning>
  </Omfattning>
  <Omfattning>
    <identitet>ko_beräkningavomgivningsbuller01</identitet>
    <Indelning>
      <tema>Konsekvenser</tema>
      <grupp>Hälsa och säkerhet</grupp>
      <undergrupp>Beräkning av omgivningsbuller</undergrupp>
    </Indelning>
  </Omfattning>
  <Omfattning>
    <identitet>ko_översvämning01</identitet>
    <Indelning>
      <tema>Konsekvenser</tema>
      <grupp>Hälsa och säkerhet</grupp>
      <undergrupp>Översvämning</undergrupp>
    </Indelning>
  </Omfattning>
  <Omfattning>
    <identitet>ko_naturvård01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6501731.713 145471.85 6501722.098 145475.888 6501725.682 145484.439 6501747.978 145537.63 6501755.925 145556.588 6501753.062 145557.777 6501741.332 145562.651 6501731.7 145566.653 6501713.387 145574.261 6501704.164 145578.093 6501701.878 145579.043 6501698.206 145580.568 6501679.486 145588.346 6501678.048 145584.886 6501641.885 145497.911 6501672.34 145485.634 6501633.726 145393.696 6501696.251 145367.436 6501698.206 145366.615 6501714.955 145359.58 6501715.542 145359.334 6501723.603 145355.948 6501718.505 145344.158 6501766.864 145323.108 6501769.345 145322.028 6501776.126 145319.077 6501800.324 145377.448 6501826.479 145440.544 6501818.885 145443.297 6501818.541 145443.422 6501806.315 145447.853 6501798.944 145450.525 6501769.17 145461.317 6501767.267 145456.917 6501740.508 145468.156 6501731.713 145471.85</gml:posList>
            </gml:LinearRing>
          </gml:exterior>
          <gml:interior>
            <gml:LinearRing>
              <gml:posList>6501710.038 145482.672 6501713.622 145483.338 6501716.627 145481.274 6501717.293 145477.691 6501715.23 145474.686 6501711.646 145474.02 6501708.641 145476.083 6501707.975 145479.667 6501710.038 145482.672</gml:posList>
            </gml:LinearRing>
          </gml:interior>
        </gml:Polygon>
      </lmg:Position>
    </lmg:Ytgeometri>
    <Indelning>
      <tema>Konsekvenser</tema>
      <grupp>Riksintresse</grupp>
      <undergrupp>Naturvård</undergrupp>
    </Indelning>
  </Omfattning>
  <Omfattning>
    <identitet>ko_friluftsliv01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6501731.713 145471.85 6501722.098 145475.888 6501725.682 145484.439 6501747.978 145537.63 6501755.925 145556.588 6501753.062 145557.777 6501741.332 145562.651 6501731.7 145566.653 6501713.387 145574.261 6501704.164 145578.093 6501701.878 145579.043 6501698.206 145580.568 6501679.486 145588.346 6501678.048 145584.886 6501641.885 145497.911 6501672.34 145485.634 6501633.726 145393.696 6501696.251 145367.436 6501698.206 145366.615 6501714.955 145359.58 6501715.542 145359.334 6501723.603 145355.948 6501718.505 145344.158 6501766.864 145323.108 6501769.345 145322.028 6501776.126 145319.077 6501800.324 145377.448 6501826.479 145440.544 6501818.885 145443.297 6501818.541 145443.422 6501806.315 145447.853 6501798.944 145450.525 6501769.17 145461.317 6501767.267 145456.917 6501740.508 145468.156 6501731.713 145471.85</gml:posList>
            </gml:LinearRing>
          </gml:exterior>
          <gml:interior>
            <gml:LinearRing>
              <gml:posList>6501710.038 145482.672 6501713.622 145483.338 6501716.627 145481.274 6501717.293 145477.691 6501715.23 145474.686 6501711.646 145474.02 6501708.641 145476.083 6501707.975 145479.667 6501710.038 145482.672</gml:posList>
            </gml:LinearRing>
          </gml:interior>
        </gml:Polygon>
      </lmg:Position>
    </lmg:Ytgeometri>
    <Indelning>
      <tema>Konsekvenser</tema>
      <grupp>Riksintresse</grupp>
      <undergrupp>Friluftsliv</undergrupp>
    </Indelning>
  </Omfattning>
  <Omfattning>
    <identitet>ko_kulturmiljövård01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6501731.713 145471.85 6501722.098 145475.888 6501725.682 145484.439 6501747.978 145537.63 6501755.925 145556.588 6501753.062 145557.777 6501741.332 145562.651 6501731.7 145566.653 6501713.387 145574.261 6501704.164 145578.093 6501701.878 145579.043 6501698.206 145580.568 6501679.486 145588.346 6501678.048 145584.886 6501641.885 145497.911 6501672.34 145485.634 6501633.726 145393.696 6501696.251 145367.436 6501698.206 145366.615 6501714.955 145359.58 6501715.542 145359.334 6501723.603 145355.948 6501718.505 145344.158 6501766.864 145323.108 6501769.345 145322.028 6501776.126 145319.077 6501800.324 145377.448 6501826.479 145440.544 6501818.885 145443.297 6501818.541 145443.422 6501806.315 145447.853 6501798.944 145450.525 6501769.17 145461.317 6501767.267 145456.917 6501740.508 145468.156 6501731.713 145471.85</gml:posList>
            </gml:LinearRing>
          </gml:exterior>
          <gml:interior>
            <gml:LinearRing>
              <gml:posList>6501710.038 145482.672 6501713.622 145483.338 6501716.627 145481.274 6501717.293 145477.691 6501715.23 145474.686 6501711.646 145474.02 6501708.641 145476.083 6501707.975 145479.667 6501710.038 145482.672</gml:posList>
            </gml:LinearRing>
          </gml:interior>
        </gml:Polygon>
      </lmg:Position>
    </lmg:Ytgeometri>
    <Indelning>
      <tema>Konsekvenser</tema>
      <grupp>Riksintresse</grupp>
      <undergrupp>Kulturmiljövård</undergrupp>
    </Indelning>
  </Omfattning>
  <Omfattning>
    <identitet>ko_totalförsvar01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6501731.713 145471.85 6501722.098 145475.888 6501725.682 145484.439 6501747.978 145537.63 6501755.925 145556.588 6501753.062 145557.777 6501741.332 145562.651 6501731.7 145566.653 6501713.387 145574.261 6501704.164 145578.093 6501701.878 145579.043 6501698.206 145580.568 6501679.486 145588.346 6501678.048 145584.886 6501641.885 145497.911 6501672.34 145485.634 6501633.726 145393.696 6501696.251 145367.436 6501698.206 145366.615 6501714.955 145359.58 6501715.542 145359.334 6501723.603 145355.948 6501718.505 145344.158 6501766.864 145323.108 6501769.345 145322.028 6501776.126 145319.077 6501800.324 145377.448 6501826.479 145440.544 6501818.885 145443.297 6501818.541 145443.422 6501806.315 145447.853 6501798.944 145450.525 6501769.17 145461.317 6501767.267 145456.917 6501740.508 145468.156 6501731.713 145471.85</gml:posList>
            </gml:LinearRing>
          </gml:exterior>
          <gml:interior>
            <gml:LinearRing>
              <gml:posList>6501710.038 145482.672 6501713.622 145483.338 6501716.627 145481.274 6501717.293 145477.691 6501715.23 145474.686 6501711.646 145474.02 6501708.641 145476.083 6501707.975 145479.667 6501710.038 145482.672</gml:posList>
            </gml:LinearRing>
          </gml:interior>
        </gml:Polygon>
      </lmg:Position>
    </lmg:Ytgeometri>
    <Indelning>
      <tema>Konsekvenser</tema>
      <grupp>Riksintresse</grupp>
      <undergrupp>Totalförsvar</undergrupp>
    </Indelning>
  </Omfattning>
  <Omfattning>
    <identitet>ko_rörligtfriluftsliv01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6501731.713 145471.85 6501722.098 145475.888 6501725.682 145484.439 6501747.978 145537.63 6501755.925 145556.588 6501753.062 145557.777 6501741.332 145562.651 6501731.7 145566.653 6501713.387 145574.261 6501704.164 145578.093 6501701.878 145579.043 6501698.206 145580.568 6501679.486 145588.346 6501678.048 145584.886 6501641.885 145497.911 6501672.34 145485.634 6501633.726 145393.696 6501696.251 145367.436 6501698.206 145366.615 6501714.955 145359.58 6501715.542 145359.334 6501723.603 145355.948 6501718.505 145344.158 6501766.864 145323.108 6501769.345 145322.028 6501776.126 145319.077 6501800.324 145377.448 6501826.479 145440.544 6501818.885 145443.297 6501818.541 145443.422 6501806.315 145447.853 6501798.944 145450.525 6501769.17 145461.317 6501767.267 145456.917 6501740.508 145468.156 6501731.713 145471.85</gml:posList>
            </gml:LinearRing>
          </gml:exterior>
          <gml:interior>
            <gml:LinearRing>
              <gml:posList>6501710.038 145482.672 6501713.622 145483.338 6501716.627 145481.274 6501717.293 145477.691 6501715.23 145474.686 6501711.646 145474.02 6501708.641 145476.083 6501707.975 145479.667 6501710.038 145482.672</gml:posList>
            </gml:LinearRing>
          </gml:interior>
        </gml:Polygon>
      </lmg:Position>
    </lmg:Ytgeometri>
    <Indelning>
      <tema>Konsekvenser</tema>
      <grupp>Riksintresse</grupp>
      <undergrupp>Rörligt friluftsliv</undergrupp>
    </Indelning>
  </Omfattning>
  <Omfattning>
    <identitet>ko_natura200001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6501731.713 145471.85 6501722.098 145475.888 6501725.682 145484.439 6501747.978 145537.63 6501755.925 145556.588 6501753.062 145557.777 6501741.332 145562.651 6501731.7 145566.653 6501713.387 145574.261 6501704.164 145578.093 6501701.878 145579.043 6501698.206 145580.568 6501679.486 145588.346 6501678.048 145584.886 6501641.885 145497.911 6501672.34 145485.634 6501633.726 145393.696 6501696.251 145367.436 6501698.206 145366.615 6501714.955 145359.58 6501715.542 145359.334 6501723.603 145355.948 6501718.505 145344.158 6501766.864 145323.108 6501769.345 145322.028 6501776.126 145319.077 6501800.324 145377.448 6501826.479 145440.544 6501818.885 145443.297 6501818.541 145443.422 6501806.315 145447.853 6501798.944 145450.525 6501769.17 145461.317 6501767.267 145456.917 6501740.508 145468.156 6501731.713 145471.85</gml:posList>
            </gml:LinearRing>
          </gml:exterior>
          <gml:interior>
            <gml:LinearRing>
              <gml:posList>6501710.038 145482.672 6501713.622 145483.338 6501716.627 145481.274 6501717.293 145477.691 6501715.23 145474.686 6501711.646 145474.02 6501708.641 145476.083 6501707.975 145479.667 6501710.038 145482.672</gml:posList>
            </gml:LinearRing>
          </gml:interior>
        </gml:Polygon>
      </lmg:Position>
    </lmg:Ytgeometri>
    <Indelning>
      <tema>Konsekvenser</tema>
      <grupp>Riksintresse</grupp>
      <undergrupp>Natura 2000</undergrupp>
    </Indelning>
  </Omfattning>
  <Omfattning>
    <identitet>ko_trafik01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6501731.713 145471.85 6501722.098 145475.888 6501725.682 145484.439 6501747.978 145537.63 6501755.925 145556.588 6501753.062 145557.777 6501741.332 145562.651 6501731.7 145566.653 6501713.387 145574.261 6501704.164 145578.093 6501701.878 145579.043 6501698.206 145580.568 6501679.486 145588.346 6501678.048 145584.886 6501641.885 145497.911 6501672.34 145485.634 6501633.726 145393.696 6501696.251 145367.436 6501698.206 145366.615 6501714.955 145359.58 6501715.542 145359.334 6501723.603 145355.948 6501718.505 145344.158 6501766.864 145323.108 6501769.345 145322.028 6501776.126 145319.077 6501800.324 145377.448 6501826.479 145440.544 6501818.885 145443.297 6501818.541 145443.422 6501806.315 145447.853 6501798.944 145450.525 6501769.17 145461.317 6501767.267 145456.917 6501740.508 145468.156 6501731.713 145471.85</gml:posList>
            </gml:LinearRing>
          </gml:exterior>
          <gml:interior>
            <gml:LinearRing>
              <gml:posList>6501710.038 145482.672 6501713.622 145483.338 6501716.627 145481.274 6501717.293 145477.691 6501715.23 145474.686 6501711.646 145474.02 6501708.641 145476.083 6501707.975 145479.667 6501710.038 145482.672</gml:posList>
            </gml:LinearRing>
          </gml:interior>
        </gml:Polygon>
      </lmg:Position>
    </lmg:Ytgeometri>
    <Indelning>
      <tema>Konsekvenser</tema>
      <grupp>Trafik</grupp>
    </Indelning>
  </Omfattning>
  <Omfattning>
    <identitet>ko_annat01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6501731.713 145471.85 6501722.098 145475.888 6501725.682 145484.439 6501747.978 145537.63 6501755.925 145556.588 6501753.062 145557.777 6501741.332 145562.651 6501731.7 145566.653 6501713.387 145574.261 6501704.164 145578.093 6501701.878 145579.043 6501698.206 145580.568 6501679.486 145588.346 6501678.048 145584.886 6501641.885 145497.911 6501672.34 145485.634 6501633.726 145393.696 6501696.251 145367.436 6501698.206 145366.615 6501714.955 145359.58 6501715.542 145359.334 6501723.603 145355.948 6501718.505 145344.158 6501766.864 145323.108 6501769.345 145322.028 6501776.126 145319.077 6501800.324 145377.448 6501826.479 145440.544 6501818.885 145443.297 6501818.541 145443.422 6501806.315 145447.853 6501798.944 145450.525 6501769.17 145461.317 6501767.267 145456.917 6501740.508 145468.156 6501731.713 145471.85</gml:posList>
            </gml:LinearRing>
          </gml:exterior>
          <gml:interior>
            <gml:LinearRing>
              <gml:posList>6501710.038 145482.672 6501713.622 145483.338 6501716.627 145481.274 6501717.293 145477.691 6501715.23 145474.686 6501711.646 145474.02 6501708.641 145476.083 6501707.975 145479.667 6501710.038 145482.672</gml:posList>
            </gml:LinearRing>
          </gml:interior>
        </gml:Polygon>
      </lmg:Position>
    </lmg:Ytgeometri>
    <Indelning>
      <tema>Konsekvenser</tema>
      <grupp>Annat</grupp>
    </Indelning>
  </Omfattning>
  <Omfattning>
    <identitet>gf_tekniskaåtgärder01</identitet>
    <Indelning>
      <tema>Genomförandefrågor</tema>
      <grupp>Tekniska frågor</grupp>
      <undergrupp>Tekniska åtgärder</undergrupp>
    </Indelning>
  </Omfattning>
  <Omfattning>
    <identitet>gf_planavgift01</identitet>
    <Indelning>
      <tema>Genomförandefrågor</tema>
      <grupp>Ekonomiska frågor</grupp>
      <undergrupp>Planavgift</undergrupp>
    </Indelning>
  </Omfattning>
  <Omfattning>
    <identitet>gf_tidplan01</identitet>
    <Indelning>
      <tema>Genomförandefrågor</tema>
      <grupp>Organisatoriska frågor</grupp>
      <undergrupp>Tidplan</undergrupp>
    </Indelning>
  </Omfattning>
  <Omfattning>
    <identitet>gf_prövningenlannanlagstiftning01</identitet>
    <Indelning>
      <tema>Genomförandefrågor</tema>
      <grupp>Prövning enligt annan lagstiftning</grupp>
    </Indelning>
  </Omfattning>
  <Omfattning>
    <identitet>gf_upplysningar01</identitet>
    <Indelning>
      <tema>Genomförandefrågor</tema>
      <grupp>Upplysningar</grupp>
    </Indelning>
  </Omfattning>
  <Omfattning>
    <identitet>be_ärendeinformation02</identitet>
    <Indelning>
      <tema>Beskrivning av detaljplanen</tema>
      <grupp>Ärendeinformation</grupp>
    </Indelning>
  </Omfattning>
  <Omfattning>
    <identitet>be_ärendeinformation04</identitet>
    <Indelning>
      <tema>Beskrivning av detaljplanen</tema>
      <grupp>Ärendeinformation</grupp>
    </Indelning>
  </Omfattning>
  <Omfattning>
    <identitet>be_ärendeinformation05</identitet>
    <Indelning>
      <tema>Beskrivning av detaljplanen</tema>
      <grupp>Ärendeinformation</grupp>
    </Indelning>
  </Omfattning>
  <Omfattning>
    <identitet>be_varförändringavdetaljplanvalts02</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6501731.713 145471.85 6501722.098 145475.888 6501725.682 145484.439 6501747.978 145537.63 6501755.925 145556.588 6501753.062 145557.777 6501741.332 145562.651 6501731.7 145566.653 6501713.387 145574.261 6501704.164 145578.093 6501701.878 145579.043 6501698.206 145580.568 6501679.486 145588.346 6501678.048 145584.886 6501641.885 145497.911 6501672.34 145485.634 6501633.726 145393.696 6501696.251 145367.436 6501698.206 145366.615 6501714.955 145359.58 6501715.542 145359.334 6501723.603 145355.948 6501718.505 145344.158 6501766.864 145323.108 6501769.345 145322.028 6501776.126 145319.077 6501800.324 145377.448 6501826.479 145440.544 6501818.885 145443.297 6501818.541 145443.422 6501806.315 145447.853 6501798.944 145450.525 6501769.17 145461.317 6501767.267 145456.917 6501740.508 145468.156 6501731.713 145471.85</gml:posList>
            </gml:LinearRing>
          </gml:exterior>
          <gml:interior>
            <gml:LinearRing>
              <gml:posList>6501710.038 145482.672 6501713.622 145483.338 6501716.627 145481.274 6501717.293 145477.691 6501715.23 145474.686 6501711.646 145474.02 6501708.641 145476.083 6501707.975 145479.667 6501710.038 145482.672</gml:posList>
            </gml:LinearRing>
          </gml:interior>
        </gml:Polygon>
      </lmg:Position>
    </lmg:Ytgeometri>
    <Indelning>
      <tema>Beskrivning av detaljplanen</tema>
      <grupp>Varför ändring av detaljplan valts</grupp>
    </Indelning>
  </Omfattning>
  <Omfattning>
    <identitet>be_heladetaljplan01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6501731.713 145471.85 6501722.098 145475.888 6501725.682 145484.439 6501747.978 145537.63 6501755.925 145556.588 6501753.062 145557.777 6501741.332 145562.651 6501731.7 145566.653 6501713.387 145574.261 6501704.164 145578.093 6501701.878 145579.043 6501698.206 145580.568 6501679.486 145588.346 6501678.048 145584.886 6501641.885 145497.911 6501672.34 145485.634 6501633.726 145393.696 6501696.251 145367.436 6501698.206 145366.615 6501714.955 145359.58 6501715.542 145359.334 6501723.603 145355.948 6501718.505 145344.158 6501766.864 145323.108 6501769.345 145322.028 6501776.126 145319.077 6501800.324 145377.448 6501826.479 145440.544 6501818.885 145443.297 6501818.541 145443.422 6501806.315 145447.853 6501798.944 145450.525 6501769.17 145461.317 6501767.267 145456.917 6501740.508 145468.156 6501731.713 145471.85</gml:posList>
            </gml:LinearRing>
          </gml:exterior>
          <gml:interior>
            <gml:LinearRing>
              <gml:posList>6501710.038 145482.672 6501713.622 145483.338 6501716.627 145481.274 6501717.293 145477.691 6501715.23 145474.686 6501711.646 145474.02 6501708.641 145476.083 6501707.975 145479.667 6501710.038 145482.672</gml:posList>
            </gml:LinearRing>
          </gml:interior>
        </gml:Polygon>
      </lmg:Position>
    </lmg:Ytgeometri>
    <Indelning>
      <tema>Beskrivning av detaljplanen</tema>
      <grupp>Hela detaljplan</grupp>
    </Indelning>
  </Omfattning>
  <Omfattning>
    <identitet>be_ärendeinformation01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6501731.713 145471.85 6501722.098 145475.888 6501725.682 145484.439 6501747.978 145537.63 6501755.925 145556.588 6501753.062 145557.777 6501741.332 145562.651 6501731.7 145566.653 6501713.387 145574.261 6501704.164 145578.093 6501701.878 145579.043 6501698.206 145580.568 6501679.486 145588.346 6501678.048 145584.886 6501641.885 145497.911 6501672.34 145485.634 6501633.726 145393.696 6501696.251 145367.436 6501698.206 145366.615 6501714.955 145359.58 6501715.542 145359.334 6501723.603 145355.948 6501718.505 145344.158 6501766.864 145323.108 6501769.345 145322.028 6501776.126 145319.077 6501800.324 145377.448 6501826.479 145440.544 6501818.885 145443.297 6501818.541 145443.422 6501806.315 145447.853 6501798.944 145450.525 6501769.17 145461.317 6501767.267 145456.917 6501740.508 145468.156 6501731.713 145471.85</gml:posList>
            </gml:LinearRing>
          </gml:exterior>
          <gml:interior>
            <gml:LinearRing>
              <gml:posList>6501710.038 145482.672 6501713.622 145483.338 6501716.627 145481.274 6501717.293 145477.691 6501715.23 145474.686 6501711.646 145474.02 6501708.641 145476.083 6501707.975 145479.667 6501710.038 145482.672</gml:posList>
            </gml:LinearRing>
          </gml:interior>
        </gml:Polygon>
      </lmg:Position>
    </lmg:Ytgeometri>
    <Indelning>
      <tema>Beskrivning av detaljplanen</tema>
      <grupp>Ärendeinformation</grupp>
    </Indelning>
  </Omfattning>
  <Omfattning>
    <identitet>be_annat01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6501731.713 145471.85 6501722.098 145475.888 6501725.682 145484.439 6501747.978 145537.63 6501755.925 145556.588 6501753.062 145557.777 6501741.332 145562.651 6501731.7 145566.653 6501713.387 145574.261 6501704.164 145578.093 6501701.878 145579.043 6501698.206 145580.568 6501679.486 145588.346 6501678.048 145584.886 6501641.885 145497.911 6501672.34 145485.634 6501633.726 145393.696 6501696.251 145367.436 6501698.206 145366.615 6501714.955 145359.58 6501715.542 145359.334 6501723.603 145355.948 6501718.505 145344.158 6501766.864 145323.108 6501769.345 145322.028 6501776.126 145319.077 6501800.324 145377.448 6501826.479 145440.544 6501818.885 145443.297 6501818.541 145443.422 6501806.315 145447.853 6501798.944 145450.525 6501769.17 145461.317 6501767.267 145456.917 6501740.508 145468.156 6501731.713 145471.85</gml:posList>
            </gml:LinearRing>
          </gml:exterior>
          <gml:interior>
            <gml:LinearRing>
              <gml:posList>6501710.038 145482.672 6501713.622 145483.338 6501716.627 145481.274 6501717.293 145477.691 6501715.23 145474.686 6501711.646 145474.02 6501708.641 145476.083 6501707.975 145479.667 6501710.038 145482.672</gml:posList>
            </gml:LinearRing>
          </gml:interior>
        </gml:Polygon>
      </lmg:Position>
    </lmg:Ytgeometri>
    <Indelning>
      <tema>Beskrivning av detaljplanen</tema>
      <grupp>Annat</grupp>
    </Indelning>
  </Omfattning>
  <Omfattning>
    <identitet>pu_detaljplan01</identitet>
    <Indelning>
      <tema>Planeringsunderlag</tema>
      <grupp>Kommunala</grupp>
      <undergrupp>Detaljplan</undergrupp>
    </Indelning>
  </Omfattning>
  <Omfattning>
    <identitet>pu_undersökningenl6kap6_mb01</identitet>
    <Indelning>
      <tema>Planeringsunderlag</tema>
      <grupp>Kommunala</grupp>
      <undergrupp>Undersökning enligt 6 kap. 6 § miljöbalken (1998:808)</undergrupp>
    </Indelning>
  </Omfattning>
  <Omfattning>
    <identitet>pu_särskiltbeslutombetydandemiljöpåver01</identitet>
    <Indelning>
      <tema>Planeringsunderlag</tema>
      <grupp>Kommunala</grupp>
      <undergrupp>Särskilt beslut om betydande miljöpåverkan</undergrupp>
    </Indelning>
  </Omfattning>
  <Omfattning>
    <identitet>ko_annat02</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6501731.713 145471.85 6501722.098 145475.888 6501725.682 145484.439 6501747.978 145537.63 6501755.925 145556.588 6501753.062 145557.777 6501741.332 145562.651 6501731.7 145566.653 6501713.387 145574.261 6501704.164 145578.093 6501701.878 145579.043 6501698.206 145580.568 6501679.486 145588.346 6501678.048 145584.886 6501641.885 145497.911 6501672.34 145485.634 6501633.726 145393.696 6501696.251 145367.436 6501698.206 145366.615 6501714.955 145359.58 6501715.542 145359.334 6501723.603 145355.948 6501718.505 145344.158 6501766.864 145323.108 6501769.345 145322.028 6501776.126 145319.077 6501800.324 145377.448 6501826.479 145440.544 6501818.885 145443.297 6501818.541 145443.422 6501806.315 145447.853 6501798.944 145450.525 6501769.17 145461.317 6501767.267 145456.917 6501740.508 145468.156 6501731.713 145471.85</gml:posList>
            </gml:LinearRing>
          </gml:exterior>
          <gml:interior>
            <gml:LinearRing>
              <gml:posList>6501710.038 145482.672 6501713.622 145483.338 6501716.627 145481.274 6501717.293 145477.691 6501715.23 145474.686 6501711.646 145474.02 6501708.641 145476.083 6501707.975 145479.667 6501710.038 145482.672</gml:posList>
            </gml:LinearRing>
          </gml:interior>
        </gml:Polygon>
      </lmg:Position>
    </lmg:Ytgeometri>
    <Indelning>
      <tema>Konsekvenser</tema>
      <grupp>Annat</grupp>
    </Indelning>
  </Omfattning>
  <Omfattning>
    <identitet>gf_förändradfastighetsindelning01</identitet>
    <Indelning>
      <tema>Genomförandefrågor</tema>
      <grupp>Fastighetsrättsliga frågor</grupp>
      <undergrupp>Förändrad fastighetsindelning</undergrupp>
    </Indelning>
  </Omfattning>
  <Omfattning>
    <identitet>gf_fastighetsrättsligafrågor01</identitet>
    <Indelning>
      <tema>Genomförandefrågor</tema>
      <grupp>Fastighetsrättsliga frågor</grupp>
    </Indelning>
  </Omfattning>
  <Omfattning>
    <identitet>gf_fastighetsrättsligafrågor02</identitet>
    <Indelning>
      <tema>Genomförandefrågor</tema>
      <grupp>Fastighetsrättsliga frågor</grupp>
    </Indelning>
  </Omfattning>
  <Omfattning>
    <identitet>gf_planekonomiskbedömning01</identitet>
    <Indelning>
      <tema>Genomförandefrågor</tema>
      <grupp>Ekonomiska frågor</grupp>
      <undergrupp>Planekonomisk bedömning</undergrupp>
    </Indelning>
  </Omfattning>
  <Omfattning>
    <identitet>gf_organisatoriskafrågor01</identitet>
    <Indelning>
      <tema>Genomförandefrågor</tema>
      <grupp>Organisatoriska frågor</grupp>
    </Indelning>
  </Omfattning>
  <Omfattning>
    <identitet>sy_syfte01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6501731.713 145471.85 6501722.098 145475.888 6501725.682 145484.439 6501747.978 145537.63 6501755.925 145556.588 6501753.062 145557.777 6501741.332 145562.651 6501731.7 145566.653 6501713.387 145574.261 6501704.164 145578.093 6501701.878 145579.043 6501698.206 145580.568 6501679.486 145588.346 6501678.048 145584.886 6501641.885 145497.911 6501672.34 145485.634 6501633.726 145393.696 6501696.251 145367.436 6501698.206 145366.615 6501714.955 145359.58 6501715.542 145359.334 6501723.603 145355.948 6501718.505 145344.158 6501766.864 145323.108 6501769.345 145322.028 6501776.126 145319.077 6501800.324 145377.448 6501826.479 145440.544 6501818.885 145443.297 6501818.541 145443.422 6501806.315 145447.853 6501798.944 145450.525 6501769.17 145461.317 6501767.267 145456.917 6501740.508 145468.156 6501731.713 145471.85</gml:posList>
            </gml:LinearRing>
          </gml:exterior>
          <gml:interior>
            <gml:LinearRing>
              <gml:posList>6501710.038 145482.672 6501713.622 145483.338 6501716.627 145481.274 6501717.293 145477.691 6501715.23 145474.686 6501711.646 145474.02 6501708.641 145476.083 6501707.975 145479.667 6501710.038 145482.672</gml:posList>
            </gml:LinearRing>
          </gml:interior>
        </gml:Polygon>
      </lmg:Position>
    </lmg:Ytgeometri>
    <Indelning>
      <tema>Detaljplanens syfte</tema>
      <grupp>Syfte</grupp>
    </Indelning>
  </Omfattning>
  <Omfattning>
    <identitet>be_genomförandetid01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6501731.713 145471.85 6501722.098 145475.888 6501725.682 145484.439 6501747.978 145537.63 6501755.925 145556.588 6501753.062 145557.777 6501741.332 145562.651 6501731.7 145566.653 6501713.387 145574.261 6501704.164 145578.093 6501701.878 145579.043 6501698.206 145580.568 6501679.486 145588.346 6501678.048 145584.886 6501641.885 145497.911 6501672.34 145485.634 6501633.726 145393.696 6501696.251 145367.436 6501698.206 145366.615 6501714.955 145359.58 6501715.542 145359.334 6501723.603 145355.948 6501718.505 145344.158 6501766.864 145323.108 6501769.345 145322.028 6501776.126 145319.077 6501800.324 145377.448 6501826.479 145440.544 6501818.885 145443.297 6501818.541 145443.422 6501806.315 145447.853 6501798.944 145450.525 6501769.17 145461.317 6501767.267 145456.917 6501740.508 145468.156 6501731.713 145471.85</gml:posList>
            </gml:LinearRing>
          </gml:exterior>
          <gml:interior>
            <gml:LinearRing>
              <gml:posList>6501710.038 145482.672 6501713.622 145483.338 6501716.627 145481.274 6501717.293 145477.691 6501715.23 145474.686 6501711.646 145474.02 6501708.641 145476.083 6501707.975 145479.667 6501710.038 145482.672</gml:posList>
            </gml:LinearRing>
          </gml:interior>
        </gml:Polygon>
      </lmg:Position>
    </lmg:Ytgeometri>
    <Indelning>
      <tema>Beskrivning av detaljplanen</tema>
      <grupp>Genomförandetid</grupp>
    </Indelning>
  </Omfattning>
  <Omfattning>
    <identitet>be_kvartersmark02</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6501731.713 145471.85 6501722.098 145475.888 6501725.682 145484.439 6501747.978 145537.63 6501755.925 145556.588 6501753.062 145557.777 6501741.332 145562.651 6501731.7 145566.653 6501713.387 145574.261 6501704.164 145578.093 6501701.878 145579.043 6501698.206 145580.568 6501679.486 145588.346 6501678.048 145584.886 6501641.885 145497.911 6501672.34 145485.634 6501633.726 145393.696 6501696.251 145367.436 6501698.206 145366.615 6501714.955 145359.58 6501715.542 145359.334 6501723.603 145355.948 6501718.505 145344.158 6501766.864 145323.108 6501769.345 145322.028 6501776.126 145319.077 6501800.324 145377.448 6501826.479 145440.544 6501818.885 145443.297 6501818.541 145443.422 6501806.315 145447.853 6501798.944 145450.525 6501769.17 145461.317 6501767.267 145456.917 6501740.508 145468.156 6501731.713 145471.85</gml:posList>
            </gml:LinearRing>
          </gml:exterior>
          <gml:interior>
            <gml:LinearRing>
              <gml:posList>6501710.038 145482.672 6501713.622 145483.338 6501716.627 145481.274 6501717.293 145477.691 6501715.23 145474.686 6501711.646 145474.02 6501708.641 145476.083 6501707.975 145479.667 6501710.038 145482.672</gml:posList>
            </gml:LinearRing>
          </gml:interior>
        </gml:Polygon>
      </lmg:Position>
    </lmg:Ytgeometri>
    <Indelning>
      <tema>Beskrivning av detaljplanen</tema>
      <grupp>Kvartersmark</grupp>
    </Indelning>
  </Omfattning>
  <Omfattning>
    <identitet>be_kvartersmark03</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6501731.713 145471.85 6501722.098 145475.888 6501725.682 145484.439 6501747.978 145537.63 6501755.925 145556.588 6501753.062 145557.777 6501741.332 145562.651 6501731.7 145566.653 6501713.387 145574.261 6501704.164 145578.093 6501701.878 145579.043 6501698.206 145580.568 6501679.486 145588.346 6501678.048 145584.886 6501641.885 145497.911 6501672.34 145485.634 6501633.726 145393.696 6501696.251 145367.436 6501698.206 145366.615 6501714.955 145359.58 6501715.542 145359.334 6501723.603 145355.948 6501718.505 145344.158 6501766.864 145323.108 6501769.345 145322.028 6501776.126 145319.077 6501800.324 145377.448 6501826.479 145440.544 6501818.885 145443.297 6501818.541 145443.422 6501806.315 145447.853 6501798.944 145450.525 6501769.17 145461.317 6501767.267 145456.917 6501740.508 145468.156 6501731.713 145471.85</gml:posList>
            </gml:LinearRing>
          </gml:exterior>
          <gml:interior>
            <gml:LinearRing>
              <gml:posList>6501710.038 145482.672 6501713.622 145483.338 6501716.627 145481.274 6501717.293 145477.691 6501715.23 145474.686 6501711.646 145474.02 6501708.641 145476.083 6501707.975 145479.667 6501710.038 145482.672</gml:posList>
            </gml:LinearRing>
          </gml:interior>
        </gml:Polygon>
      </lmg:Position>
    </lmg:Ytgeometri>
    <Indelning>
      <tema>Beskrivning av detaljplanen</tema>
      <grupp>Kvartersmark</grupp>
    </Indelning>
  </Omfattning>
  <Omfattning>
    <identitet>be_kvartersmark05</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6501731.713 145471.85 6501722.098 145475.888 6501725.682 145484.439 6501747.978 145537.63 6501755.925 145556.588 6501753.062 145557.777 6501741.332 145562.651 6501731.7 145566.653 6501713.387 145574.261 6501704.164 145578.093 6501701.878 145579.043 6501698.206 145580.568 6501679.486 145588.346 6501678.048 145584.886 6501641.885 145497.911 6501672.34 145485.634 6501633.726 145393.696 6501696.251 145367.436 6501698.206 145366.615 6501714.955 145359.58 6501715.542 145359.334 6501723.603 145355.948 6501718.505 145344.158 6501766.864 145323.108 6501769.345 145322.028 6501776.126 145319.077 6501800.324 145377.448 6501826.479 145440.544 6501818.885 145443.297 6501818.541 145443.422 6501806.315 145447.853 6501798.944 145450.525 6501769.17 145461.317 6501767.267 145456.917 6501740.508 145468.156 6501731.713 145471.85</gml:posList>
            </gml:LinearRing>
          </gml:exterior>
          <gml:interior>
            <gml:LinearRing>
              <gml:posList>6501710.038 145482.672 6501713.622 145483.338 6501716.627 145481.274 6501717.293 145477.691 6501715.23 145474.686 6501711.646 145474.02 6501708.641 145476.083 6501707.975 145479.667 6501710.038 145482.672</gml:posList>
            </gml:LinearRing>
          </gml:interior>
        </gml:Polygon>
      </lmg:Position>
    </lmg:Ytgeometri>
    <Indelning>
      <tema>Beskrivning av detaljplanen</tema>
      <grupp>Kvartersmark</grupp>
    </Indelning>
  </Omfattning>
  <Omfattning>
    <identitet>be_kvartersmark06</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6501731.713 145471.85 6501722.098 145475.888 6501725.682 145484.439 6501747.978 145537.63 6501755.925 145556.588 6501753.062 145557.777 6501741.332 145562.651 6501731.7 145566.653 6501713.387 145574.261 6501704.164 145578.093 6501701.878 145579.043 6501698.206 145580.568 6501679.486 145588.346 6501678.048 145584.886 6501641.885 145497.911 6501672.34 145485.634 6501633.726 145393.696 6501696.251 145367.436 6501698.206 145366.615 6501714.955 145359.58 6501715.542 145359.334 6501723.603 145355.948 6501718.505 145344.158 6501766.864 145323.108 6501769.345 145322.028 6501776.126 145319.077 6501800.324 145377.448 6501826.479 145440.544 6501818.885 145443.297 6501818.541 145443.422 6501806.315 145447.853 6501798.944 145450.525 6501769.17 145461.317 6501767.267 145456.917 6501740.508 145468.156 6501731.713 145471.85</gml:posList>
            </gml:LinearRing>
          </gml:exterior>
          <gml:interior>
            <gml:LinearRing>
              <gml:posList>6501710.038 145482.672 6501713.622 145483.338 6501716.627 145481.274 6501717.293 145477.691 6501715.23 145474.686 6501711.646 145474.02 6501708.641 145476.083 6501707.975 145479.667 6501710.038 145482.672</gml:posList>
            </gml:LinearRing>
          </gml:interior>
        </gml:Polygon>
      </lmg:Position>
    </lmg:Ytgeometri>
    <Indelning>
      <tema>Beskrivning av detaljplanen</tema>
      <grupp>Kvartersmark</grupp>
    </Indelning>
  </Omfattning>
  <Omfattning>
    <identitet>pu_detaljplan01</identitet>
    <Indelning>
      <tema>Planeringsunderlag</tema>
      <grupp>Kommunala</grupp>
      <undergrupp>Detaljplan</undergrupp>
    </Indelning>
  </Omfattning>
  <Omfattning>
    <identitet>pu_detaljplan02</identitet>
    <Indelning>
      <tema>Planeringsunderlag</tema>
      <grupp>Kommunala</grupp>
      <undergrupp>Detaljplan</undergrupp>
    </Indelning>
  </Omfattning>
  <Omfattning>
    <identitet>pf_detaljplan01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6501731.713 145471.85 6501722.098 145475.888 6501725.682 145484.439 6501747.978 145537.63 6501755.925 145556.588 6501753.062 145557.777 6501741.332 145562.651 6501731.7 145566.653 6501713.387 145574.261 6501704.164 145578.093 6501701.878 145579.043 6501698.206 145580.568 6501679.486 145588.346 6501678.048 145584.886 6501641.885 145497.911 6501672.34 145485.634 6501633.726 145393.696 6501696.251 145367.436 6501698.206 145366.615 6501714.955 145359.58 6501715.542 145359.334 6501723.603 145355.948 6501718.505 145344.158 6501766.864 145323.108 6501769.345 145322.028 6501776.126 145319.077 6501800.324 145377.448 6501826.479 145440.544 6501818.885 145443.297 6501818.541 145443.422 6501806.315 145447.853 6501798.944 145450.525 6501769.17 145461.317 6501767.267 145456.917 6501740.508 145468.156 6501731.713 145471.85</gml:posList>
            </gml:LinearRing>
          </gml:exterior>
          <gml:interior>
            <gml:LinearRing>
              <gml:posList>6501710.038 145482.672 6501713.622 145483.338 6501716.627 145481.274 6501717.293 145477.691 6501715.23 145474.686 6501711.646 145474.02 6501708.641 145476.083 6501707.975 145479.667 6501710.038 145482.672</gml:posList>
            </gml:LinearRing>
          </gml:interior>
        </gml:Polygon>
      </lmg:Position>
    </lmg:Ytgeometri>
    <Indelning>
      <tema>Planeringsförutsättningar</tema>
      <grupp>Kommunala</grupp>
      <undergrupp>Detaljplan</undergrupp>
    </Indelning>
  </Omfattning>
  <Omfattning>
    <identitet>pf_planbesked01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6501731.713 145471.85 6501722.098 145475.888 6501725.682 145484.439 6501747.978 145537.63 6501755.925 145556.588 6501753.062 145557.777 6501741.332 145562.651 6501731.7 145566.653 6501713.387 145574.261 6501704.164 145578.093 6501701.878 145579.043 6501698.206 145580.568 6501679.486 145588.346 6501678.048 145584.886 6501641.885 145497.911 6501672.34 145485.634 6501633.726 145393.696 6501696.251 145367.436 6501698.206 145366.615 6501714.955 145359.58 6501715.542 145359.334 6501723.603 145355.948 6501718.505 145344.158 6501766.864 145323.108 6501769.345 145322.028 6501776.126 145319.077 6501800.324 145377.448 6501826.479 145440.544 6501818.885 145443.297 6501818.541 145443.422 6501806.315 145447.853 6501798.944 145450.525 6501769.17 145461.317 6501767.267 145456.917 6501740.508 145468.156 6501731.713 145471.85</gml:posList>
            </gml:LinearRing>
          </gml:exterior>
          <gml:interior>
            <gml:LinearRing>
              <gml:posList>6501710.038 145482.672 6501713.622 145483.338 6501716.627 145481.274 6501717.293 145477.691 6501715.23 145474.686 6501711.646 145474.02 6501708.641 145476.083 6501707.975 145479.667 6501710.038 145482.672</gml:posList>
            </gml:LinearRing>
          </gml:interior>
        </gml:Polygon>
      </lmg:Position>
    </lmg:Ytgeometri>
    <Indelning>
      <tema>Planeringsförutsättningar</tema>
      <grupp>Kommunala</grupp>
      <undergrupp>Planbesked</undergrupp>
    </Indelning>
  </Omfattning>
  <Omfattning>
    <identitet>pu_undersökningenl6kap6_mb01</identitet>
    <Indelning>
      <tema>Planeringsunderlag</tema>
      <grupp>Kommunala</grupp>
      <undergrupp>Undersökning enligt 6 kap. 6 § miljöbalken (1998:808)</undergrupp>
    </Indelning>
  </Omfattning>
  <Omfattning>
    <identitet>pu_särskiltbeslutombetydandemiljöpåver01</identitet>
    <Indelning>
      <tema>Planeringsunderlag</tema>
      <grupp>Kommunala</grupp>
      <undergrupp>Särskilt beslut om betydande miljöpåverkan</undergrupp>
    </Indelning>
  </Omfattning>
  <Omfattning>
    <identitet>pf_naturvård01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6501731.713 145471.85 6501722.098 145475.888 6501725.682 145484.439 6501747.978 145537.63 6501755.925 145556.588 6501753.062 145557.777 6501741.332 145562.651 6501731.7 145566.653 6501713.387 145574.261 6501704.164 145578.093 6501701.878 145579.043 6501698.206 145580.568 6501679.486 145588.346 6501678.048 145584.886 6501641.885 145497.911 6501672.34 145485.634 6501633.726 145393.696 6501696.251 145367.436 6501698.206 145366.615 6501714.955 145359.58 6501715.542 145359.334 6501723.603 145355.948 6501718.505 145344.158 6501766.864 145323.108 6501769.345 145322.028 6501776.126 145319.077 6501800.324 145377.448 6501826.479 145440.544 6501818.885 145443.297 6501818.541 145443.422 6501806.315 145447.853 6501798.944 145450.525 6501769.17 145461.317 6501767.267 145456.917 6501740.508 145468.156 6501731.713 145471.85</gml:posList>
            </gml:LinearRing>
          </gml:exterior>
          <gml:interior>
            <gml:LinearRing>
              <gml:posList>6501710.038 145482.672 6501713.622 145483.338 6501716.627 145481.274 6501717.293 145477.691 6501715.23 145474.686 6501711.646 145474.02 6501708.641 145476.083 6501707.975 145479.667 6501710.038 145482.672</gml:posList>
            </gml:LinearRing>
          </gml:interior>
        </gml:Polygon>
      </lmg:Position>
    </lmg:Ytgeometri>
    <Indelning>
      <tema>Planeringsförutsättningar</tema>
      <grupp>Riksintressen</grupp>
      <undergrupp>Naturvård</undergrupp>
    </Indelning>
  </Omfattning>
  <Omfattning>
    <identitet>ko_naturvård01</identitet>
    <Indelning>
      <tema>Konsekvenser</tema>
      <grupp>Riksintresse</grupp>
      <undergrupp>Naturvård</undergrupp>
    </Indelning>
  </Omfattning>
  <Omfattning>
    <identitet>pf_friluftsliv01</identitet>
    <Indelning>
      <tema>Planeringsförutsättningar</tema>
      <grupp>Riksintressen</grupp>
      <undergrupp>Friluftsliv</undergrupp>
    </Indelning>
  </Omfattning>
  <Omfattning>
    <identitet>ko_friluftsliv01</identitet>
    <Indelning>
      <tema>Konsekvenser</tema>
      <grupp>Riksintresse</grupp>
      <undergrupp>Friluftsliv</undergrupp>
    </Indelning>
  </Omfattning>
  <Omfattning>
    <identitet>gf_upplysningar01</identitet>
    <Indelning>
      <tema>Genomförandefrågor</tema>
      <grupp>Upplysningar</grupp>
    </Indelning>
  </Omfattning>
  <Omfattning>
    <identitet>pf_kulturmiljövård01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6501731.713 145471.85 6501722.098 145475.888 6501725.682 145484.439 6501747.978 145537.63 6501755.925 145556.588 6501753.062 145557.777 6501741.332 145562.651 6501731.7 145566.653 6501713.387 145574.261 6501704.164 145578.093 6501701.878 145579.043 6501698.206 145580.568 6501679.486 145588.346 6501678.048 145584.886 6501641.885 145497.911 6501672.34 145485.634 6501633.726 145393.696 6501696.251 145367.436 6501698.206 145366.615 6501714.955 145359.58 6501715.542 145359.334 6501723.603 145355.948 6501718.505 145344.158 6501766.864 145323.108 6501769.345 145322.028 6501776.126 145319.077 6501800.324 145377.448 6501826.479 145440.544 6501818.885 145443.297 6501818.541 145443.422 6501806.315 145447.853 6501798.944 145450.525 6501769.17 145461.317 6501767.267 145456.917 6501740.508 145468.156 6501731.713 145471.85</gml:posList>
            </gml:LinearRing>
          </gml:exterior>
          <gml:interior>
            <gml:LinearRing>
              <gml:posList>6501710.038 145482.672 6501713.622 145483.338 6501716.627 145481.274 6501717.293 145477.691 6501715.23 145474.686 6501711.646 145474.02 6501708.641 145476.083 6501707.975 145479.667 6501710.038 145482.672</gml:posList>
            </gml:LinearRing>
          </gml:interior>
        </gml:Polygon>
      </lmg:Position>
    </lmg:Ytgeometri>
    <Indelning>
      <tema>Planeringsförutsättningar</tema>
      <grupp>Riksintressen</grupp>
      <undergrupp>Kulturmiljövård</undergrupp>
    </Indelning>
  </Omfattning>
  <Omfattning>
    <identitet>ko_kulturmiljövård01</identitet>
    <Indelning>
      <tema>Konsekvenser</tema>
      <grupp>Riksintresse</grupp>
      <undergrupp>Kulturmiljövård</undergrupp>
    </Indelning>
  </Omfattning>
  <Omfattning>
    <identitet>pf_totalförsvar01</identitet>
    <Indelning>
      <tema>Planeringsförutsättningar</tema>
      <grupp>Riksintressen</grupp>
      <undergrupp>Totalförsvar</undergrupp>
    </Indelning>
  </Omfattning>
  <Omfattning>
    <identitet>ko_totalförsvar01</identitet>
    <Indelning>
      <tema>Konsekvenser</tema>
      <grupp>Riksintresse</grupp>
      <undergrupp>Totalförsvar</undergrupp>
    </Indelning>
  </Omfattning>
  <Omfattning>
    <identitet>pf_rörligtfriluftsliv01</identitet>
    <Indelning>
      <tema>Planeringsförutsättningar</tema>
      <grupp>Riksintressen</grupp>
      <undergrupp>Rörligt friluftsliv</undergrupp>
    </Indelning>
  </Omfattning>
  <Omfattning>
    <identitet>ko_rörligtfriluftsliv01</identitet>
    <Indelning>
      <tema>Konsekvenser</tema>
      <grupp>Riksintresse</grupp>
      <undergrupp>Rörligt friluftsliv</undergrupp>
    </Indelning>
  </Omfattning>
  <Omfattning>
    <identitet>pf_natura200001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6501731.713 145471.85 6501722.098 145475.888 6501725.682 145484.439 6501747.978 145537.63 6501755.925 145556.588 6501753.062 145557.777 6501741.332 145562.651 6501731.7 145566.653 6501713.387 145574.261 6501704.164 145578.093 6501701.878 145579.043 6501698.206 145580.568 6501679.486 145588.346 6501678.048 145584.886 6501641.885 145497.911 6501672.34 145485.634 6501633.726 145393.696 6501696.251 145367.436 6501698.206 145366.615 6501714.955 145359.58 6501715.542 145359.334 6501723.603 145355.948 6501718.505 145344.158 6501766.864 145323.108 6501769.345 145322.028 6501776.126 145319.077 6501800.324 145377.448 6501826.479 145440.544 6501818.885 145443.297 6501818.541 145443.422 6501806.315 145447.853 6501798.944 145450.525 6501769.17 145461.317 6501767.267 145456.917 6501740.508 145468.156 6501731.713 145471.85</gml:posList>
            </gml:LinearRing>
          </gml:exterior>
          <gml:interior>
            <gml:LinearRing>
              <gml:posList>6501710.038 145482.672 6501713.622 145483.338 6501716.627 145481.274 6501717.293 145477.691 6501715.23 145474.686 6501711.646 145474.02 6501708.641 145476.083 6501707.975 145479.667 6501710.038 145482.672</gml:posList>
            </gml:LinearRing>
          </gml:interior>
        </gml:Polygon>
      </lmg:Position>
    </lmg:Ytgeometri>
    <Indelning>
      <tema>Planeringsförutsättningar</tema>
      <grupp>Riksintressen</grupp>
      <undergrupp>Natura 2000</undergrupp>
    </Indelning>
  </Omfattning>
  <Omfattning>
    <identitet>ko_natura200001</identitet>
    <Indelning>
      <tema>Konsekvenser</tema>
      <grupp>Riksintresse</grupp>
      <undergrupp>Natura 2000</undergrupp>
    </Indelning>
  </Omfattning>
  <Omfattning>
    <identitet>ko_vatten01</identitet>
    <Indelning>
      <tema>Konsekvenser</tema>
      <grupp>Miljökvalitetsnormer</grupp>
      <undergrupp>Vatten</undergrupp>
    </Indelning>
  </Omfattning>
  <Omfattning>
    <identitet>pf_dagvatten01</identitet>
    <Indelning>
      <tema>Planeringsförutsättningar</tema>
      <grupp>Miljö</grupp>
      <undergrupp>Dagvatten</undergrupp>
    </Indelning>
  </Omfattning>
  <Omfattning>
    <identitet>ko_dagvatten01</identitet>
    <Indelning>
      <tema>Konsekvenser</tema>
      <grupp>Miljö</grupp>
      <undergrupp>Dagvatten</undergrupp>
    </Indelning>
  </Omfattning>
  <Omfattning>
    <identitet>ko_beräkningavomgivningsbuller01</identitet>
    <Indelning>
      <tema>Konsekvenser</tema>
      <grupp>Hälsa och säkerhet</grupp>
      <undergrupp>Beräkning av omgivningsbuller</undergrupp>
    </Indelning>
  </Omfattning>
  <Omfattning>
    <identitet>pf_omgivningsbuller01</identitet>
    <Indelning>
      <tema>Planeringsförutsättningar</tema>
      <grupp>Hälsa och säkerhet</grupp>
      <undergrupp>Omgivningsbuller</undergrupp>
    </Indelning>
  </Omfattning>
  <Omfattning>
    <identitet>ko_översvämning01</identitet>
    <Indelning>
      <tema>Konsekvenser</tema>
      <grupp>Hälsa och säkerhet</grupp>
      <undergrupp>Översvämning</undergrupp>
    </Indelning>
  </Omfattning>
  <Omfattning>
    <identitet>pf_kulturmiljö01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6501731.713 145471.85 6501722.098 145475.888 6501725.682 145484.439 6501747.978 145537.63 6501755.925 145556.588 6501753.062 145557.777 6501741.332 145562.651 6501731.7 145566.653 6501713.387 145574.261 6501704.164 145578.093 6501701.878 145579.043 6501698.206 145580.568 6501679.486 145588.346 6501678.048 145584.886 6501641.885 145497.911 6501672.34 145485.634 6501633.726 145393.696 6501696.251 145367.436 6501698.206 145366.615 6501714.955 145359.58 6501715.542 145359.334 6501723.603 145355.948 6501718.505 145344.158 6501766.864 145323.108 6501769.345 145322.028 6501776.126 145319.077 6501800.324 145377.448 6501826.479 145440.544 6501818.885 145443.297 6501818.541 145443.422 6501806.315 145447.853 6501798.944 145450.525 6501769.17 145461.317 6501767.267 145456.917 6501740.508 145468.156 6501731.713 145471.85</gml:posList>
            </gml:LinearRing>
          </gml:exterior>
          <gml:interior>
            <gml:LinearRing>
              <gml:posList>6501710.038 145482.672 6501713.622 145483.338 6501716.627 145481.274 6501717.293 145477.691 6501715.23 145474.686 6501711.646 145474.02 6501708.641 145476.083 6501707.975 145479.667 6501710.038 145482.672</gml:posList>
            </gml:LinearRing>
          </gml:interior>
        </gml:Polygon>
      </lmg:Position>
    </lmg:Ytgeometri>
    <Indelning>
      <tema>Planeringsförutsättningar</tema>
      <grupp>Kulturmiljö</grupp>
    </Indelning>
  </Omfattning>
  <Omfattning>
    <identitet>pf_kulturmiljö02</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6501731.713 145471.85 6501722.098 145475.888 6501725.682 145484.439 6501747.978 145537.63 6501755.925 145556.588 6501753.062 145557.777 6501741.332 145562.651 6501731.7 145566.653 6501713.387 145574.261 6501704.164 145578.093 6501701.878 145579.043 6501698.206 145580.568 6501679.486 145588.346 6501678.048 145584.886 6501641.885 145497.911 6501672.34 145485.634 6501633.726 145393.696 6501696.251 145367.436 6501698.206 145366.615 6501714.955 145359.58 6501715.542 145359.334 6501723.603 145355.948 6501718.505 145344.158 6501766.864 145323.108 6501769.345 145322.028 6501776.126 145319.077 6501800.324 145377.448 6501826.479 145440.544 6501818.885 145443.297 6501818.541 145443.422 6501806.315 145447.853 6501798.944 145450.525 6501769.17 145461.317 6501767.267 145456.917 6501740.508 145468.156 6501731.713 145471.85</gml:posList>
            </gml:LinearRing>
          </gml:exterior>
          <gml:interior>
            <gml:LinearRing>
              <gml:posList>6501710.038 145482.672 6501713.622 145483.338 6501716.627 145481.274 6501717.293 145477.691 6501715.23 145474.686 6501711.646 145474.02 6501708.641 145476.083 6501707.975 145479.667 6501710.038 145482.672</gml:posList>
            </gml:LinearRing>
          </gml:interior>
        </gml:Polygon>
      </lmg:Position>
    </lmg:Ytgeometri>
    <Indelning>
      <tema>Planeringsförutsättningar</tema>
      <grupp>Kulturmiljö</grupp>
    </Indelning>
  </Omfattning>
  <Omfattning>
    <identitet>ko_annat01</identitet>
    <Indelning>
      <tema>Konsekvenser</tema>
      <grupp>Annat</grupp>
    </Indelning>
  </Omfattning>
  <Omfattning>
    <identitet>ko_annat02</identitet>
    <Indelning>
      <tema>Konsekvenser</tema>
      <grupp>Annat</grupp>
    </Indelning>
  </Omfattning>
  <Omfattning>
    <identitet>ko_trafik01</identitet>
    <Indelning>
      <tema>Konsekvenser</tema>
      <grupp>Trafik</grupp>
    </Indelning>
  </Omfattning>
  <Omfattning>
    <identitet>gf_planekonomiskbedömning02</identitet>
    <Indelning>
      <tema>Genomförandefrågor</tema>
      <grupp>Ekonomiska frågor</grupp>
      <undergrupp>Planekonomisk bedömning</undergrupp>
    </Indelning>
  </Omfattning>
  <Omfattning>
    <identitet>be_kvartersmark07</identitet>
    <Indelning>
      <tema>Beskrivning av detaljplanen</tema>
      <grupp>Kvartersmark</grupp>
    </Indelning>
  </Omfattning>
  <Omfattning>
    <identitet>be_kvartersmark08</identitet>
    <Indelning>
      <tema>Beskrivning av detaljplanen</tema>
      <grupp>Kvartersmark</grupp>
    </Indelning>
  </Omfattning>
  <Omfattning>
    <identitet>pf_kulturmiljö03</identitet>
    <Indelning>
      <tema>Planeringsförutsättningar</tema>
      <grupp>Kulturmiljö</grupp>
    </Indelning>
  </Omfattning>
  <Omfattning>
    <identitet>pf_teknik01</identitet>
    <Indelning>
      <tema>Planeringsförutsättningar</tema>
      <grupp>Teknik</grupp>
    </Indelning>
  </Omfattning>
  <Omfattning>
    <identitet>Kartlänk_03</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6501731.713 145471.85 6501722.098 145475.888 6501725.682 145484.439 6501747.978 145537.63 6501755.925 145556.588 6501753.062 145557.777 6501741.332 145562.651 6501731.7 145566.653 6501713.387 145574.261 6501704.164 145578.093 6501701.878 145579.043 6501698.206 145580.568 6501679.486 145588.346 6501678.048 145584.886 6501641.885 145497.911 6501672.34 145485.634 6501633.726 145393.696 6501696.251 145367.436 6501698.206 145366.615 6501714.955 145359.58 6501715.542 145359.334 6501723.603 145355.948 6501718.505 145344.158 6501766.864 145323.108 6501769.345 145322.028 6501776.126 145319.077 6501800.324 145377.448 6501826.479 145440.544 6501818.885 145443.297 6501818.541 145443.422 6501806.315 145447.853 6501798.944 145450.525 6501769.17 145461.317 6501767.267 145456.917 6501740.508 145468.156 6501731.713 145471.85</gml:posList>
            </gml:LinearRing>
          </gml:exterior>
          <gml:interior>
            <gml:LinearRing>
              <gml:posList>6501710.038 145482.672 6501713.622 145483.338 6501716.627 145481.274 6501717.293 145477.691 6501715.23 145474.686 6501711.646 145474.02 6501708.641 145476.083 6501707.975 145479.667 6501710.038 145482.672</gml:posList>
            </gml:LinearRing>
          </gml:interior>
        </gml:Polygon>
      </lmg:Position>
    </lmg:Ytgeometri>
  </Omfattning>
  <Omfattning>
    <identitet>be_varförändringavdetaljplanvalts03</identitet>
    <Indelning>
      <tema>Beskrivning av detaljplanen</tema>
      <grupp>Varför ändring av detaljplan valts</grupp>
    </Indelning>
  </Omfattning>
  <Omfattning>
    <identitet>mo_motivtillreglering01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8e67aeba-d2ee-47bf-a315-fc53808a987d_f0">
          <gml:exterior>
            <gml:LinearRing>
              <gml:posList>6501767.267 145456.917 6501723.603 145355.948 6501718.505 145344.158 6501766.864 145323.108 6501769.345 145322.028 6501776.126 145319.077 6501800.324 145377.448 6501826.479 145440.544 6501818.885 145443.297 6501818.541 145443.422 6501806.315 145447.853 6501798.944 145450.525 6501769.17 145461.317 6501767.267 145456.917</gml:posList>
            </gml:LinearRing>
          </gml:exterior>
        </gml:Polygon>
      </lmg:Position>
    </lmg:Ytgeometri>
    <lmg:Ytgeometri>
      <lmg:absolutLagesosakerhetPlan>0</lmg:absolutLagesosakerhetPlan>
      <lmg:absolutLagesosakerhetHojd>0</lmg:absolutLagesosakerhetHojd>
      <lmg:koordinatsystemPlan>EPSG:3008</lmg:koordinatsystemPlan>
      <lmg:hojdsystem>RH 2000</lmg:hojdsystem>
      <lmg:dimension>2</lmg:dimension>
      <lmg:Position>
        <gml:Polygon gml:id="b67bccc4-50ba-45ee-9c01-a411440fbd2f_f0">
          <gml:exterior>
            <gml:LinearRing>
              <gml:posList>6501731.713 145471.85 6501722.098 145475.888 6501725.682 145484.439 6501747.978 145537.63 6501755.925 145556.588 6501753.062 145557.777 6501741.332 145562.651 6501731.7 145566.653 6501713.387 145574.261 6501704.164 145578.093 6501701.878 145579.043 6501698.206 145580.568 6501679.486 145588.346 6501678.048 145584.886 6501641.885 145497.911 6501672.34 145485.634 6501633.726 145393.696 6501696.251 145367.436 6501698.206 145366.615 6501714.955 145359.58 6501715.542 145359.334 6501723.603 145355.948 6501767.267 145456.917 6501740.508 145468.156 6501731.713 145471.85</gml:posList>
            </gml:LinearRing>
          </gml:exterior>
          <gml:interior>
            <gml:LinearRing>
              <gml:posList>6501710.038 145482.672 6501713.622 145483.338 6501716.627 145481.274 6501717.293 145477.691 6501715.23 145474.686 6501711.646 145474.02 6501708.641 145476.083 6501707.975 145479.667 6501710.038 145482.672</gml:posList>
            </gml:LinearRing>
          </gml:interior>
        </gml:Polygon>
      </lmg:Position>
    </lmg:Ytgeometri>
    <objektreferens>8e67aeba-d2ee-47bf-a315-fc53808a987d</objektreferens>
    <objektreferens>b67bccc4-50ba-45ee-9c01-a411440fbd2f</objektreferens>
    <Indelning>
      <tema>Motiv till detaljplanens regleringar</tema>
      <grupp>Motiv till reglering</grupp>
    </Indelning>
  </Omfattning>
  <Omfattning>
    <identitet>mo_motivtillreglering03</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670fd07d-39d9-47e5-8691-88a037dd4bb8_f0">
          <gml:exterior>
            <gml:LinearRing>
              <gml:posList>6501731.713 145471.85 6501722.098 145475.888 6501725.682 145484.439 6501747.978 145537.63 6501755.925 145556.588 6501753.062 145557.777 6501741.332 145562.651 6501731.7 145566.653 6501713.387 145574.261 6501704.164 145578.093 6501701.878 145579.043 6501698.206 145580.568 6501679.486 145588.346 6501678.048 145584.886 6501641.885 145497.911 6501672.34 145485.634 6501633.726 145393.696 6501696.251 145367.436 6501698.206 145366.615 6501714.955 145359.58 6501715.542 145359.334 6501723.603 145355.948 6501718.505 145344.158 6501766.864 145323.108 6501769.345 145322.028 6501776.126 145319.077 6501800.324 145377.448 6501826.479 145440.544 6501818.885 145443.297 6501818.541 145443.422 6501806.315 145447.853 6501798.944 145450.525 6501769.17 145461.317 6501767.267 145456.917 6501740.508 145468.156 6501731.713 145471.85</gml:posList>
            </gml:LinearRing>
          </gml:exterior>
          <gml:interior>
            <gml:LinearRing>
              <gml:posList>6501710.038 145482.672 6501713.622 145483.338 6501716.627 145481.274 6501717.293 145477.691 6501715.23 145474.686 6501711.646 145474.02 6501708.641 145476.083 6501707.975 145479.667 6501710.038 145482.672</gml:posList>
            </gml:LinearRing>
          </gml:interior>
        </gml:Polygon>
      </lmg:Position>
    </lmg:Ytgeometri>
    <objektreferens>670fd07d-39d9-47e5-8691-88a037dd4bb8</objektreferens>
    <Indelning>
      <tema>Motiv till detaljplanens regleringar</tema>
      <grupp>Motiv till reglering</grupp>
    </Indelning>
  </Omfattning>
  <Omfattning>
    <identitet>be_kvartersmark04</identitet>
    <Indelning>
      <tema>Beskrivning av detaljplanen</tema>
      <grupp>Kvartersmark</grupp>
    </Indelning>
  </Omfattning>
  <Omfattning>
    <identitet>mo_motivtillreglering02</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a6b10485-43ea-4478-ae61-98c44c265b3b_f0">
          <gml:exterior>
            <gml:LinearRing>
              <gml:posList>6501731.713 145471.85 6501722.098 145475.888 6501725.682 145484.439 6501747.978 145537.63 6501755.925 145556.588 6501753.062 145557.777 6501741.332 145562.651 6501731.7 145566.653 6501713.387 145574.261 6501704.164 145578.093 6501701.878 145579.043 6501698.206 145580.568 6501679.486 145588.346 6501678.048 145584.886 6501641.885 145497.911 6501672.34 145485.634 6501633.726 145393.696 6501696.251 145367.436 6501698.206 145366.615 6501714.955 145359.58 6501715.542 145359.334 6501723.603 145355.948 6501767.267 145456.917 6501740.508 145468.156 6501731.713 145471.85</gml:posList>
            </gml:LinearRing>
          </gml:exterior>
          <gml:interior>
            <gml:LinearRing>
              <gml:posList>6501710.038 145482.672 6501713.622 145483.338 6501716.627 145481.274 6501717.293 145477.691 6501715.23 145474.686 6501711.646 145474.02 6501708.641 145476.083 6501707.975 145479.667 6501710.038 145482.672</gml:posList>
            </gml:LinearRing>
          </gml:interior>
        </gml:Polygon>
      </lmg:Position>
    </lmg:Ytgeometri>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6501731.713 145471.85 6501722.098 145475.888 6501725.682 145484.439 6501747.978 145537.63 6501755.925 145556.588 6501753.062 145557.777 6501741.332 145562.651 6501731.7 145566.653 6501713.387 145574.261 6501704.164 145578.093 6501701.878 145579.043 6501698.206 145580.568 6501679.486 145588.346 6501678.048 145584.886 6501641.885 145497.911 6501672.34 145485.634 6501633.726 145393.696 6501696.251 145367.436 6501698.206 145366.615 6501714.955 145359.58 6501715.542 145359.334 6501723.603 145355.948 6501718.505 145344.158 6501766.864 145323.108 6501769.345 145322.028 6501776.126 145319.077 6501800.324 145377.448 6501826.479 145440.544 6501818.885 145443.297 6501818.541 145443.422 6501806.315 145447.853 6501798.944 145450.525 6501769.17 145461.317 6501767.267 145456.917 6501740.508 145468.156 6501731.713 145471.85</gml:posList>
            </gml:LinearRing>
          </gml:exterior>
          <gml:interior>
            <gml:LinearRing>
              <gml:posList>6501710.038 145482.672 6501713.622 145483.338 6501716.627 145481.274 6501717.293 145477.691 6501715.23 145474.686 6501711.646 145474.02 6501708.641 145476.083 6501707.975 145479.667 6501710.038 145482.672</gml:posList>
            </gml:LinearRing>
          </gml:interior>
        </gml:Polygon>
      </lmg:Position>
    </lmg:Ytgeometri>
    <objektreferens>a6b10485-43ea-4478-ae61-98c44c265b3b</objektreferens>
    <Indelning>
      <tema>Motiv till detaljplanens regleringar</tema>
      <grupp>Motiv till reglering</grupp>
    </Indelning>
  </Omfattning>
</Planbeskrivning>
</file>

<file path=customXml/itemProps1.xml><?xml version="1.0" encoding="utf-8"?>
<ds:datastoreItem xmlns:ds="http://schemas.openxmlformats.org/officeDocument/2006/customXml" ds:itemID="{aac14aaa-5a86-4806-a68b-d791982ede4d}">
  <ds:schemaRefs>
    <ds:schemaRef ds:uri="http://schemas.microsoft.com/vsto/samples"/>
  </ds:schemaRefs>
</ds:datastoreItem>
</file>

<file path=customXml/itemProps2.xml><?xml version="1.0" encoding="utf-8"?>
<ds:datastoreItem xmlns:ds="http://schemas.openxmlformats.org/officeDocument/2006/customXml" ds:itemID="{a631acbd-47d7-4660-a34b-89322b3337b0}">
  <ds:schemaRefs>
    <ds:schemaRef ds:uri="http://schemas.microsoft.com/vsto/samples"/>
  </ds:schemaRefs>
</ds:datastoreItem>
</file>

<file path=customXml/itemProps3.xml><?xml version="1.0" encoding="utf-8"?>
<ds:datastoreItem xmlns:ds="http://schemas.openxmlformats.org/officeDocument/2006/customXml" ds:itemID="{d8a60cea-3ccd-43fb-a57d-7d8270f18da2}">
  <ds:schemaRefs>
    <ds:schemaRef ds:uri="http://schemas.microsoft.com/vsto/samples"/>
  </ds:schemaRefs>
</ds:datastoreItem>
</file>

<file path=customXml/itemProps4.xml><?xml version="1.0" encoding="utf-8"?>
<ds:datastoreItem xmlns:ds="http://schemas.openxmlformats.org/officeDocument/2006/customXml" ds:itemID="{f8244d49-2897-4a10-a511-236fe352af3f}">
  <ds:schemaRefs>
    <ds:schemaRef ds:uri="http://schemas.microsoft.com/vsto/samples"/>
  </ds:schemaRefs>
</ds:datastoreItem>
</file>

<file path=customXml/itemProps5.xml><?xml version="1.0" encoding="utf-8"?>
<ds:datastoreItem xmlns:ds="http://schemas.openxmlformats.org/officeDocument/2006/customXml" ds:itemID="{679c15a0-a74f-495b-b2a0-bf1cb69defab}">
  <ds:schemaRefs>
    <ds:schemaRef ds:uri="http://schemas.microsoft.com/vsto/samples"/>
  </ds:schemaRefs>
</ds:datastoreItem>
</file>

<file path=customXml/itemProps6.xml><?xml version="1.0" encoding="utf-8"?>
<ds:datastoreItem xmlns:ds="http://schemas.openxmlformats.org/officeDocument/2006/customXml" ds:itemID="18993c98-9856-472e-8577-b4f0cfb44382">
  <ds:schemaRefs>
    <ds:schemaRef ds:uri="http://schemas.microsoft.com/vsto/samples"/>
  </ds:schemaRefs>
</ds:datastoreItem>
</file>

<file path=docProps/app.xml><?xml version="1.0" encoding="utf-8"?>
<Properties xmlns="http://schemas.openxmlformats.org/officeDocument/2006/extended-properties">
  <Application>GEOSECMA for ArcGIS</Application>
  <Company>Goliska IT</Company>
  <Template>Normal.dotm</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Max Nilsson</dc:creator>
  <dcterms:created xsi:type="dcterms:W3CDTF">2023-09-27T08:30:00Z</dcterms:created>
  <cp:lastModifiedBy>Tobias Svensson</cp:lastModifiedBy>
  <dcterms:modified xsi:type="dcterms:W3CDTF">2024-04-10T06:41:02Z</dcterms:modified>
  <cp:revision>20</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tentTypeId">
    <vt:lpwstr>0x010100820317652190424FB673AF7230E2E861</vt:lpwstr>
  </property>
  <property fmtid="{D5CDD505-2E9C-101B-9397-08002B2CF9AE}" pid="3" name="xd_Signature">
    <vt:bool>false</vt:bool>
  </property>
  <property fmtid="{D5CDD505-2E9C-101B-9397-08002B2CF9AE}" pid="4" name="GUID">
    <vt:lpwstr>0cfa04c9-e6fa-4615-beb3-e0b7ec94c8ac</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MSIP_Label_43f08ec5-d6d9-4227-8387-ccbfcb3632c4_Enabled">
    <vt:lpwstr>true</vt:lpwstr>
  </property>
  <property fmtid="{D5CDD505-2E9C-101B-9397-08002B2CF9AE}" pid="12" name="MSIP_Label_43f08ec5-d6d9-4227-8387-ccbfcb3632c4_SetDate">
    <vt:lpwstr>2023-09-21T15:11:12Z</vt:lpwstr>
  </property>
  <property fmtid="{D5CDD505-2E9C-101B-9397-08002B2CF9AE}" pid="13" name="MSIP_Label_43f08ec5-d6d9-4227-8387-ccbfcb3632c4_Method">
    <vt:lpwstr>Standard</vt:lpwstr>
  </property>
  <property fmtid="{D5CDD505-2E9C-101B-9397-08002B2CF9AE}" pid="14" name="MSIP_Label_43f08ec5-d6d9-4227-8387-ccbfcb3632c4_Name">
    <vt:lpwstr>Sweco Restricted</vt:lpwstr>
  </property>
  <property fmtid="{D5CDD505-2E9C-101B-9397-08002B2CF9AE}" pid="15" name="MSIP_Label_43f08ec5-d6d9-4227-8387-ccbfcb3632c4_SiteId">
    <vt:lpwstr>b7872ef0-9a00-4c18-8a4a-c7d25c778a9e</vt:lpwstr>
  </property>
  <property fmtid="{D5CDD505-2E9C-101B-9397-08002B2CF9AE}" pid="16" name="MSIP_Label_43f08ec5-d6d9-4227-8387-ccbfcb3632c4_ActionId">
    <vt:lpwstr>b63e3c27-bef7-45b6-9556-525d67efec01</vt:lpwstr>
  </property>
  <property fmtid="{D5CDD505-2E9C-101B-9397-08002B2CF9AE}" pid="17" name="MSIP_Label_43f08ec5-d6d9-4227-8387-ccbfcb3632c4_ContentBits">
    <vt:lpwstr>0</vt:lpwstr>
  </property>
</Properties>
</file>