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40" w:beforeAutospacing="0" w:afterAutospacing="0"/>
        <w:rPr>
          <w:rFonts w:ascii="Barlow Semi Condensed SemiBold" w:hAnsi="Barlow Semi Condensed SemiBold"/>
          <w:color w:val="007FA3"/>
          <w:sz w:val="68"/>
          <w:szCs w:val="68"/>
        </w:rPr>
      </w:pPr>
      <w:r>
        <w:rPr>
          <w:rFonts w:ascii="Barlow Semi Condensed SemiBold" w:hAnsi="Barlow Semi Condensed SemiBold"/>
          <w:color w:val="007FA3"/>
          <w:sz w:val="68"/>
          <w:szCs w:val="68"/>
        </w:rPr>
        <w:t>Planbeskrivning</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Detaljplan för</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Hyvelspånet 3, Björkelund,</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Motala kommun, Östergötlands län</w:t>
      </w:r>
    </w:p>
    <w:p>
      <w:pPr>
        <w:rPr>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noProof w:val="1"/>
          <w:sz w:val="22"/>
          <w:lang w:eastAsia="sv-SE"/>
        </w:rPr>
      </w:pPr>
    </w:p>
    <w:p>
      <w:pPr>
        <w:rPr>
          <w:noProof w:val="1"/>
          <w:sz w:val="22"/>
          <w:lang w:eastAsia="sv-SE"/>
        </w:rPr>
      </w:pPr>
    </w:p>
    <w:p>
      <w:pPr>
        <w:spacing w:lineRule="auto" w:line="240" w:beforeAutospacing="0" w:afterAutospacing="0"/>
        <w:rPr>
          <w:rFonts w:ascii="Barlow Semi Condensed SemiBold" w:hAnsi="Barlow Semi Condensed SemiBold"/>
          <w:color w:val="007FA3"/>
          <w:sz w:val="56"/>
          <w:szCs w:val="68"/>
        </w:rPr>
      </w:pPr>
      <w:r>
        <w:rPr>
          <w:rFonts w:ascii="Barlow Semi Condensed SemiBold" w:hAnsi="Barlow Semi Condensed SemiBold"/>
          <w:color w:val="007FA3"/>
          <w:sz w:val="56"/>
          <w:szCs w:val="68"/>
        </w:rPr>
        <w:t>ANTAGANDEHANDLING</w:t>
      </w:r>
    </w:p>
    <w:tbl>
      <w:tblPr>
        <w:tblStyle w:val="T2"/>
        <w:tblpPr w:leftFromText="141" w:rightFromText="141" w:tblpX="1" w:tblpY="110" w:horzAnchor="margin" w:vertAnchor="text" w:tblpXSpec="left"/>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Ärendenummer</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SB-2023-17</w:t>
            </w:r>
          </w:p>
        </w:tc>
      </w:tr>
      <w:tr>
        <w:trPr>
          <w:trHeight w:hRule="atLeast" w:val="80"/>
        </w:trP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Planens beteckning</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DP 695</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Planförfarande</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Standardförfarande</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Lagstiftning</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Plan- och bygglagen (SFS 2010:900)</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Påbörjad</w:t>
            </w:r>
          </w:p>
        </w:tc>
        <w:tc>
          <w:tcPr>
            <w:tcW w:w="3402" w:type="dxa"/>
          </w:tcPr>
          <w:p>
            <w:pPr>
              <w:spacing w:lineRule="auto" w:line="240" w:beforeAutospacing="0" w:afterAutospacing="0"/>
              <w:rPr>
                <w:rFonts w:asciiTheme="minorHAnsi" w:hAnsiTheme="minorHAnsi"/>
                <w:sz w:val="16"/>
              </w:rPr>
            </w:pPr>
            <w:r>
              <w:rPr>
                <w:rFonts w:asciiTheme="minorHAnsi" w:hAnsiTheme="minorHAnsi"/>
                <w:color w:val="000000" w:themeColor="text1"/>
                <w:sz w:val="16"/>
              </w:rPr>
              <w:t>2023-11-15</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Antagen av SBN</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2024-12-11</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Laga kraft</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2025-01-09</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Genomförandetid</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5 år</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Datum för upprättande</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2023-11-15</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Datum för senaste revidering</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2024-11-21</w:t>
            </w:r>
          </w:p>
        </w:tc>
      </w:tr>
    </w:tbl>
    <w:p/>
    <w:p/>
    <w:p/>
    <w:p/>
    <w:p/>
    <w:p/>
    <w:p/>
    <w:p/>
    <w:p>
      <w:pPr>
        <w:spacing w:lineRule="auto" w:line="240" w:beforeAutospacing="0" w:afterAutospacing="0"/>
        <w:rPr>
          <w:rFonts w:asciiTheme="minorHAnsi" w:hAnsiTheme="minorHAnsi"/>
          <w:sz w:val="22"/>
        </w:rPr>
      </w:pPr>
    </w:p>
    <w:p>
      <w:pPr>
        <w:spacing w:lineRule="auto" w:line="240" w:beforeAutospacing="0" w:afterAutospacing="0"/>
        <w:rPr>
          <w:rFonts w:asciiTheme="minorHAnsi" w:hAnsiTheme="minorHAnsi"/>
          <w:sz w:val="22"/>
        </w:rPr>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8" w:right="1418" w:top="2268" w:bottom="2268" w:header="1134" w:footer="907" w:gutter="0"/>
          <w:cols w:equalWidth="1" w:space="720"/>
          <w:noEndnote/>
        </w:sectPr>
      </w:pPr>
    </w:p>
    <w:p>
      <w:pPr>
        <w:pStyle w:val="P1"/>
        <w:numPr>
          <w:ilvl w:val="0"/>
          <w:numId w:val="0"/>
        </w:numPr>
        <w:tabs>
          <w:tab w:val="left" w:pos="8456" w:leader="none"/>
        </w:tabs>
        <w:ind w:firstLine="0" w:left="0"/>
      </w:pPr>
      <w:bookmarkStart w:id="0" w:name="_Toc174446948"/>
      <w:r>
        <w:t>Plankarta</w:t>
      </w:r>
      <w:bookmarkEnd w:id="0"/>
      <w:r>
        <w:t xml:space="preserve"> </w:t>
      </w:r>
    </w:p>
    <w:p>
      <w:pPr>
        <w:ind w:right="-1134"/>
        <w:rPr>
          <w:noProof w:val="1"/>
        </w:rPr>
      </w:pPr>
      <w:r>
        <w:t>(ej skalenlig)</w:t>
      </w:r>
      <w:r>
        <w:rPr>
          <w:noProof w:val="1"/>
        </w:rPr>
        <w:t xml:space="preserve"> </w:t>
      </w:r>
    </w:p>
    <w:p>
      <w:pPr>
        <w:ind w:right="-1134"/>
        <w:rPr>
          <w:noProof w:val="1"/>
        </w:rPr>
      </w:pPr>
      <w:r>
        <w:rPr>
          <w:noProof w:val="1"/>
        </w:rPr>
        <w:drawing>
          <wp:anchor xmlns:wp="http://schemas.openxmlformats.org/drawingml/2006/wordprocessingDrawing" distT="0" distB="0" distL="114300" distR="114300" simplePos="0" relativeHeight="24" behindDoc="0" locked="0" layoutInCell="1" allowOverlap="1">
            <wp:simplePos x="0" y="0"/>
            <wp:positionH relativeFrom="margin">
              <wp:align>right</wp:align>
            </wp:positionH>
            <wp:positionV relativeFrom="paragraph">
              <wp:posOffset>244475</wp:posOffset>
            </wp:positionV>
            <wp:extent cx="4983480" cy="3200400"/>
            <wp:effectExtent l="0" t="0" r="7620" b="0"/>
            <wp:wrapTopAndBottom/>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dpi="0">
                    <a:blip xmlns:r="http://schemas.openxmlformats.org/officeDocument/2006/relationships" r:embed="Relimage4" cstate="print"/>
                    <a:srcRect/>
                    <a:stretch>
                      <a:fillRect/>
                    </a:stretch>
                  </pic:blipFill>
                  <pic:spPr>
                    <a:xfrm>
                      <a:off x="0" y="0"/>
                      <a:ext cx="4983480" cy="3200400"/>
                    </a:xfrm>
                    <a:prstGeom prst="rect"/>
                  </pic:spPr>
                </pic:pic>
              </a:graphicData>
            </a:graphic>
          </wp:anchor>
        </w:drawing>
      </w:r>
    </w:p>
    <w:p>
      <w:pPr>
        <w:ind w:right="-1134"/>
        <w:rPr>
          <w:noProof w:val="1"/>
        </w:rPr>
        <w:sectPr>
          <w:headerReference xmlns:r="http://schemas.openxmlformats.org/officeDocument/2006/relationships" w:type="first" r:id="RelHdr3"/>
          <w:headerReference xmlns:r="http://schemas.openxmlformats.org/officeDocument/2006/relationships" w:type="default" r:id="RelHdr4"/>
          <w:footerReference xmlns:r="http://schemas.openxmlformats.org/officeDocument/2006/relationships" w:type="default" r:id="RelFtr3"/>
          <w:footnotePr/>
          <w:endnotePr/>
          <w:type w:val="nextPage"/>
          <w:pgSz w:w="11906" w:h="16838" w:code="0"/>
          <w:pgMar w:left="1985" w:right="1985" w:top="1985" w:bottom="1985" w:header="737" w:footer="227" w:gutter="0"/>
          <w:cols w:equalWidth="1" w:space="847"/>
          <w:noEndnote/>
          <w:titlePg w:val="1"/>
        </w:sectPr>
      </w:pPr>
      <w:r>
        <w:br w:type="page"/>
      </w:r>
    </w:p>
    <w:p>
      <w:pPr>
        <w:pStyle w:val="P1"/>
        <w:numPr>
          <w:ilvl w:val="0"/>
          <w:numId w:val="0"/>
        </w:numPr>
        <w:ind w:hanging="431" w:left="431"/>
      </w:pPr>
      <w:bookmarkStart w:id="1" w:name="_Toc174446949"/>
      <w:r>
        <w:drawing>
          <wp:anchor xmlns:wp="http://schemas.openxmlformats.org/drawingml/2006/wordprocessingDrawing" distT="0" distB="0" distL="114300" distR="114300" simplePos="0" relativeHeight="25" behindDoc="0" locked="0" layoutInCell="1" allowOverlap="1">
            <wp:simplePos x="0" y="0"/>
            <wp:positionH relativeFrom="margin">
              <wp:align>center</wp:align>
            </wp:positionH>
            <wp:positionV relativeFrom="paragraph">
              <wp:posOffset>568325</wp:posOffset>
            </wp:positionV>
            <wp:extent cx="3724275" cy="7039610"/>
            <wp:effectExtent l="0" t="0" r="9525" b="0"/>
            <wp:wrapTopAndBottom/>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pic:cNvPicPr/>
                  </pic:nvPicPr>
                  <pic:blipFill dpi="0">
                    <a:blip xmlns:r="http://schemas.openxmlformats.org/officeDocument/2006/relationships" r:embed="Relimage5"/>
                    <a:srcRect/>
                    <a:stretch>
                      <a:fillRect/>
                    </a:stretch>
                  </pic:blipFill>
                  <pic:spPr>
                    <a:xfrm>
                      <a:off x="0" y="0"/>
                      <a:ext cx="3724795" cy="7039958"/>
                    </a:xfrm>
                    <a:prstGeom prst="rect"/>
                  </pic:spPr>
                </pic:pic>
              </a:graphicData>
            </a:graphic>
          </wp:anchor>
        </w:drawing>
      </w:r>
      <w:r>
        <w:t>Planbestämmelselista</w:t>
      </w:r>
      <w:bookmarkEnd w:id="1"/>
      <w:r>
        <w:t xml:space="preserve"> </w:t>
      </w:r>
    </w:p>
    <w:p>
      <w:r>
        <w:rPr>
          <w:noProof w:val="1"/>
        </w:rPr>
        <mc:AlternateContent>
          <mc:Choice Requires="wps">
            <w:drawing>
              <wp:anchor xmlns:wp="http://schemas.openxmlformats.org/drawingml/2006/wordprocessingDrawing" distT="45720" distB="45720" distL="114300" distR="114300" simplePos="0" relativeHeight="23" behindDoc="0" locked="0" layoutInCell="1" allowOverlap="1">
                <wp:simplePos x="0" y="0"/>
                <wp:positionH relativeFrom="column">
                  <wp:posOffset>2985135</wp:posOffset>
                </wp:positionH>
                <wp:positionV relativeFrom="paragraph">
                  <wp:posOffset>6857365</wp:posOffset>
                </wp:positionV>
                <wp:extent cx="1581785" cy="763270"/>
                <wp:effectExtent l="0" t="0" r="0" b="0"/>
                <wp:wrapSquare wrapText="bothSides"/>
                <wp:docPr id="23" name="Textruta 2"/>
                <wp:cNvGraphicFramePr/>
                <a:graphic xmlns:a="http://schemas.openxmlformats.org/drawingml/2006/main">
                  <a:graphicData uri="http://schemas.microsoft.com/office/word/2010/wordprocessingShape">
                    <wps:wsp>
                      <wps:cNvSpPr txBox="1">
                        <a:spLocks noChangeArrowheads="1"/>
                      </wps:cNvSpPr>
                      <wps:spPr bwMode="auto">
                        <a:xfrm>
                          <a:off x="0" y="0"/>
                          <a:ext cx="1581785" cy="763270"/>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5" style="position:absolute;width:124.55pt;height:60.1pt;z-index:23;mso-wrap-distance-left:9pt;mso-wrap-distance-top:3.6pt;mso-wrap-distance-right:9pt;mso-wrap-distance-bottom:3.6pt;margin-left:235.05pt;margin-top:539.95pt;mso-position-horizontal:absolute;mso-position-horizontal-relative:text;mso-position-vertical:absolute;mso-position-vertical-relative:text" o:allowincell="t" fillcolor="#FFFFFF" strokeweight="0.75pt" stroked="f">
                <v:textbox inset="3mm,1mm,3mm,1mm">
                  <w:txbxContent>
                    <w:p/>
                  </w:txbxContent>
                </v:textbox>
                <w10:wrap type="square"/>
              </v:shape>
            </w:pict>
          </mc:Fallback>
        </mc:AlternateContent>
      </w:r>
    </w:p>
    <w:p>
      <w:pPr>
        <w:sectPr>
          <w:footnotePr/>
          <w:endnotePr/>
          <w:type w:val="nextPage"/>
          <w:pgSz w:w="11906" w:h="16838" w:code="0"/>
          <w:pgMar w:left="1985" w:right="1985" w:top="1985" w:bottom="1985" w:header="737" w:footer="227" w:gutter="0"/>
          <w:cols w:equalWidth="1" w:space="847"/>
          <w:noEndnote/>
          <w:titlePg w:val="1"/>
        </w:sectPr>
      </w:pPr>
    </w:p>
    <w:tbl>
      <w:tblPr>
        <w:tblStyle w:val="T2"/>
        <w:tblW w:w="4600" w:type="pct"/>
        <w:jc w:val="center"/>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left w:w="0" w:type="dxa"/>
          <w:right w:w="0" w:type="dxa"/>
        </w:tblCellMar>
        <w:tblLook w:val="04A0"/>
      </w:tblPr>
      <w:tblGrid/>
      <w:tr>
        <w:trPr>
          <w:trHeight w:hRule="atLeast" w:val="397"/>
          <w:jc w:val="center"/>
        </w:trPr>
        <w:tc>
          <w:tcPr>
            <w:tcW w:w="835" w:type="pct"/>
            <w:vAlign w:val="center"/>
          </w:tcPr>
          <w:p>
            <w:pPr>
              <w:pStyle w:val="P24"/>
              <w:spacing w:after="0" w:beforeAutospacing="0" w:afterAutospacing="0"/>
              <w:jc w:val="center"/>
              <w:rPr>
                <w:rFonts w:asciiTheme="minorHAnsi" w:hAnsiTheme="minorHAnsi"/>
                <w:b w:val="1"/>
                <w:sz w:val="18"/>
                <w:szCs w:val="24"/>
              </w:rPr>
            </w:pPr>
          </w:p>
        </w:tc>
        <w:tc>
          <w:tcPr>
            <w:tcW w:w="833" w:type="pct"/>
            <w:tcBorders>
              <w:bottom w:val="dashed" w:sz="4" w:space="0" w:shadow="0" w:frame="0" w:color="007FA3" w:themeColor="accent1"/>
            </w:tcBorders>
            <w:shd w:val="clear" w:color="auto" w:fill="FFFFFF" w:themeFill="background1"/>
            <w:vAlign w:val="center"/>
          </w:tcPr>
          <w:p>
            <w:pPr>
              <w:jc w:val="center"/>
              <w:rPr>
                <w:rFonts w:asciiTheme="minorHAnsi" w:hAnsiTheme="minorHAnsi"/>
                <w:sz w:val="18"/>
                <w:szCs w:val="24"/>
              </w:rPr>
            </w:pPr>
          </w:p>
        </w:tc>
        <w:tc>
          <w:tcPr>
            <w:tcW w:w="833" w:type="pct"/>
            <w:tcBorders>
              <w:bottom w:val="single" w:sz="4" w:space="0" w:shadow="0" w:frame="0" w:color="007FA3"/>
            </w:tcBorders>
            <w:shd w:val="clear" w:color="auto" w:fill="FFFFFF" w:themeFill="background1"/>
            <w:vAlign w:val="center"/>
          </w:tcPr>
          <w:p>
            <w:pPr>
              <w:jc w:val="center"/>
              <w:rPr>
                <w:rFonts w:asciiTheme="minorHAnsi" w:hAnsiTheme="minorHAnsi"/>
                <w:sz w:val="18"/>
                <w:szCs w:val="24"/>
              </w:rPr>
            </w:pPr>
          </w:p>
        </w:tc>
        <w:tc>
          <w:tcPr>
            <w:tcW w:w="833" w:type="pct"/>
            <w:tcBorders>
              <w:bottom w:val="single" w:sz="4" w:space="0" w:shadow="0" w:frame="0" w:color="007FA3"/>
            </w:tcBorders>
            <w:shd w:val="clear" w:color="auto" w:fill="FFFFFF" w:themeFill="background1"/>
            <w:vAlign w:val="center"/>
          </w:tcPr>
          <w:p>
            <w:pPr>
              <w:tabs>
                <w:tab w:val="left" w:pos="1635" w:leader="none"/>
              </w:tabs>
              <w:jc w:val="center"/>
              <w:rPr>
                <w:rFonts w:asciiTheme="minorHAnsi" w:hAnsiTheme="minorHAnsi"/>
                <w:sz w:val="18"/>
                <w:szCs w:val="24"/>
              </w:rPr>
            </w:pPr>
          </w:p>
        </w:tc>
        <w:tc>
          <w:tcPr>
            <w:tcW w:w="833" w:type="pct"/>
            <w:tcBorders>
              <w:bottom w:val="single" w:sz="4" w:space="0" w:shadow="0" w:frame="0" w:color="007FA3" w:themeColor="accent1"/>
            </w:tcBorders>
            <w:vAlign w:val="center"/>
          </w:tcPr>
          <w:p>
            <w:pPr>
              <w:jc w:val="center"/>
              <w:rPr>
                <w:rFonts w:asciiTheme="minorHAnsi" w:hAnsiTheme="minorHAnsi"/>
                <w:sz w:val="18"/>
                <w:szCs w:val="24"/>
              </w:rPr>
            </w:pPr>
            <w:r>
              <w:rPr>
                <w:rFonts w:asciiTheme="minorHAnsi" w:hAnsiTheme="minorHAnsi"/>
                <w:sz w:val="18"/>
                <w:szCs w:val="24"/>
              </w:rPr>
              <w:t>Här är vi nu</w:t>
            </w:r>
          </w:p>
        </w:tc>
        <w:tc>
          <w:tcPr>
            <w:tcW w:w="833" w:type="pct"/>
            <w:vAlign w:val="center"/>
          </w:tcPr>
          <w:p>
            <w:pPr>
              <w:jc w:val="center"/>
              <w:rPr>
                <w:rFonts w:asciiTheme="minorHAnsi" w:hAnsiTheme="minorHAnsi"/>
                <w:sz w:val="18"/>
                <w:szCs w:val="24"/>
              </w:rPr>
            </w:pPr>
          </w:p>
        </w:tc>
      </w:tr>
      <w:tr>
        <w:trPr>
          <w:trHeight w:hRule="atLeast" w:val="765"/>
          <w:jc w:val="center"/>
        </w:trPr>
        <w:tc>
          <w:tcPr>
            <w:tcW w:w="835" w:type="pct"/>
            <w:tcBorders>
              <w:right w:val="dashed" w:sz="4" w:space="0" w:shadow="0" w:frame="0" w:color="007FA3" w:themeColor="accent1"/>
            </w:tcBorders>
            <w:shd w:val="clear" w:color="auto" w:fill="auto"/>
            <w:vAlign w:val="center"/>
          </w:tcPr>
          <w:p>
            <w:pPr>
              <w:pStyle w:val="P24"/>
              <w:spacing w:after="0" w:beforeAutospacing="0" w:afterAutospacing="0"/>
              <w:jc w:val="center"/>
              <w:rPr>
                <w:rFonts w:ascii="Barlow Semi Condensed" w:hAnsi="Barlow Semi Condensed"/>
                <w:szCs w:val="24"/>
              </w:rPr>
            </w:pPr>
            <w:r>
              <w:rPr>
                <w:rFonts w:ascii="Barlow Semi Condensed" w:hAnsi="Barlow Semi Condensed"/>
                <w:szCs w:val="24"/>
              </w:rPr>
              <w:t>Uppdrag</w:t>
            </w:r>
          </w:p>
        </w:tc>
        <w:tc>
          <w:tcPr>
            <w:tcW w:w="833" w:type="pct"/>
            <w:tcBorders>
              <w:top w:val="dashed" w:sz="4" w:space="0" w:shadow="0" w:frame="0" w:color="007FA3" w:themeColor="accent1"/>
              <w:left w:val="dashed" w:sz="4" w:space="0" w:shadow="0" w:frame="0" w:color="007FA3" w:themeColor="accent1"/>
              <w:bottom w:val="dashed" w:sz="4" w:space="0" w:shadow="0" w:frame="0" w:color="007FA3" w:themeColor="accent1"/>
              <w:right w:val="single" w:sz="4" w:space="0" w:shadow="0" w:frame="0" w:color="007FA3"/>
            </w:tcBorders>
            <w:shd w:val="clear" w:color="auto" w:fill="F2F2F2" w:themeFill="background1" w:themeFillShade="F2"/>
            <w:vAlign w:val="center"/>
          </w:tcPr>
          <w:p>
            <w:pPr>
              <w:jc w:val="center"/>
              <w:rPr>
                <w:rFonts w:ascii="Barlow Semi Condensed" w:hAnsi="Barlow Semi Condensed"/>
                <w:color w:val="FFFFFF" w:themeColor="background1"/>
                <w:szCs w:val="24"/>
              </w:rPr>
            </w:pPr>
            <w:r>
              <w:rPr>
                <w:rFonts w:ascii="Barlow Semi Condensed" w:hAnsi="Barlow Semi Condensed"/>
                <w:szCs w:val="24"/>
              </w:rPr>
              <w:t>Program</w:t>
            </w:r>
          </w:p>
        </w:tc>
        <w:tc>
          <w:tcPr>
            <w:tcW w:w="833" w:type="pct"/>
            <w:tcBorders>
              <w:top w:val="single" w:sz="4" w:space="0" w:shadow="0" w:frame="0" w:color="007FA3"/>
              <w:left w:val="single" w:sz="4" w:space="0" w:shadow="0" w:frame="0" w:color="007FA3"/>
              <w:bottom w:val="single" w:sz="4" w:space="0" w:shadow="0" w:frame="0" w:color="007FA3"/>
              <w:right w:val="single" w:sz="4" w:space="0" w:shadow="0" w:frame="0" w:color="007FA3"/>
            </w:tcBorders>
            <w:shd w:val="clear" w:color="auto" w:fill="F2F2F2" w:themeFill="background1" w:themeFillShade="F2"/>
            <w:vAlign w:val="center"/>
          </w:tcPr>
          <w:p>
            <w:pPr>
              <w:jc w:val="center"/>
              <w:rPr>
                <w:rFonts w:ascii="Barlow Semi Condensed" w:hAnsi="Barlow Semi Condensed"/>
                <w:szCs w:val="24"/>
              </w:rPr>
            </w:pPr>
            <w:r>
              <w:rPr>
                <w:rFonts w:ascii="Barlow Semi Condensed" w:hAnsi="Barlow Semi Condensed"/>
                <w:szCs w:val="24"/>
              </w:rPr>
              <w:t>Samråd</w:t>
            </w:r>
          </w:p>
        </w:tc>
        <w:tc>
          <w:tcPr>
            <w:tcW w:w="833" w:type="pct"/>
            <w:tcBorders>
              <w:top w:val="single" w:sz="4" w:space="0" w:shadow="0" w:frame="0" w:color="007FA3"/>
              <w:left w:val="single" w:sz="4" w:space="0" w:shadow="0" w:frame="0" w:color="007FA3"/>
              <w:bottom w:val="single" w:sz="4" w:space="0" w:shadow="0" w:frame="0" w:color="007FA3"/>
              <w:right w:val="single" w:sz="4" w:space="0" w:shadow="0" w:frame="0" w:color="007FA3"/>
            </w:tcBorders>
            <w:shd w:val="clear" w:color="auto" w:fill="F2F2F2" w:themeFill="background1" w:themeFillShade="F2"/>
            <w:vAlign w:val="center"/>
          </w:tcPr>
          <w:p>
            <w:pPr>
              <w:tabs>
                <w:tab w:val="left" w:pos="1635" w:leader="none"/>
              </w:tabs>
              <w:jc w:val="center"/>
              <w:rPr>
                <w:rFonts w:ascii="Barlow Semi Condensed" w:hAnsi="Barlow Semi Condensed"/>
                <w:szCs w:val="24"/>
              </w:rPr>
            </w:pPr>
            <w:r>
              <w:rPr>
                <w:rFonts w:ascii="Barlow Semi Condensed" w:hAnsi="Barlow Semi Condensed"/>
                <w:szCs w:val="24"/>
              </w:rPr>
              <w:t>Granskning</w:t>
            </w:r>
          </w:p>
        </w:tc>
        <w:tc>
          <w:tcPr>
            <w:tcW w:w="833" w:type="pct"/>
            <w:tcBorders>
              <w:top w:val="single" w:sz="4" w:space="0" w:shadow="0" w:frame="0" w:color="007FA3" w:themeColor="accent1"/>
              <w:left w:val="single" w:sz="4" w:space="0" w:shadow="0" w:frame="0" w:color="007FA3"/>
              <w:bottom w:val="single" w:sz="4" w:space="0" w:shadow="0" w:frame="0" w:color="007FA3" w:themeColor="accent1"/>
              <w:right w:val="single" w:sz="4" w:space="0" w:shadow="0" w:frame="0" w:color="007FA3"/>
            </w:tcBorders>
            <w:shd w:val="clear" w:color="auto" w:fill="237D99"/>
            <w:vAlign w:val="center"/>
          </w:tcPr>
          <w:p>
            <w:pPr>
              <w:tabs>
                <w:tab w:val="left" w:pos="1635" w:leader="none"/>
              </w:tabs>
              <w:jc w:val="center"/>
              <w:rPr>
                <w:rFonts w:ascii="Barlow Semi Condensed" w:hAnsi="Barlow Semi Condensed"/>
                <w:szCs w:val="24"/>
              </w:rPr>
            </w:pPr>
            <w:r>
              <w:rPr>
                <w:rFonts w:ascii="Barlow Semi Condensed" w:hAnsi="Barlow Semi Condensed"/>
                <w:color w:val="FFFFFF" w:themeColor="background1"/>
                <w:szCs w:val="24"/>
              </w:rPr>
              <w:t>Antagande</w:t>
            </w:r>
          </w:p>
        </w:tc>
        <w:tc>
          <w:tcPr>
            <w:tcW w:w="833" w:type="pct"/>
            <w:tcBorders>
              <w:left w:val="single" w:sz="4" w:space="0" w:shadow="0" w:frame="0" w:color="007FA3"/>
            </w:tcBorders>
            <w:shd w:val="clear" w:color="auto" w:fill="auto"/>
            <w:vAlign w:val="center"/>
          </w:tcPr>
          <w:p>
            <w:pPr>
              <w:jc w:val="center"/>
              <w:rPr>
                <w:rFonts w:ascii="Barlow Semi Condensed" w:hAnsi="Barlow Semi Condensed"/>
                <w:szCs w:val="24"/>
              </w:rPr>
            </w:pPr>
            <w:r>
              <w:rPr>
                <w:rFonts w:ascii="Barlow Semi Condensed" w:hAnsi="Barlow Semi Condensed"/>
                <w:szCs w:val="24"/>
              </w:rPr>
              <w:t>Laga kraft</w:t>
            </w:r>
          </w:p>
        </w:tc>
      </w:tr>
    </w:tbl>
    <w:p>
      <w:pPr>
        <w:rPr>
          <w:rFonts w:cs="Arial"/>
          <w:sz w:val="20"/>
          <w:szCs w:val="20"/>
        </w:rPr>
      </w:pPr>
      <w:r>
        <w:rPr>
          <w:noProof w:val="1"/>
          <w:lang w:eastAsia="sv-SE"/>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margin">
                  <wp:posOffset>147955</wp:posOffset>
                </wp:positionH>
                <wp:positionV relativeFrom="paragraph">
                  <wp:posOffset>107950</wp:posOffset>
                </wp:positionV>
                <wp:extent cx="4676775" cy="0"/>
                <wp:effectExtent l="0" t="0" r="28575" b="19050"/>
                <wp:wrapNone/>
                <wp:docPr id="15" name="Rak koppling 15"/>
                <wp:cNvGraphicFramePr/>
                <a:graphic xmlns:a="http://schemas.openxmlformats.org/drawingml/2006/main">
                  <a:graphicData uri="http://schemas.microsoft.com/office/word/2010/wordprocessingShape">
                    <wps:wsp>
                      <wps:cNvCnPr>
                        <a:stCxn id="0" idx="0"/>
                        <a:endCxn id="0" idx="0"/>
                      </wps:cNvCnPr>
                      <wps:spPr>
                        <a:xfrm>
                          <a:off x="0" y="0"/>
                          <a:ext cx="4676775" cy="0"/>
                        </a:xfrm>
                        <a:prstGeom prst="line"/>
                        <a:ln w="9525">
                          <a:solidFill>
                            <a:srgbClr val="007FA3"/>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5" o:spid="_x0000_s1036" style="position:absolute;z-index:3;mso-wrap-distance-left:9pt;mso-wrap-distance-top:0pt;mso-wrap-distance-right:9pt;mso-wrap-distance-bottom:0pt;mso-position-horizontal:absolute;mso-position-horizontal-relative:margin;mso-position-vertical:absolute;mso-position-vertical-relative:text" strokecolor="#007FA3" strokeweight="0.75pt" stroked="t" o:allowincell="t" from="11.65pt,8.5pt" to="379.9pt,8.5pt"/>
            </w:pict>
          </mc:Fallback>
        </mc:AlternateContent>
      </w:r>
    </w:p>
    <w:p>
      <w:pPr>
        <w:rPr>
          <w:rFonts w:cs="Arial"/>
          <w:sz w:val="20"/>
          <w:szCs w:val="20"/>
        </w:rPr>
      </w:pPr>
    </w:p>
    <w:tbl>
      <w:tblPr>
        <w:tblStyle w:val="T2"/>
        <w:tblW w:w="850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Uppdrag</w:t>
            </w:r>
          </w:p>
        </w:tc>
        <w:tc>
          <w:tcPr>
            <w:tcW w:w="6237" w:type="dxa"/>
          </w:tcPr>
          <w:p>
            <w:pPr>
              <w:rPr>
                <w:rFonts w:cs="Arial"/>
                <w:bCs w:val="1"/>
                <w:sz w:val="20"/>
                <w:szCs w:val="18"/>
              </w:rPr>
            </w:pPr>
            <w:r>
              <w:rPr>
                <w:rFonts w:cs="Arial"/>
                <w:bCs w:val="1"/>
                <w:sz w:val="20"/>
                <w:szCs w:val="18"/>
              </w:rPr>
              <w:t>- Kommunstyrelsen eller samhällsbyggnadsnämnden ger planenheten i uppdrag att inleda ett planarbete.</w:t>
            </w:r>
          </w:p>
          <w:p>
            <w:pPr>
              <w:rPr>
                <w:b w:val="1"/>
                <w:szCs w:val="24"/>
              </w:rPr>
            </w:pPr>
          </w:p>
        </w:tc>
      </w:tr>
      <w:tr>
        <w:tc>
          <w:tcPr>
            <w:tcW w:w="2267" w:type="dxa"/>
          </w:tcPr>
          <w:p>
            <w:pPr>
              <w:pStyle w:val="P24"/>
              <w:spacing w:after="0" w:beforeAutospacing="0" w:afterAutospacing="0"/>
              <w:jc w:val="center"/>
              <w:rPr>
                <w:rFonts w:ascii="Barlow Semi Condensed" w:hAnsi="Barlow Semi Condensed"/>
                <w:szCs w:val="24"/>
              </w:rPr>
            </w:pPr>
            <w:r>
              <w:rPr>
                <w:rFonts w:ascii="Barlow Semi Condensed" w:hAnsi="Barlow Semi Condensed"/>
                <w:szCs w:val="24"/>
              </w:rPr>
              <w:t>Program</w:t>
            </w:r>
          </w:p>
        </w:tc>
        <w:tc>
          <w:tcPr>
            <w:tcW w:w="6237" w:type="dxa"/>
          </w:tcPr>
          <w:p>
            <w:pPr>
              <w:rPr>
                <w:rFonts w:cs="Arial"/>
                <w:bCs w:val="1"/>
                <w:sz w:val="20"/>
                <w:szCs w:val="18"/>
              </w:rPr>
            </w:pPr>
            <w:r>
              <w:rPr>
                <w:rFonts w:cs="Arial"/>
                <w:bCs w:val="1"/>
                <w:sz w:val="20"/>
                <w:szCs w:val="18"/>
              </w:rPr>
              <w:t>- Kommunstyrelsen eller samhällsbyggnadsnämnden ger planenheten i uppdrag att inleda ett planprogram.</w:t>
            </w:r>
            <w:r>
              <w:t xml:space="preserve"> </w:t>
            </w:r>
            <w:r>
              <w:rPr>
                <w:rFonts w:cs="Arial"/>
                <w:bCs w:val="1"/>
                <w:sz w:val="20"/>
                <w:szCs w:val="18"/>
              </w:rPr>
              <w:t>Programmet innehåller övergripande</w:t>
            </w:r>
            <w:r>
              <w:t xml:space="preserve"> </w:t>
            </w:r>
            <w:r>
              <w:rPr>
                <w:rFonts w:cs="Arial"/>
                <w:bCs w:val="1"/>
                <w:sz w:val="20"/>
                <w:szCs w:val="18"/>
              </w:rPr>
              <w:t>utgångspunkter och mål som utgör underlag för följande detaljplanearbeten inom programområdets avgränsning. Samråd kring programmet genomförs. Programmet godkänns av kommunstyrelsen.</w:t>
            </w:r>
          </w:p>
          <w:p>
            <w:pPr>
              <w:rPr>
                <w:rFonts w:cs="Arial"/>
                <w:bCs w:val="1"/>
                <w:sz w:val="20"/>
                <w:szCs w:val="18"/>
              </w:rPr>
            </w:pPr>
          </w:p>
        </w:tc>
      </w:tr>
      <w:tr>
        <w:tc>
          <w:tcPr>
            <w:tcW w:w="2267" w:type="dxa"/>
          </w:tcPr>
          <w:p>
            <w:pPr>
              <w:pStyle w:val="P24"/>
              <w:spacing w:after="0" w:beforeAutospacing="0" w:afterAutospacing="0"/>
              <w:jc w:val="center"/>
              <w:rPr>
                <w:szCs w:val="24"/>
              </w:rPr>
            </w:pPr>
            <w:r>
              <w:rPr>
                <w:rFonts w:ascii="Barlow Semi Condensed" w:hAnsi="Barlow Semi Condensed"/>
                <w:szCs w:val="24"/>
              </w:rPr>
              <w:t>Samråd</w:t>
            </w:r>
          </w:p>
        </w:tc>
        <w:tc>
          <w:tcPr>
            <w:tcW w:w="6237" w:type="dxa"/>
          </w:tcPr>
          <w:p>
            <w:pPr>
              <w:pStyle w:val="P24"/>
              <w:spacing w:after="0" w:beforeAutospacing="0" w:afterAutospacing="0"/>
              <w:rPr>
                <w:rFonts w:cs="Arial"/>
                <w:color w:val="000000" w:themeColor="text1"/>
                <w:sz w:val="20"/>
                <w:szCs w:val="18"/>
              </w:rPr>
            </w:pPr>
            <w:r>
              <w:rPr>
                <w:rFonts w:cs="Arial"/>
                <w:color w:val="000000" w:themeColor="text1"/>
                <w:sz w:val="20"/>
                <w:szCs w:val="18"/>
              </w:rPr>
              <w:t>- Förslag till detaljplan upprättas. Myndigheter, sakägare och andra berörda ges möjlighet att lämna synpunkter.</w:t>
            </w:r>
          </w:p>
          <w:p>
            <w:pPr>
              <w:pStyle w:val="P24"/>
              <w:spacing w:after="0" w:beforeAutospacing="0" w:afterAutospacing="0"/>
              <w:rPr>
                <w:color w:val="000000" w:themeColor="text1"/>
                <w:szCs w:val="24"/>
              </w:rPr>
            </w:pPr>
          </w:p>
        </w:tc>
      </w:tr>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Mellan samråd och granskning</w:t>
            </w:r>
          </w:p>
        </w:tc>
        <w:tc>
          <w:tcPr>
            <w:tcW w:w="6237" w:type="dxa"/>
          </w:tcPr>
          <w:p>
            <w:pPr>
              <w:pStyle w:val="P24"/>
              <w:spacing w:after="0" w:beforeAutospacing="0" w:afterAutospacing="0"/>
              <w:rPr>
                <w:rFonts w:cs="Arial"/>
                <w:sz w:val="20"/>
                <w:szCs w:val="18"/>
              </w:rPr>
            </w:pPr>
            <w:r>
              <w:rPr>
                <w:rFonts w:cs="Arial"/>
                <w:sz w:val="20"/>
                <w:szCs w:val="18"/>
              </w:rPr>
              <w:t>- Inkomna synpunkter sammanställs i ett förslag till granskningsutlåtande. Detaljplanen bearbetas eventuellt med</w:t>
            </w:r>
            <w:r>
              <w:rPr>
                <w:rFonts w:cs="Arial"/>
                <w:b w:val="1"/>
                <w:sz w:val="20"/>
                <w:szCs w:val="18"/>
              </w:rPr>
              <w:t xml:space="preserve"> </w:t>
            </w:r>
            <w:r>
              <w:rPr>
                <w:rFonts w:cs="Arial"/>
                <w:sz w:val="20"/>
                <w:szCs w:val="18"/>
              </w:rPr>
              <w:t>hänsyn till inkomna synpunkter.</w:t>
            </w:r>
          </w:p>
          <w:p>
            <w:pPr>
              <w:pStyle w:val="P24"/>
              <w:spacing w:after="0" w:beforeAutospacing="0" w:afterAutospacing="0"/>
              <w:rPr>
                <w:b w:val="1"/>
                <w:szCs w:val="24"/>
              </w:rPr>
            </w:pPr>
          </w:p>
        </w:tc>
      </w:tr>
      <w:tr>
        <w:tc>
          <w:tcPr>
            <w:tcW w:w="2267" w:type="dxa"/>
          </w:tcPr>
          <w:p>
            <w:pPr>
              <w:pStyle w:val="P24"/>
              <w:spacing w:after="0" w:beforeAutospacing="0" w:afterAutospacing="0"/>
              <w:jc w:val="center"/>
              <w:rPr>
                <w:szCs w:val="24"/>
              </w:rPr>
            </w:pPr>
            <w:r>
              <w:rPr>
                <w:rFonts w:ascii="Barlow Semi Condensed" w:hAnsi="Barlow Semi Condensed"/>
                <w:szCs w:val="24"/>
              </w:rPr>
              <w:t>Granskning</w:t>
            </w:r>
          </w:p>
        </w:tc>
        <w:tc>
          <w:tcPr>
            <w:tcW w:w="6237" w:type="dxa"/>
          </w:tcPr>
          <w:p>
            <w:pPr>
              <w:pStyle w:val="P24"/>
              <w:spacing w:after="0" w:beforeAutospacing="0" w:afterAutospacing="0"/>
              <w:rPr>
                <w:rFonts w:cs="Arial"/>
                <w:bCs w:val="1"/>
                <w:iCs w:val="1"/>
                <w:sz w:val="20"/>
                <w:szCs w:val="28"/>
              </w:rPr>
            </w:pPr>
            <w:r>
              <w:rPr>
                <w:rFonts w:cs="Arial"/>
                <w:sz w:val="20"/>
                <w:szCs w:val="18"/>
              </w:rPr>
              <w:t xml:space="preserve">- Det bearbetade förslaget till detaljplan ställs ut för granskning. Myndigheter, sakägare och andra berörda ges åter möjlighet att lämna synpunkter. </w:t>
            </w:r>
            <w:r>
              <w:rPr>
                <w:rFonts w:cs="Arial"/>
                <w:bCs w:val="1"/>
                <w:iCs w:val="1"/>
                <w:sz w:val="20"/>
                <w:szCs w:val="28"/>
              </w:rPr>
              <w:t>Därefter färdigställs ett granskningsutlåtande.</w:t>
            </w:r>
          </w:p>
          <w:p>
            <w:pPr>
              <w:pStyle w:val="P24"/>
              <w:spacing w:after="0" w:beforeAutospacing="0" w:afterAutospacing="0"/>
              <w:rPr>
                <w:szCs w:val="24"/>
              </w:rPr>
            </w:pPr>
          </w:p>
        </w:tc>
      </w:tr>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Antagande</w:t>
            </w:r>
          </w:p>
        </w:tc>
        <w:tc>
          <w:tcPr>
            <w:tcW w:w="6237" w:type="dxa"/>
          </w:tcPr>
          <w:p>
            <w:pPr>
              <w:pStyle w:val="P24"/>
              <w:spacing w:after="0" w:beforeAutospacing="0" w:afterAutospacing="0"/>
              <w:rPr>
                <w:rFonts w:cs="Arial"/>
                <w:sz w:val="20"/>
                <w:szCs w:val="18"/>
              </w:rPr>
            </w:pPr>
            <w:r>
              <w:rPr>
                <w:rFonts w:cs="Arial"/>
                <w:sz w:val="20"/>
                <w:szCs w:val="18"/>
              </w:rPr>
              <w:t>- Kommunfullmäktige eller samhällsbyggnadsnämnden antar detaljplanen.</w:t>
            </w:r>
          </w:p>
          <w:p>
            <w:pPr>
              <w:pStyle w:val="P24"/>
              <w:spacing w:after="0" w:beforeAutospacing="0" w:afterAutospacing="0"/>
              <w:rPr>
                <w:b w:val="1"/>
                <w:szCs w:val="24"/>
              </w:rPr>
            </w:pPr>
          </w:p>
        </w:tc>
      </w:tr>
      <w:tr>
        <w:tc>
          <w:tcPr>
            <w:tcW w:w="2267" w:type="dxa"/>
          </w:tcPr>
          <w:p>
            <w:pPr>
              <w:pStyle w:val="P24"/>
              <w:spacing w:after="0" w:beforeAutospacing="0" w:afterAutospacing="0"/>
              <w:jc w:val="center"/>
              <w:rPr>
                <w:szCs w:val="24"/>
              </w:rPr>
            </w:pPr>
            <w:r>
              <w:rPr>
                <w:rFonts w:ascii="Barlow Semi Condensed" w:hAnsi="Barlow Semi Condensed"/>
                <w:szCs w:val="24"/>
              </w:rPr>
              <w:t>Laga kraft</w:t>
            </w:r>
          </w:p>
        </w:tc>
        <w:tc>
          <w:tcPr>
            <w:tcW w:w="6237" w:type="dxa"/>
          </w:tcPr>
          <w:p>
            <w:pPr>
              <w:rPr>
                <w:rFonts w:cs="Arial"/>
                <w:sz w:val="20"/>
                <w:szCs w:val="20"/>
              </w:rPr>
            </w:pPr>
            <w:r>
              <w:rPr>
                <w:rFonts w:cs="Arial"/>
                <w:sz w:val="20"/>
                <w:szCs w:val="20"/>
              </w:rPr>
              <w:t>- Om ingen överklagar förslaget till detaljplan så vinner detaljplanen laga kraft cirka fyra veckor efter antagandet. Endast skriftliga synpunkter som inte blivit tillgodosedda kan ligga till grund för ett överklagande.</w:t>
            </w:r>
          </w:p>
          <w:p>
            <w:pPr>
              <w:rPr>
                <w:rFonts w:cs="Arial"/>
                <w:sz w:val="20"/>
                <w:szCs w:val="20"/>
              </w:rPr>
            </w:pPr>
          </w:p>
        </w:tc>
      </w:tr>
    </w:tbl>
    <w:p>
      <w:pPr>
        <w:spacing w:lineRule="auto" w:line="240" w:beforeAutospacing="0" w:afterAutospacing="0"/>
      </w:pPr>
    </w:p>
    <w:p>
      <w:pPr>
        <w:spacing w:lineRule="auto" w:line="240" w:beforeAutospacing="0" w:afterAutospacing="0"/>
      </w:pPr>
      <w:r>
        <w:br w:type="page"/>
      </w:r>
    </w:p>
    <w:p>
      <w:pPr>
        <w:pStyle w:val="P1"/>
        <w:numPr>
          <w:ilvl w:val="0"/>
          <w:numId w:val="0"/>
        </w:numPr>
        <w:ind w:firstLine="0" w:left="432"/>
      </w:pPr>
      <w:bookmarkStart w:id="2" w:name="_Toc174446950"/>
      <w:r>
        <w:t>Innehåll</w:t>
      </w:r>
      <w:bookmarkEnd w:id="2"/>
    </w:p>
    <w:p>
      <w:pPr>
        <w:pStyle w:val="P53"/>
        <w:tabs>
          <w:tab w:val="right" w:pos="7926" w:leader="dot"/>
        </w:tabs>
        <w:rPr>
          <w:rFonts w:asciiTheme="minorHAnsi" w:hAnsiTheme="minorHAnsi" w:eastAsiaTheme="minorEastAsia"/>
          <w:noProof w:val="1"/>
          <w:lang w:eastAsia="sv-SE"/>
        </w:rPr>
      </w:pPr>
      <w:r>
        <w:fldChar w:fldCharType="begin"/>
      </w:r>
      <w:r>
        <w:instrText xml:space="preserve"> TOC \o "1-3" \h \z \u </w:instrText>
      </w:r>
      <w:r>
        <w:fldChar w:fldCharType="separate"/>
      </w:r>
    </w:p>
    <w:p>
      <w:pPr>
        <w:pStyle w:val="P53"/>
        <w:tabs>
          <w:tab w:val="left" w:pos="500" w:leader="none"/>
          <w:tab w:val="right" w:pos="7926" w:leader="dot"/>
        </w:tabs>
        <w:rPr>
          <w:rFonts w:asciiTheme="minorHAnsi" w:hAnsiTheme="minorHAnsi" w:eastAsiaTheme="minorEastAsia"/>
          <w:noProof w:val="1"/>
          <w:lang w:eastAsia="sv-SE"/>
        </w:rPr>
      </w:pPr>
      <w:hyperlink w:anchor="_Toc174446951">
        <w:r>
          <w:rPr>
            <w:rStyle w:val="C2"/>
            <w:noProof w:val="1"/>
          </w:rPr>
          <w:t>1</w:t>
        </w:r>
        <w:r>
          <w:rPr>
            <w:rFonts w:asciiTheme="minorHAnsi" w:hAnsiTheme="minorHAnsi" w:eastAsiaTheme="minorEastAsia"/>
            <w:noProof w:val="1"/>
            <w:lang w:eastAsia="sv-SE"/>
          </w:rPr>
          <w:tab/>
        </w:r>
        <w:r>
          <w:rPr>
            <w:rStyle w:val="C2"/>
            <w:noProof w:val="1"/>
          </w:rPr>
          <w:t>Detaljplanens syfte</w:t>
        </w:r>
        <w:r>
          <w:rPr>
            <w:noProof w:val="1"/>
          </w:rPr>
          <w:tab/>
        </w:r>
        <w:r>
          <w:rPr>
            <w:noProof w:val="1"/>
          </w:rPr>
          <w:fldChar w:fldCharType="begin"/>
        </w:r>
        <w:r>
          <w:rPr>
            <w:noProof w:val="1"/>
          </w:rPr>
          <w:instrText xml:space="preserve"> PAGEREF _Toc174446951 \h </w:instrText>
        </w:r>
        <w:r>
          <w:rPr>
            <w:noProof w:val="1"/>
          </w:rPr>
          <w:fldChar w:fldCharType="separate"/>
        </w:r>
        <w:r>
          <w:rPr>
            <w:noProof w:val="1"/>
          </w:rPr>
          <w:t>8</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52">
        <w:r>
          <w:rPr>
            <w:rStyle w:val="C2"/>
            <w:noProof w:val="1"/>
          </w:rPr>
          <w:t>1.1</w:t>
        </w:r>
        <w:r>
          <w:rPr>
            <w:rFonts w:asciiTheme="minorHAnsi" w:hAnsiTheme="minorHAnsi" w:eastAsiaTheme="minorEastAsia"/>
            <w:noProof w:val="1"/>
            <w:lang w:eastAsia="sv-SE"/>
          </w:rPr>
          <w:tab/>
        </w:r>
        <w:r>
          <w:rPr>
            <w:rStyle w:val="C2"/>
            <w:noProof w:val="1"/>
          </w:rPr>
          <w:t>Syfte</w:t>
        </w:r>
        <w:r>
          <w:rPr>
            <w:noProof w:val="1"/>
          </w:rPr>
          <w:tab/>
        </w:r>
        <w:r>
          <w:rPr>
            <w:noProof w:val="1"/>
          </w:rPr>
          <w:fldChar w:fldCharType="begin"/>
        </w:r>
        <w:r>
          <w:rPr>
            <w:noProof w:val="1"/>
          </w:rPr>
          <w:instrText xml:space="preserve"> PAGEREF _Toc174446952 \h </w:instrText>
        </w:r>
        <w:r>
          <w:rPr>
            <w:noProof w:val="1"/>
          </w:rPr>
          <w:fldChar w:fldCharType="separate"/>
        </w:r>
        <w:r>
          <w:rPr>
            <w:noProof w:val="1"/>
          </w:rPr>
          <w:t>8</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6953">
        <w:r>
          <w:rPr>
            <w:rStyle w:val="C2"/>
            <w:noProof w:val="1"/>
          </w:rPr>
          <w:t>2</w:t>
        </w:r>
        <w:r>
          <w:rPr>
            <w:rFonts w:asciiTheme="minorHAnsi" w:hAnsiTheme="minorHAnsi" w:eastAsiaTheme="minorEastAsia"/>
            <w:noProof w:val="1"/>
            <w:lang w:eastAsia="sv-SE"/>
          </w:rPr>
          <w:tab/>
        </w:r>
        <w:r>
          <w:rPr>
            <w:rStyle w:val="C2"/>
            <w:noProof w:val="1"/>
          </w:rPr>
          <w:t>Beskrivning av detaljplanen</w:t>
        </w:r>
        <w:r>
          <w:rPr>
            <w:noProof w:val="1"/>
          </w:rPr>
          <w:tab/>
        </w:r>
        <w:r>
          <w:rPr>
            <w:noProof w:val="1"/>
          </w:rPr>
          <w:fldChar w:fldCharType="begin"/>
        </w:r>
        <w:r>
          <w:rPr>
            <w:noProof w:val="1"/>
          </w:rPr>
          <w:instrText xml:space="preserve"> PAGEREF _Toc174446953 \h </w:instrText>
        </w:r>
        <w:r>
          <w:rPr>
            <w:noProof w:val="1"/>
          </w:rPr>
          <w:fldChar w:fldCharType="separate"/>
        </w:r>
        <w:r>
          <w:rPr>
            <w:noProof w:val="1"/>
          </w:rPr>
          <w:t>9</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54">
        <w:r>
          <w:rPr>
            <w:rStyle w:val="C2"/>
            <w:noProof w:val="1"/>
          </w:rPr>
          <w:t>2.1</w:t>
        </w:r>
        <w:r>
          <w:rPr>
            <w:rFonts w:asciiTheme="minorHAnsi" w:hAnsiTheme="minorHAnsi" w:eastAsiaTheme="minorEastAsia"/>
            <w:noProof w:val="1"/>
            <w:lang w:eastAsia="sv-SE"/>
          </w:rPr>
          <w:tab/>
        </w:r>
        <w:r>
          <w:rPr>
            <w:rStyle w:val="C2"/>
            <w:noProof w:val="1"/>
          </w:rPr>
          <w:t>Hela detaljplanen</w:t>
        </w:r>
        <w:r>
          <w:rPr>
            <w:noProof w:val="1"/>
          </w:rPr>
          <w:tab/>
        </w:r>
        <w:r>
          <w:rPr>
            <w:noProof w:val="1"/>
          </w:rPr>
          <w:fldChar w:fldCharType="begin"/>
        </w:r>
        <w:r>
          <w:rPr>
            <w:noProof w:val="1"/>
          </w:rPr>
          <w:instrText xml:space="preserve"> PAGEREF _Toc174446954 \h </w:instrText>
        </w:r>
        <w:r>
          <w:rPr>
            <w:noProof w:val="1"/>
          </w:rPr>
          <w:fldChar w:fldCharType="separate"/>
        </w:r>
        <w:r>
          <w:rPr>
            <w:noProof w:val="1"/>
          </w:rPr>
          <w:t>9</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55">
        <w:r>
          <w:rPr>
            <w:rStyle w:val="C2"/>
            <w:noProof w:val="1"/>
          </w:rPr>
          <w:t>2.2</w:t>
        </w:r>
        <w:r>
          <w:rPr>
            <w:rFonts w:asciiTheme="minorHAnsi" w:hAnsiTheme="minorHAnsi" w:eastAsiaTheme="minorEastAsia"/>
            <w:noProof w:val="1"/>
            <w:lang w:eastAsia="sv-SE"/>
          </w:rPr>
          <w:tab/>
        </w:r>
        <w:r>
          <w:rPr>
            <w:rStyle w:val="C2"/>
            <w:noProof w:val="1"/>
          </w:rPr>
          <w:t>Ärendeinformation</w:t>
        </w:r>
        <w:r>
          <w:rPr>
            <w:noProof w:val="1"/>
          </w:rPr>
          <w:tab/>
        </w:r>
        <w:r>
          <w:rPr>
            <w:noProof w:val="1"/>
          </w:rPr>
          <w:fldChar w:fldCharType="begin"/>
        </w:r>
        <w:r>
          <w:rPr>
            <w:noProof w:val="1"/>
          </w:rPr>
          <w:instrText xml:space="preserve"> PAGEREF _Toc174446955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56">
        <w:r>
          <w:rPr>
            <w:rStyle w:val="C2"/>
            <w:noProof w:val="1"/>
          </w:rPr>
          <w:t>2.3</w:t>
        </w:r>
        <w:r>
          <w:rPr>
            <w:rFonts w:asciiTheme="minorHAnsi" w:hAnsiTheme="minorHAnsi" w:eastAsiaTheme="minorEastAsia"/>
            <w:noProof w:val="1"/>
            <w:lang w:eastAsia="sv-SE"/>
          </w:rPr>
          <w:tab/>
        </w:r>
        <w:r>
          <w:rPr>
            <w:rStyle w:val="C2"/>
            <w:noProof w:val="1"/>
          </w:rPr>
          <w:t>Motiv till planförfarande</w:t>
        </w:r>
        <w:r>
          <w:rPr>
            <w:noProof w:val="1"/>
          </w:rPr>
          <w:tab/>
        </w:r>
        <w:r>
          <w:rPr>
            <w:noProof w:val="1"/>
          </w:rPr>
          <w:fldChar w:fldCharType="begin"/>
        </w:r>
        <w:r>
          <w:rPr>
            <w:noProof w:val="1"/>
          </w:rPr>
          <w:instrText xml:space="preserve"> PAGEREF _Toc174446956 \h </w:instrText>
        </w:r>
        <w:r>
          <w:rPr>
            <w:noProof w:val="1"/>
          </w:rPr>
          <w:fldChar w:fldCharType="separate"/>
        </w:r>
        <w:r>
          <w:rPr>
            <w:noProof w:val="1"/>
          </w:rPr>
          <w:t>11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57">
        <w:r>
          <w:rPr>
            <w:rStyle w:val="C2"/>
            <w:noProof w:val="1"/>
          </w:rPr>
          <w:t>2.4</w:t>
        </w:r>
        <w:r>
          <w:rPr>
            <w:rFonts w:asciiTheme="minorHAnsi" w:hAnsiTheme="minorHAnsi" w:eastAsiaTheme="minorEastAsia"/>
            <w:noProof w:val="1"/>
            <w:lang w:eastAsia="sv-SE"/>
          </w:rPr>
          <w:tab/>
        </w:r>
        <w:r>
          <w:rPr>
            <w:rStyle w:val="C2"/>
            <w:noProof w:val="1"/>
          </w:rPr>
          <w:t>Motiv till antagandebeslut</w:t>
        </w:r>
        <w:r>
          <w:rPr>
            <w:noProof w:val="1"/>
          </w:rPr>
          <w:tab/>
        </w:r>
        <w:r>
          <w:rPr>
            <w:noProof w:val="1"/>
          </w:rPr>
          <w:fldChar w:fldCharType="begin"/>
        </w:r>
        <w:r>
          <w:rPr>
            <w:noProof w:val="1"/>
          </w:rPr>
          <w:instrText xml:space="preserve"> PAGEREF _Toc174446957 \h </w:instrText>
        </w:r>
        <w:r>
          <w:rPr>
            <w:noProof w:val="1"/>
          </w:rPr>
          <w:fldChar w:fldCharType="separate"/>
        </w:r>
        <w:r>
          <w:rPr>
            <w:noProof w:val="1"/>
          </w:rPr>
          <w:t>11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58">
        <w:r>
          <w:rPr>
            <w:rStyle w:val="C2"/>
            <w:noProof w:val="1"/>
          </w:rPr>
          <w:t>2.5</w:t>
        </w:r>
        <w:r>
          <w:rPr>
            <w:rFonts w:asciiTheme="minorHAnsi" w:hAnsiTheme="minorHAnsi" w:eastAsiaTheme="minorEastAsia"/>
            <w:noProof w:val="1"/>
            <w:lang w:eastAsia="sv-SE"/>
          </w:rPr>
          <w:tab/>
        </w:r>
        <w:r>
          <w:rPr>
            <w:rStyle w:val="C2"/>
            <w:noProof w:val="1"/>
          </w:rPr>
          <w:t>Lägesbestämning</w:t>
        </w:r>
        <w:r>
          <w:rPr>
            <w:noProof w:val="1"/>
          </w:rPr>
          <w:tab/>
        </w:r>
        <w:r>
          <w:rPr>
            <w:noProof w:val="1"/>
          </w:rPr>
          <w:fldChar w:fldCharType="begin"/>
        </w:r>
        <w:r>
          <w:rPr>
            <w:noProof w:val="1"/>
          </w:rPr>
          <w:instrText xml:space="preserve"> PAGEREF _Toc174446958 \h </w:instrText>
        </w:r>
        <w:r>
          <w:rPr>
            <w:noProof w:val="1"/>
          </w:rPr>
          <w:fldChar w:fldCharType="separate"/>
        </w:r>
        <w:r>
          <w:rPr>
            <w:noProof w:val="1"/>
          </w:rPr>
          <w:t>11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59">
        <w:r>
          <w:rPr>
            <w:rStyle w:val="C2"/>
            <w:noProof w:val="1"/>
          </w:rPr>
          <w:t>2.6</w:t>
        </w:r>
        <w:r>
          <w:rPr>
            <w:rFonts w:asciiTheme="minorHAnsi" w:hAnsiTheme="minorHAnsi" w:eastAsiaTheme="minorEastAsia"/>
            <w:noProof w:val="1"/>
            <w:lang w:eastAsia="sv-SE"/>
          </w:rPr>
          <w:tab/>
        </w:r>
        <w:r>
          <w:rPr>
            <w:rStyle w:val="C2"/>
            <w:noProof w:val="1"/>
          </w:rPr>
          <w:t>Befintlig miljö</w:t>
        </w:r>
        <w:r>
          <w:rPr>
            <w:noProof w:val="1"/>
          </w:rPr>
          <w:tab/>
        </w:r>
        <w:r>
          <w:rPr>
            <w:noProof w:val="1"/>
          </w:rPr>
          <w:fldChar w:fldCharType="begin"/>
        </w:r>
        <w:r>
          <w:rPr>
            <w:noProof w:val="1"/>
          </w:rPr>
          <w:instrText xml:space="preserve"> PAGEREF _Toc174446959 \h </w:instrText>
        </w:r>
        <w:r>
          <w:rPr>
            <w:noProof w:val="1"/>
          </w:rPr>
          <w:fldChar w:fldCharType="separate"/>
        </w:r>
        <w:r>
          <w:rPr>
            <w:noProof w:val="1"/>
          </w:rPr>
          <w:t>12</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60">
        <w:r>
          <w:rPr>
            <w:rStyle w:val="C2"/>
            <w:noProof w:val="1"/>
          </w:rPr>
          <w:t>2.7</w:t>
        </w:r>
        <w:r>
          <w:rPr>
            <w:rFonts w:asciiTheme="minorHAnsi" w:hAnsiTheme="minorHAnsi" w:eastAsiaTheme="minorEastAsia"/>
            <w:noProof w:val="1"/>
            <w:lang w:eastAsia="sv-SE"/>
          </w:rPr>
          <w:tab/>
        </w:r>
        <w:r>
          <w:rPr>
            <w:rStyle w:val="C2"/>
            <w:noProof w:val="1"/>
          </w:rPr>
          <w:t>Allmän platsmark</w:t>
        </w:r>
        <w:r>
          <w:rPr>
            <w:noProof w:val="1"/>
          </w:rPr>
          <w:tab/>
        </w:r>
        <w:r>
          <w:rPr>
            <w:noProof w:val="1"/>
          </w:rPr>
          <w:fldChar w:fldCharType="begin"/>
        </w:r>
        <w:r>
          <w:rPr>
            <w:noProof w:val="1"/>
          </w:rPr>
          <w:instrText xml:space="preserve"> PAGEREF _Toc174446960 \h </w:instrText>
        </w:r>
        <w:r>
          <w:rPr>
            <w:noProof w:val="1"/>
          </w:rPr>
          <w:fldChar w:fldCharType="separate"/>
        </w:r>
        <w:r>
          <w:rPr>
            <w:noProof w:val="1"/>
          </w:rPr>
          <w:t>12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61">
        <w:r>
          <w:rPr>
            <w:rStyle w:val="C2"/>
            <w:noProof w:val="1"/>
          </w:rPr>
          <w:t>2.7.1</w:t>
        </w:r>
        <w:r>
          <w:rPr>
            <w:rFonts w:asciiTheme="minorHAnsi" w:hAnsiTheme="minorHAnsi" w:eastAsiaTheme="minorEastAsia"/>
            <w:noProof w:val="1"/>
            <w:lang w:eastAsia="sv-SE"/>
          </w:rPr>
          <w:tab/>
        </w:r>
        <w:r>
          <w:rPr>
            <w:rStyle w:val="C2"/>
            <w:noProof w:val="1"/>
          </w:rPr>
          <w:t>Huvudmannaskap</w:t>
        </w:r>
        <w:r>
          <w:rPr>
            <w:noProof w:val="1"/>
          </w:rPr>
          <w:tab/>
        </w:r>
        <w:r>
          <w:rPr>
            <w:noProof w:val="1"/>
          </w:rPr>
          <w:fldChar w:fldCharType="begin"/>
        </w:r>
        <w:r>
          <w:rPr>
            <w:noProof w:val="1"/>
          </w:rPr>
          <w:instrText xml:space="preserve"> PAGEREF _Toc174446961 \h </w:instrText>
        </w:r>
        <w:r>
          <w:rPr>
            <w:noProof w:val="1"/>
          </w:rPr>
          <w:fldChar w:fldCharType="separate"/>
        </w:r>
        <w:r>
          <w:rPr>
            <w:noProof w:val="1"/>
          </w:rPr>
          <w:t>12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62">
        <w:r>
          <w:rPr>
            <w:rStyle w:val="C2"/>
            <w:noProof w:val="1"/>
          </w:rPr>
          <w:t>2.8</w:t>
        </w:r>
        <w:r>
          <w:rPr>
            <w:rFonts w:asciiTheme="minorHAnsi" w:hAnsiTheme="minorHAnsi" w:eastAsiaTheme="minorEastAsia"/>
            <w:noProof w:val="1"/>
            <w:lang w:eastAsia="sv-SE"/>
          </w:rPr>
          <w:tab/>
        </w:r>
        <w:r>
          <w:rPr>
            <w:rStyle w:val="C2"/>
            <w:noProof w:val="1"/>
          </w:rPr>
          <w:t>Kvartersmark</w:t>
        </w:r>
        <w:r>
          <w:rPr>
            <w:noProof w:val="1"/>
          </w:rPr>
          <w:tab/>
        </w:r>
        <w:r>
          <w:rPr>
            <w:noProof w:val="1"/>
          </w:rPr>
          <w:fldChar w:fldCharType="begin"/>
        </w:r>
        <w:r>
          <w:rPr>
            <w:noProof w:val="1"/>
          </w:rPr>
          <w:instrText xml:space="preserve"> PAGEREF _Toc174446962 \h </w:instrText>
        </w:r>
        <w:r>
          <w:rPr>
            <w:noProof w:val="1"/>
          </w:rPr>
          <w:fldChar w:fldCharType="separate"/>
        </w:r>
        <w:r>
          <w:rPr>
            <w:noProof w:val="1"/>
          </w:rPr>
          <w:t>12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63">
        <w:r>
          <w:rPr>
            <w:rStyle w:val="C2"/>
            <w:noProof w:val="1"/>
          </w:rPr>
          <w:t>2.9</w:t>
        </w:r>
        <w:r>
          <w:rPr>
            <w:rFonts w:asciiTheme="minorHAnsi" w:hAnsiTheme="minorHAnsi" w:eastAsiaTheme="minorEastAsia"/>
            <w:noProof w:val="1"/>
            <w:lang w:eastAsia="sv-SE"/>
          </w:rPr>
          <w:tab/>
        </w:r>
        <w:r>
          <w:rPr>
            <w:rStyle w:val="C2"/>
            <w:noProof w:val="1"/>
          </w:rPr>
          <w:t>Vattenområde</w:t>
        </w:r>
        <w:r>
          <w:rPr>
            <w:noProof w:val="1"/>
          </w:rPr>
          <w:tab/>
        </w:r>
        <w:r>
          <w:rPr>
            <w:noProof w:val="1"/>
          </w:rPr>
          <w:fldChar w:fldCharType="begin"/>
        </w:r>
        <w:r>
          <w:rPr>
            <w:noProof w:val="1"/>
          </w:rPr>
          <w:instrText xml:space="preserve"> PAGEREF _Toc174446963 \h </w:instrText>
        </w:r>
        <w:r>
          <w:rPr>
            <w:noProof w:val="1"/>
          </w:rPr>
          <w:fldChar w:fldCharType="separate"/>
        </w:r>
        <w:r>
          <w:rPr>
            <w:noProof w:val="1"/>
          </w:rPr>
          <w:t>13</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64">
        <w:r>
          <w:rPr>
            <w:rStyle w:val="C2"/>
            <w:noProof w:val="1"/>
          </w:rPr>
          <w:t>2.10</w:t>
        </w:r>
        <w:r>
          <w:rPr>
            <w:rFonts w:asciiTheme="minorHAnsi" w:hAnsiTheme="minorHAnsi" w:eastAsiaTheme="minorEastAsia"/>
            <w:noProof w:val="1"/>
            <w:lang w:eastAsia="sv-SE"/>
          </w:rPr>
          <w:tab/>
        </w:r>
        <w:r>
          <w:rPr>
            <w:rStyle w:val="C2"/>
            <w:noProof w:val="1"/>
          </w:rPr>
          <w:t>Genomförandetid</w:t>
        </w:r>
        <w:r>
          <w:rPr>
            <w:noProof w:val="1"/>
          </w:rPr>
          <w:tab/>
        </w:r>
        <w:r>
          <w:rPr>
            <w:noProof w:val="1"/>
          </w:rPr>
          <w:fldChar w:fldCharType="begin"/>
        </w:r>
        <w:r>
          <w:rPr>
            <w:noProof w:val="1"/>
          </w:rPr>
          <w:instrText xml:space="preserve"> PAGEREF _Toc174446964 \h </w:instrText>
        </w:r>
        <w:r>
          <w:rPr>
            <w:noProof w:val="1"/>
          </w:rPr>
          <w:fldChar w:fldCharType="separate"/>
        </w:r>
        <w:r>
          <w:rPr>
            <w:noProof w:val="1"/>
          </w:rPr>
          <w:t>13</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6965">
        <w:r>
          <w:rPr>
            <w:rStyle w:val="C2"/>
            <w:noProof w:val="1"/>
          </w:rPr>
          <w:t>3</w:t>
        </w:r>
        <w:r>
          <w:rPr>
            <w:rFonts w:asciiTheme="minorHAnsi" w:hAnsiTheme="minorHAnsi" w:eastAsiaTheme="minorEastAsia"/>
            <w:noProof w:val="1"/>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_Toc174446965 \h </w:instrText>
        </w:r>
        <w:r>
          <w:rPr>
            <w:noProof w:val="1"/>
          </w:rPr>
          <w:fldChar w:fldCharType="separate"/>
        </w:r>
        <w:r>
          <w:rPr>
            <w:noProof w:val="1"/>
          </w:rPr>
          <w:t>14</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66">
        <w:r>
          <w:rPr>
            <w:rStyle w:val="C2"/>
            <w:noProof w:val="1"/>
          </w:rPr>
          <w:t>3.1</w:t>
        </w:r>
        <w:r>
          <w:rPr>
            <w:rFonts w:asciiTheme="minorHAnsi" w:hAnsiTheme="minorHAnsi" w:eastAsiaTheme="minorEastAsia"/>
            <w:noProof w:val="1"/>
            <w:lang w:eastAsia="sv-SE"/>
          </w:rPr>
          <w:tab/>
        </w:r>
        <w:r>
          <w:rPr>
            <w:rStyle w:val="C2"/>
            <w:noProof w:val="1"/>
          </w:rPr>
          <w:t>Motiv till regleringar</w:t>
        </w:r>
        <w:r>
          <w:rPr>
            <w:noProof w:val="1"/>
          </w:rPr>
          <w:tab/>
        </w:r>
        <w:r>
          <w:rPr>
            <w:noProof w:val="1"/>
          </w:rPr>
          <w:fldChar w:fldCharType="begin"/>
        </w:r>
        <w:r>
          <w:rPr>
            <w:noProof w:val="1"/>
          </w:rPr>
          <w:instrText xml:space="preserve"> PAGEREF _Toc174446966 \h </w:instrText>
        </w:r>
        <w:r>
          <w:rPr>
            <w:noProof w:val="1"/>
          </w:rPr>
          <w:fldChar w:fldCharType="separate"/>
        </w:r>
        <w:r>
          <w:rPr>
            <w:noProof w:val="1"/>
          </w:rPr>
          <w:t>14</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67">
        <w:r>
          <w:rPr>
            <w:rStyle w:val="C2"/>
            <w:noProof w:val="1"/>
          </w:rPr>
          <w:t>3.1.1</w:t>
        </w:r>
        <w:r>
          <w:rPr>
            <w:rFonts w:asciiTheme="minorHAnsi" w:hAnsiTheme="minorHAnsi" w:eastAsiaTheme="minorEastAsia"/>
            <w:noProof w:val="1"/>
            <w:lang w:eastAsia="sv-SE"/>
          </w:rPr>
          <w:tab/>
        </w:r>
        <w:r>
          <w:rPr>
            <w:rStyle w:val="C2"/>
            <w:noProof w:val="1"/>
          </w:rPr>
          <w:t>Användning av kvartersmark</w:t>
        </w:r>
        <w:r>
          <w:rPr>
            <w:noProof w:val="1"/>
          </w:rPr>
          <w:tab/>
        </w:r>
        <w:r>
          <w:rPr>
            <w:noProof w:val="1"/>
          </w:rPr>
          <w:fldChar w:fldCharType="begin"/>
        </w:r>
        <w:r>
          <w:rPr>
            <w:noProof w:val="1"/>
          </w:rPr>
          <w:instrText xml:space="preserve"> PAGEREF _Toc174446967 \h </w:instrText>
        </w:r>
        <w:r>
          <w:rPr>
            <w:noProof w:val="1"/>
          </w:rPr>
          <w:fldChar w:fldCharType="separate"/>
        </w:r>
        <w:r>
          <w:rPr>
            <w:noProof w:val="1"/>
          </w:rPr>
          <w:t>14</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68">
        <w:r>
          <w:rPr>
            <w:rStyle w:val="C2"/>
            <w:noProof w:val="1"/>
          </w:rPr>
          <w:t>3.1.2</w:t>
        </w:r>
        <w:r>
          <w:rPr>
            <w:rFonts w:asciiTheme="minorHAnsi" w:hAnsiTheme="minorHAnsi" w:eastAsiaTheme="minorEastAsia"/>
            <w:noProof w:val="1"/>
            <w:lang w:eastAsia="sv-SE"/>
          </w:rPr>
          <w:tab/>
        </w:r>
        <w:r>
          <w:rPr>
            <w:rStyle w:val="C2"/>
            <w:noProof w:val="1"/>
          </w:rPr>
          <w:t>Egenskapsbestämmelser för kvartersmark</w:t>
        </w:r>
        <w:r>
          <w:rPr>
            <w:noProof w:val="1"/>
          </w:rPr>
          <w:tab/>
        </w:r>
        <w:r>
          <w:rPr>
            <w:noProof w:val="1"/>
          </w:rPr>
          <w:fldChar w:fldCharType="begin"/>
        </w:r>
        <w:r>
          <w:rPr>
            <w:noProof w:val="1"/>
          </w:rPr>
          <w:instrText xml:space="preserve"> PAGEREF _Toc174446968 \h </w:instrText>
        </w:r>
        <w:r>
          <w:rPr>
            <w:noProof w:val="1"/>
          </w:rPr>
          <w:fldChar w:fldCharType="separate"/>
        </w:r>
        <w:r>
          <w:rPr>
            <w:noProof w:val="1"/>
          </w:rPr>
          <w:t>14</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6969">
        <w:r>
          <w:rPr>
            <w:rStyle w:val="C2"/>
            <w:noProof w:val="1"/>
          </w:rPr>
          <w:t>4</w:t>
        </w:r>
        <w:r>
          <w:rPr>
            <w:rFonts w:asciiTheme="minorHAnsi" w:hAnsiTheme="minorHAnsi" w:eastAsiaTheme="minorEastAsia"/>
            <w:noProof w:val="1"/>
            <w:lang w:eastAsia="sv-SE"/>
          </w:rPr>
          <w:tab/>
        </w:r>
        <w:r>
          <w:rPr>
            <w:rStyle w:val="C2"/>
            <w:noProof w:val="1"/>
          </w:rPr>
          <w:t>Planeringsförutsättningar</w:t>
        </w:r>
        <w:r>
          <w:rPr>
            <w:noProof w:val="1"/>
          </w:rPr>
          <w:tab/>
        </w:r>
        <w:r>
          <w:rPr>
            <w:noProof w:val="1"/>
          </w:rPr>
          <w:fldChar w:fldCharType="begin"/>
        </w:r>
        <w:r>
          <w:rPr>
            <w:noProof w:val="1"/>
          </w:rPr>
          <w:instrText xml:space="preserve"> PAGEREF _Toc174446969 \h </w:instrText>
        </w:r>
        <w:r>
          <w:rPr>
            <w:noProof w:val="1"/>
          </w:rPr>
          <w:fldChar w:fldCharType="separate"/>
        </w:r>
        <w:r>
          <w:rPr>
            <w:noProof w:val="1"/>
          </w:rPr>
          <w:t>17</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70">
        <w:r>
          <w:rPr>
            <w:rStyle w:val="C2"/>
            <w:noProof w:val="1"/>
          </w:rPr>
          <w:t>4.1</w:t>
        </w:r>
        <w:r>
          <w:rPr>
            <w:rFonts w:asciiTheme="minorHAnsi" w:hAnsiTheme="minorHAnsi" w:eastAsiaTheme="minorEastAsia"/>
            <w:noProof w:val="1"/>
            <w:lang w:eastAsia="sv-SE"/>
          </w:rPr>
          <w:tab/>
        </w:r>
        <w:r>
          <w:rPr>
            <w:rStyle w:val="C2"/>
            <w:noProof w:val="1"/>
          </w:rPr>
          <w:t>Kommunala planeringsförutsättningar</w:t>
        </w:r>
        <w:r>
          <w:rPr>
            <w:noProof w:val="1"/>
          </w:rPr>
          <w:tab/>
        </w:r>
        <w:r>
          <w:rPr>
            <w:noProof w:val="1"/>
          </w:rPr>
          <w:fldChar w:fldCharType="begin"/>
        </w:r>
        <w:r>
          <w:rPr>
            <w:noProof w:val="1"/>
          </w:rPr>
          <w:instrText xml:space="preserve"> PAGEREF _Toc174446970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1">
        <w:r>
          <w:rPr>
            <w:rStyle w:val="C2"/>
            <w:noProof w:val="1"/>
          </w:rPr>
          <w:t>4.1.1</w:t>
        </w:r>
        <w:r>
          <w:rPr>
            <w:rFonts w:asciiTheme="minorHAnsi" w:hAnsiTheme="minorHAnsi" w:eastAsiaTheme="minorEastAsia"/>
            <w:noProof w:val="1"/>
            <w:lang w:eastAsia="sv-SE"/>
          </w:rPr>
          <w:tab/>
        </w:r>
        <w:r>
          <w:rPr>
            <w:rStyle w:val="C2"/>
            <w:noProof w:val="1"/>
          </w:rPr>
          <w:t>Översiktsplan</w:t>
        </w:r>
        <w:r>
          <w:rPr>
            <w:noProof w:val="1"/>
          </w:rPr>
          <w:tab/>
        </w:r>
        <w:r>
          <w:rPr>
            <w:noProof w:val="1"/>
          </w:rPr>
          <w:fldChar w:fldCharType="begin"/>
        </w:r>
        <w:r>
          <w:rPr>
            <w:noProof w:val="1"/>
          </w:rPr>
          <w:instrText xml:space="preserve"> PAGEREF _Toc174446971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2">
        <w:r>
          <w:rPr>
            <w:rStyle w:val="C2"/>
            <w:noProof w:val="1"/>
          </w:rPr>
          <w:t>4.1.2</w:t>
        </w:r>
        <w:r>
          <w:rPr>
            <w:rFonts w:asciiTheme="minorHAnsi" w:hAnsiTheme="minorHAnsi" w:eastAsiaTheme="minorEastAsia"/>
            <w:noProof w:val="1"/>
            <w:lang w:eastAsia="sv-SE"/>
          </w:rPr>
          <w:tab/>
        </w:r>
        <w:r>
          <w:rPr>
            <w:rStyle w:val="C2"/>
            <w:noProof w:val="1"/>
          </w:rPr>
          <w:t>Planprogram</w:t>
        </w:r>
        <w:r>
          <w:rPr>
            <w:noProof w:val="1"/>
          </w:rPr>
          <w:tab/>
        </w:r>
        <w:r>
          <w:rPr>
            <w:noProof w:val="1"/>
          </w:rPr>
          <w:fldChar w:fldCharType="begin"/>
        </w:r>
        <w:r>
          <w:rPr>
            <w:noProof w:val="1"/>
          </w:rPr>
          <w:instrText xml:space="preserve"> PAGEREF _Toc174446972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3">
        <w:r>
          <w:rPr>
            <w:rStyle w:val="C2"/>
            <w:noProof w:val="1"/>
          </w:rPr>
          <w:t>4.1.3</w:t>
        </w:r>
        <w:r>
          <w:rPr>
            <w:rFonts w:asciiTheme="minorHAnsi" w:hAnsiTheme="minorHAnsi" w:eastAsiaTheme="minorEastAsia"/>
            <w:noProof w:val="1"/>
            <w:lang w:eastAsia="sv-SE"/>
          </w:rPr>
          <w:tab/>
        </w:r>
        <w:r>
          <w:rPr>
            <w:rStyle w:val="C2"/>
            <w:noProof w:val="1"/>
          </w:rPr>
          <w:t>Detaljplan</w:t>
        </w:r>
        <w:r>
          <w:rPr>
            <w:noProof w:val="1"/>
          </w:rPr>
          <w:tab/>
        </w:r>
        <w:r>
          <w:rPr>
            <w:noProof w:val="1"/>
          </w:rPr>
          <w:fldChar w:fldCharType="begin"/>
        </w:r>
        <w:r>
          <w:rPr>
            <w:noProof w:val="1"/>
          </w:rPr>
          <w:instrText xml:space="preserve"> PAGEREF _Toc174446973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4">
        <w:r>
          <w:rPr>
            <w:rStyle w:val="C2"/>
            <w:noProof w:val="1"/>
          </w:rPr>
          <w:t>4.1.4</w:t>
        </w:r>
        <w:r>
          <w:rPr>
            <w:rFonts w:asciiTheme="minorHAnsi" w:hAnsiTheme="minorHAnsi" w:eastAsiaTheme="minorEastAsia"/>
            <w:noProof w:val="1"/>
            <w:lang w:eastAsia="sv-SE"/>
          </w:rPr>
          <w:tab/>
        </w:r>
        <w:r>
          <w:rPr>
            <w:rStyle w:val="C2"/>
            <w:noProof w:val="1"/>
          </w:rPr>
          <w:t>Planbesked</w:t>
        </w:r>
        <w:r>
          <w:rPr>
            <w:noProof w:val="1"/>
          </w:rPr>
          <w:tab/>
        </w:r>
        <w:r>
          <w:rPr>
            <w:noProof w:val="1"/>
          </w:rPr>
          <w:fldChar w:fldCharType="begin"/>
        </w:r>
        <w:r>
          <w:rPr>
            <w:noProof w:val="1"/>
          </w:rPr>
          <w:instrText xml:space="preserve"> PAGEREF _Toc174446974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5">
        <w:r>
          <w:rPr>
            <w:rStyle w:val="C2"/>
            <w:noProof w:val="1"/>
          </w:rPr>
          <w:t>4.1.5</w:t>
        </w:r>
        <w:r>
          <w:rPr>
            <w:rFonts w:asciiTheme="minorHAnsi" w:hAnsiTheme="minorHAnsi" w:eastAsiaTheme="minorEastAsia"/>
            <w:noProof w:val="1"/>
            <w:lang w:eastAsia="sv-SE"/>
          </w:rPr>
          <w:tab/>
        </w:r>
        <w:r>
          <w:rPr>
            <w:rStyle w:val="C2"/>
            <w:noProof w:val="1"/>
          </w:rPr>
          <w:t>Regionplan</w:t>
        </w:r>
        <w:r>
          <w:rPr>
            <w:noProof w:val="1"/>
          </w:rPr>
          <w:tab/>
        </w:r>
        <w:r>
          <w:rPr>
            <w:noProof w:val="1"/>
          </w:rPr>
          <w:fldChar w:fldCharType="begin"/>
        </w:r>
        <w:r>
          <w:rPr>
            <w:noProof w:val="1"/>
          </w:rPr>
          <w:instrText xml:space="preserve"> PAGEREF _Toc174446975 \h </w:instrText>
        </w:r>
        <w:r>
          <w:rPr>
            <w:noProof w:val="1"/>
          </w:rPr>
          <w:fldChar w:fldCharType="separate"/>
        </w:r>
        <w:r>
          <w:rPr>
            <w:noProof w:val="1"/>
          </w:rPr>
          <w:t>18</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76">
        <w:r>
          <w:rPr>
            <w:rStyle w:val="C2"/>
            <w:noProof w:val="1"/>
          </w:rPr>
          <w:t>4.2</w:t>
        </w:r>
        <w:r>
          <w:rPr>
            <w:rFonts w:asciiTheme="minorHAnsi" w:hAnsiTheme="minorHAnsi" w:eastAsiaTheme="minorEastAsia"/>
            <w:noProof w:val="1"/>
            <w:lang w:eastAsia="sv-SE"/>
          </w:rPr>
          <w:tab/>
        </w:r>
        <w:r>
          <w:rPr>
            <w:rStyle w:val="C2"/>
            <w:noProof w:val="1"/>
          </w:rPr>
          <w:t>Riksintressen</w:t>
        </w:r>
        <w:r>
          <w:rPr>
            <w:noProof w:val="1"/>
          </w:rPr>
          <w:tab/>
        </w:r>
        <w:r>
          <w:rPr>
            <w:noProof w:val="1"/>
          </w:rPr>
          <w:fldChar w:fldCharType="begin"/>
        </w:r>
        <w:r>
          <w:rPr>
            <w:noProof w:val="1"/>
          </w:rPr>
          <w:instrText xml:space="preserve"> PAGEREF _Toc174446976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7">
        <w:r>
          <w:rPr>
            <w:rStyle w:val="C2"/>
            <w:noProof w:val="1"/>
            <w:lang w:val="en-US"/>
          </w:rPr>
          <w:t>4.2.1</w:t>
        </w:r>
        <w:r>
          <w:rPr>
            <w:rFonts w:asciiTheme="minorHAnsi" w:hAnsiTheme="minorHAnsi" w:eastAsiaTheme="minorEastAsia"/>
            <w:noProof w:val="1"/>
            <w:lang w:eastAsia="sv-SE"/>
          </w:rPr>
          <w:tab/>
        </w:r>
        <w:r>
          <w:rPr>
            <w:rStyle w:val="C2"/>
            <w:noProof w:val="1"/>
          </w:rPr>
          <w:t>Friluftsliv</w:t>
        </w:r>
        <w:r>
          <w:rPr>
            <w:noProof w:val="1"/>
          </w:rPr>
          <w:tab/>
        </w:r>
        <w:r>
          <w:rPr>
            <w:noProof w:val="1"/>
          </w:rPr>
          <w:fldChar w:fldCharType="begin"/>
        </w:r>
        <w:r>
          <w:rPr>
            <w:noProof w:val="1"/>
          </w:rPr>
          <w:instrText xml:space="preserve"> PAGEREF _Toc174446977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8">
        <w:r>
          <w:rPr>
            <w:rStyle w:val="C2"/>
            <w:noProof w:val="1"/>
            <w:lang w:val="en-US"/>
          </w:rPr>
          <w:t>4.2.2</w:t>
        </w:r>
        <w:r>
          <w:rPr>
            <w:rFonts w:asciiTheme="minorHAnsi" w:hAnsiTheme="minorHAnsi" w:eastAsiaTheme="minorEastAsia"/>
            <w:noProof w:val="1"/>
            <w:lang w:eastAsia="sv-SE"/>
          </w:rPr>
          <w:tab/>
        </w:r>
        <w:r>
          <w:rPr>
            <w:rStyle w:val="C2"/>
            <w:noProof w:val="1"/>
          </w:rPr>
          <w:t>Kulturmiljövård</w:t>
        </w:r>
        <w:r>
          <w:rPr>
            <w:noProof w:val="1"/>
          </w:rPr>
          <w:tab/>
        </w:r>
        <w:r>
          <w:rPr>
            <w:noProof w:val="1"/>
          </w:rPr>
          <w:fldChar w:fldCharType="begin"/>
        </w:r>
        <w:r>
          <w:rPr>
            <w:noProof w:val="1"/>
          </w:rPr>
          <w:instrText xml:space="preserve"> PAGEREF _Toc174446978 \h </w:instrText>
        </w:r>
        <w:r>
          <w:rPr>
            <w:noProof w:val="1"/>
          </w:rPr>
          <w:fldChar w:fldCharType="separate"/>
        </w:r>
        <w:r>
          <w:rPr>
            <w:noProof w:val="1"/>
          </w:rPr>
          <w:t>19</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79">
        <w:r>
          <w:rPr>
            <w:rStyle w:val="C2"/>
            <w:noProof w:val="1"/>
            <w:lang w:val="en-US"/>
          </w:rPr>
          <w:t>4.2.3</w:t>
        </w:r>
        <w:r>
          <w:rPr>
            <w:rFonts w:asciiTheme="minorHAnsi" w:hAnsiTheme="minorHAnsi" w:eastAsiaTheme="minorEastAsia"/>
            <w:noProof w:val="1"/>
            <w:lang w:eastAsia="sv-SE"/>
          </w:rPr>
          <w:tab/>
        </w:r>
        <w:r>
          <w:rPr>
            <w:rStyle w:val="C2"/>
            <w:noProof w:val="1"/>
          </w:rPr>
          <w:t>Totalförsvar</w:t>
        </w:r>
        <w:r>
          <w:rPr>
            <w:noProof w:val="1"/>
          </w:rPr>
          <w:tab/>
        </w:r>
        <w:r>
          <w:rPr>
            <w:noProof w:val="1"/>
          </w:rPr>
          <w:fldChar w:fldCharType="begin"/>
        </w:r>
        <w:r>
          <w:rPr>
            <w:noProof w:val="1"/>
          </w:rPr>
          <w:instrText xml:space="preserve"> PAGEREF _Toc174446979 \h </w:instrText>
        </w:r>
        <w:r>
          <w:rPr>
            <w:noProof w:val="1"/>
          </w:rPr>
          <w:fldChar w:fldCharType="separate"/>
        </w:r>
        <w:r>
          <w:rPr>
            <w:noProof w:val="1"/>
          </w:rPr>
          <w:t>19</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80">
        <w:r>
          <w:rPr>
            <w:rStyle w:val="C2"/>
            <w:noProof w:val="1"/>
          </w:rPr>
          <w:t>4.3</w:t>
        </w:r>
        <w:r>
          <w:rPr>
            <w:rFonts w:asciiTheme="minorHAnsi" w:hAnsiTheme="minorHAnsi" w:eastAsiaTheme="minorEastAsia"/>
            <w:noProof w:val="1"/>
            <w:lang w:eastAsia="sv-SE"/>
          </w:rPr>
          <w:tab/>
        </w:r>
        <w:r>
          <w:rPr>
            <w:rStyle w:val="C2"/>
            <w:noProof w:val="1"/>
          </w:rPr>
          <w:t>Miljökvalitetsnormer</w:t>
        </w:r>
        <w:r>
          <w:rPr>
            <w:noProof w:val="1"/>
          </w:rPr>
          <w:tab/>
        </w:r>
        <w:r>
          <w:rPr>
            <w:noProof w:val="1"/>
          </w:rPr>
          <w:fldChar w:fldCharType="begin"/>
        </w:r>
        <w:r>
          <w:rPr>
            <w:noProof w:val="1"/>
          </w:rPr>
          <w:instrText xml:space="preserve"> PAGEREF _Toc174446980 \h </w:instrText>
        </w:r>
        <w:r>
          <w:rPr>
            <w:noProof w:val="1"/>
          </w:rPr>
          <w:fldChar w:fldCharType="separate"/>
        </w:r>
        <w:r>
          <w:rPr>
            <w:noProof w:val="1"/>
          </w:rPr>
          <w:t>20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1">
        <w:r>
          <w:rPr>
            <w:rStyle w:val="C2"/>
            <w:noProof w:val="1"/>
            <w:lang w:val="en-US"/>
          </w:rPr>
          <w:t>4.3.1</w:t>
        </w:r>
        <w:r>
          <w:rPr>
            <w:rFonts w:asciiTheme="minorHAnsi" w:hAnsiTheme="minorHAnsi" w:eastAsiaTheme="minorEastAsia"/>
            <w:noProof w:val="1"/>
            <w:lang w:eastAsia="sv-SE"/>
          </w:rPr>
          <w:tab/>
        </w:r>
        <w:r>
          <w:rPr>
            <w:rStyle w:val="C2"/>
            <w:noProof w:val="1"/>
          </w:rPr>
          <w:t>Luft</w:t>
        </w:r>
        <w:r>
          <w:rPr>
            <w:noProof w:val="1"/>
          </w:rPr>
          <w:tab/>
        </w:r>
        <w:r>
          <w:rPr>
            <w:noProof w:val="1"/>
          </w:rPr>
          <w:fldChar w:fldCharType="begin"/>
        </w:r>
        <w:r>
          <w:rPr>
            <w:noProof w:val="1"/>
          </w:rPr>
          <w:instrText xml:space="preserve"> PAGEREF _Toc174446981 \h </w:instrText>
        </w:r>
        <w:r>
          <w:rPr>
            <w:noProof w:val="1"/>
          </w:rPr>
          <w:fldChar w:fldCharType="separate"/>
        </w:r>
        <w:r>
          <w:rPr>
            <w:noProof w:val="1"/>
          </w:rPr>
          <w:t>20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2">
        <w:r>
          <w:rPr>
            <w:rStyle w:val="C2"/>
            <w:noProof w:val="1"/>
            <w:lang w:val="en-US"/>
          </w:rPr>
          <w:t>4.3.2</w:t>
        </w:r>
        <w:r>
          <w:rPr>
            <w:rFonts w:asciiTheme="minorHAnsi" w:hAnsiTheme="minorHAnsi" w:eastAsiaTheme="minorEastAsia"/>
            <w:noProof w:val="1"/>
            <w:lang w:eastAsia="sv-SE"/>
          </w:rPr>
          <w:tab/>
        </w:r>
        <w:r>
          <w:rPr>
            <w:rStyle w:val="C2"/>
            <w:noProof w:val="1"/>
          </w:rPr>
          <w:t>Vatten</w:t>
        </w:r>
        <w:r>
          <w:rPr>
            <w:noProof w:val="1"/>
          </w:rPr>
          <w:tab/>
        </w:r>
        <w:r>
          <w:rPr>
            <w:noProof w:val="1"/>
          </w:rPr>
          <w:fldChar w:fldCharType="begin"/>
        </w:r>
        <w:r>
          <w:rPr>
            <w:noProof w:val="1"/>
          </w:rPr>
          <w:instrText xml:space="preserve"> PAGEREF _Toc174446982 \h </w:instrText>
        </w:r>
        <w:r>
          <w:rPr>
            <w:noProof w:val="1"/>
          </w:rPr>
          <w:fldChar w:fldCharType="separate"/>
        </w:r>
        <w:r>
          <w:rPr>
            <w:noProof w:val="1"/>
          </w:rPr>
          <w:t>20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3">
        <w:r>
          <w:rPr>
            <w:rStyle w:val="C2"/>
            <w:noProof w:val="1"/>
            <w:lang w:val="en-US"/>
          </w:rPr>
          <w:t>4.3.3</w:t>
        </w:r>
        <w:r>
          <w:rPr>
            <w:rFonts w:asciiTheme="minorHAnsi" w:hAnsiTheme="minorHAnsi" w:eastAsiaTheme="minorEastAsia"/>
            <w:noProof w:val="1"/>
            <w:lang w:eastAsia="sv-SE"/>
          </w:rPr>
          <w:tab/>
        </w:r>
        <w:r>
          <w:rPr>
            <w:rStyle w:val="C2"/>
            <w:noProof w:val="1"/>
          </w:rPr>
          <w:t>Omgivningsbuller</w:t>
        </w:r>
        <w:r>
          <w:rPr>
            <w:noProof w:val="1"/>
          </w:rPr>
          <w:tab/>
        </w:r>
        <w:r>
          <w:rPr>
            <w:noProof w:val="1"/>
          </w:rPr>
          <w:fldChar w:fldCharType="begin"/>
        </w:r>
        <w:r>
          <w:rPr>
            <w:noProof w:val="1"/>
          </w:rPr>
          <w:instrText xml:space="preserve"> PAGEREF _Toc174446983 \h </w:instrText>
        </w:r>
        <w:r>
          <w:rPr>
            <w:noProof w:val="1"/>
          </w:rPr>
          <w:fldChar w:fldCharType="separate"/>
        </w:r>
        <w:r>
          <w:rPr>
            <w:noProof w:val="1"/>
          </w:rPr>
          <w:t>21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84">
        <w:r>
          <w:rPr>
            <w:rStyle w:val="C2"/>
            <w:noProof w:val="1"/>
          </w:rPr>
          <w:t>4.4</w:t>
        </w:r>
        <w:r>
          <w:rPr>
            <w:rFonts w:asciiTheme="minorHAnsi" w:hAnsiTheme="minorHAnsi" w:eastAsiaTheme="minorEastAsia"/>
            <w:noProof w:val="1"/>
            <w:lang w:eastAsia="sv-SE"/>
          </w:rPr>
          <w:tab/>
        </w:r>
        <w:r>
          <w:rPr>
            <w:rStyle w:val="C2"/>
            <w:noProof w:val="1"/>
          </w:rPr>
          <w:t>Risker för människors hälsa och säkerhet</w:t>
        </w:r>
        <w:r>
          <w:rPr>
            <w:noProof w:val="1"/>
          </w:rPr>
          <w:tab/>
        </w:r>
        <w:r>
          <w:rPr>
            <w:noProof w:val="1"/>
          </w:rPr>
          <w:fldChar w:fldCharType="begin"/>
        </w:r>
        <w:r>
          <w:rPr>
            <w:noProof w:val="1"/>
          </w:rPr>
          <w:instrText xml:space="preserve"> PAGEREF _Toc174446984 \h </w:instrText>
        </w:r>
        <w:r>
          <w:rPr>
            <w:noProof w:val="1"/>
          </w:rPr>
          <w:fldChar w:fldCharType="separate"/>
        </w:r>
        <w:r>
          <w:rPr>
            <w:noProof w:val="1"/>
          </w:rPr>
          <w:t>22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5">
        <w:r>
          <w:rPr>
            <w:rStyle w:val="C2"/>
            <w:noProof w:val="1"/>
          </w:rPr>
          <w:t>4.4.1</w:t>
        </w:r>
        <w:r>
          <w:rPr>
            <w:rFonts w:asciiTheme="minorHAnsi" w:hAnsiTheme="minorHAnsi" w:eastAsiaTheme="minorEastAsia"/>
            <w:noProof w:val="1"/>
            <w:lang w:eastAsia="sv-SE"/>
          </w:rPr>
          <w:tab/>
        </w:r>
        <w:r>
          <w:rPr>
            <w:rStyle w:val="C2"/>
            <w:noProof w:val="1"/>
          </w:rPr>
          <w:t>Föroreningar</w:t>
        </w:r>
        <w:r>
          <w:rPr>
            <w:noProof w:val="1"/>
          </w:rPr>
          <w:tab/>
        </w:r>
        <w:r>
          <w:rPr>
            <w:noProof w:val="1"/>
          </w:rPr>
          <w:fldChar w:fldCharType="begin"/>
        </w:r>
        <w:r>
          <w:rPr>
            <w:noProof w:val="1"/>
          </w:rPr>
          <w:instrText xml:space="preserve"> PAGEREF _Toc174446985 \h </w:instrText>
        </w:r>
        <w:r>
          <w:rPr>
            <w:noProof w:val="1"/>
          </w:rPr>
          <w:fldChar w:fldCharType="separate"/>
        </w:r>
        <w:r>
          <w:rPr>
            <w:noProof w:val="1"/>
          </w:rPr>
          <w:t>22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6">
        <w:r>
          <w:rPr>
            <w:rStyle w:val="C2"/>
            <w:noProof w:val="1"/>
          </w:rPr>
          <w:t>4.4.2</w:t>
        </w:r>
        <w:r>
          <w:rPr>
            <w:rFonts w:asciiTheme="minorHAnsi" w:hAnsiTheme="minorHAnsi" w:eastAsiaTheme="minorEastAsia"/>
            <w:noProof w:val="1"/>
            <w:lang w:eastAsia="sv-SE"/>
          </w:rPr>
          <w:tab/>
        </w:r>
        <w:r>
          <w:rPr>
            <w:rStyle w:val="C2"/>
            <w:noProof w:val="1"/>
          </w:rPr>
          <w:t>Ras och skred</w:t>
        </w:r>
        <w:r>
          <w:rPr>
            <w:noProof w:val="1"/>
          </w:rPr>
          <w:tab/>
        </w:r>
        <w:r>
          <w:rPr>
            <w:noProof w:val="1"/>
          </w:rPr>
          <w:fldChar w:fldCharType="begin"/>
        </w:r>
        <w:r>
          <w:rPr>
            <w:noProof w:val="1"/>
          </w:rPr>
          <w:instrText xml:space="preserve"> PAGEREF _Toc174446986 \h </w:instrText>
        </w:r>
        <w:r>
          <w:rPr>
            <w:noProof w:val="1"/>
          </w:rPr>
          <w:fldChar w:fldCharType="separate"/>
        </w:r>
        <w:r>
          <w:rPr>
            <w:noProof w:val="1"/>
          </w:rPr>
          <w:t>22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7">
        <w:r>
          <w:rPr>
            <w:rStyle w:val="C2"/>
            <w:noProof w:val="1"/>
            <w:lang w:val="en-US"/>
          </w:rPr>
          <w:t>4.4.3</w:t>
        </w:r>
        <w:r>
          <w:rPr>
            <w:rFonts w:asciiTheme="minorHAnsi" w:hAnsiTheme="minorHAnsi" w:eastAsiaTheme="minorEastAsia"/>
            <w:noProof w:val="1"/>
            <w:lang w:eastAsia="sv-SE"/>
          </w:rPr>
          <w:tab/>
        </w:r>
        <w:r>
          <w:rPr>
            <w:rStyle w:val="C2"/>
            <w:noProof w:val="1"/>
          </w:rPr>
          <w:t>Erosion</w:t>
        </w:r>
        <w:r>
          <w:rPr>
            <w:noProof w:val="1"/>
          </w:rPr>
          <w:tab/>
        </w:r>
        <w:r>
          <w:rPr>
            <w:noProof w:val="1"/>
          </w:rPr>
          <w:fldChar w:fldCharType="begin"/>
        </w:r>
        <w:r>
          <w:rPr>
            <w:noProof w:val="1"/>
          </w:rPr>
          <w:instrText xml:space="preserve"> PAGEREF _Toc174446987 \h </w:instrText>
        </w:r>
        <w:r>
          <w:rPr>
            <w:noProof w:val="1"/>
          </w:rPr>
          <w:fldChar w:fldCharType="separate"/>
        </w:r>
        <w:r>
          <w:rPr>
            <w:noProof w:val="1"/>
          </w:rPr>
          <w:t>22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88">
        <w:r>
          <w:rPr>
            <w:rStyle w:val="C2"/>
            <w:noProof w:val="1"/>
            <w:lang w:val="en-US"/>
          </w:rPr>
          <w:t>4.4.4</w:t>
        </w:r>
        <w:r>
          <w:rPr>
            <w:rFonts w:asciiTheme="minorHAnsi" w:hAnsiTheme="minorHAnsi" w:eastAsiaTheme="minorEastAsia"/>
            <w:noProof w:val="1"/>
            <w:lang w:eastAsia="sv-SE"/>
          </w:rPr>
          <w:tab/>
        </w:r>
        <w:r>
          <w:rPr>
            <w:rStyle w:val="C2"/>
            <w:noProof w:val="1"/>
          </w:rPr>
          <w:t>Översvämning och skyfall</w:t>
        </w:r>
        <w:r>
          <w:rPr>
            <w:noProof w:val="1"/>
          </w:rPr>
          <w:tab/>
        </w:r>
        <w:r>
          <w:rPr>
            <w:noProof w:val="1"/>
          </w:rPr>
          <w:fldChar w:fldCharType="begin"/>
        </w:r>
        <w:r>
          <w:rPr>
            <w:noProof w:val="1"/>
          </w:rPr>
          <w:instrText xml:space="preserve"> PAGEREF _Toc174446988 \h </w:instrText>
        </w:r>
        <w:r>
          <w:rPr>
            <w:noProof w:val="1"/>
          </w:rPr>
          <w:fldChar w:fldCharType="separate"/>
        </w:r>
        <w:r>
          <w:rPr>
            <w:noProof w:val="1"/>
          </w:rPr>
          <w:t>23</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89">
        <w:r>
          <w:rPr>
            <w:rStyle w:val="C2"/>
            <w:noProof w:val="1"/>
          </w:rPr>
          <w:t>4.5</w:t>
        </w:r>
        <w:r>
          <w:rPr>
            <w:rFonts w:asciiTheme="minorHAnsi" w:hAnsiTheme="minorHAnsi" w:eastAsiaTheme="minorEastAsia"/>
            <w:noProof w:val="1"/>
            <w:lang w:eastAsia="sv-SE"/>
          </w:rPr>
          <w:tab/>
        </w:r>
        <w:r>
          <w:rPr>
            <w:rStyle w:val="C2"/>
            <w:noProof w:val="1"/>
          </w:rPr>
          <w:t>Natur och miljö</w:t>
        </w:r>
        <w:r>
          <w:rPr>
            <w:noProof w:val="1"/>
          </w:rPr>
          <w:tab/>
        </w:r>
        <w:r>
          <w:rPr>
            <w:noProof w:val="1"/>
          </w:rPr>
          <w:fldChar w:fldCharType="begin"/>
        </w:r>
        <w:r>
          <w:rPr>
            <w:noProof w:val="1"/>
          </w:rPr>
          <w:instrText xml:space="preserve"> PAGEREF _Toc174446989 \h </w:instrText>
        </w:r>
        <w:r>
          <w:rPr>
            <w:noProof w:val="1"/>
          </w:rPr>
          <w:fldChar w:fldCharType="separate"/>
        </w:r>
        <w:r>
          <w:rPr>
            <w:noProof w:val="1"/>
          </w:rPr>
          <w:t>23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0">
        <w:r>
          <w:rPr>
            <w:rStyle w:val="C2"/>
            <w:noProof w:val="1"/>
            <w:lang w:val="en-US"/>
          </w:rPr>
          <w:t>4.5.1</w:t>
        </w:r>
        <w:r>
          <w:rPr>
            <w:rFonts w:asciiTheme="minorHAnsi" w:hAnsiTheme="minorHAnsi" w:eastAsiaTheme="minorEastAsia"/>
            <w:noProof w:val="1"/>
            <w:lang w:eastAsia="sv-SE"/>
          </w:rPr>
          <w:tab/>
        </w:r>
        <w:r>
          <w:rPr>
            <w:rStyle w:val="C2"/>
            <w:noProof w:val="1"/>
          </w:rPr>
          <w:t>Natur och vegetation</w:t>
        </w:r>
        <w:r>
          <w:rPr>
            <w:noProof w:val="1"/>
          </w:rPr>
          <w:tab/>
        </w:r>
        <w:r>
          <w:rPr>
            <w:noProof w:val="1"/>
          </w:rPr>
          <w:fldChar w:fldCharType="begin"/>
        </w:r>
        <w:r>
          <w:rPr>
            <w:noProof w:val="1"/>
          </w:rPr>
          <w:instrText xml:space="preserve"> PAGEREF _Toc174446990 \h </w:instrText>
        </w:r>
        <w:r>
          <w:rPr>
            <w:noProof w:val="1"/>
          </w:rPr>
          <w:fldChar w:fldCharType="separate"/>
        </w:r>
        <w:r>
          <w:rPr>
            <w:noProof w:val="1"/>
          </w:rPr>
          <w:t>23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1">
        <w:r>
          <w:rPr>
            <w:rStyle w:val="C2"/>
            <w:noProof w:val="1"/>
            <w:lang w:val="en-US"/>
          </w:rPr>
          <w:t>4.5.2</w:t>
        </w:r>
        <w:r>
          <w:rPr>
            <w:rFonts w:asciiTheme="minorHAnsi" w:hAnsiTheme="minorHAnsi" w:eastAsiaTheme="minorEastAsia"/>
            <w:noProof w:val="1"/>
            <w:lang w:eastAsia="sv-SE"/>
          </w:rPr>
          <w:tab/>
        </w:r>
        <w:r>
          <w:rPr>
            <w:rStyle w:val="C2"/>
            <w:noProof w:val="1"/>
          </w:rPr>
          <w:t>Strandskydd</w:t>
        </w:r>
        <w:r>
          <w:rPr>
            <w:noProof w:val="1"/>
          </w:rPr>
          <w:tab/>
        </w:r>
        <w:r>
          <w:rPr>
            <w:noProof w:val="1"/>
          </w:rPr>
          <w:fldChar w:fldCharType="begin"/>
        </w:r>
        <w:r>
          <w:rPr>
            <w:noProof w:val="1"/>
          </w:rPr>
          <w:instrText xml:space="preserve"> PAGEREF _Toc174446991 \h </w:instrText>
        </w:r>
        <w:r>
          <w:rPr>
            <w:noProof w:val="1"/>
          </w:rPr>
          <w:fldChar w:fldCharType="separate"/>
        </w:r>
        <w:r>
          <w:rPr>
            <w:noProof w:val="1"/>
          </w:rPr>
          <w:t>23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2">
        <w:r>
          <w:rPr>
            <w:rStyle w:val="C2"/>
            <w:noProof w:val="1"/>
            <w:lang w:val="en-US"/>
          </w:rPr>
          <w:t>4.5.3</w:t>
        </w:r>
        <w:r>
          <w:rPr>
            <w:rFonts w:asciiTheme="minorHAnsi" w:hAnsiTheme="minorHAnsi" w:eastAsiaTheme="minorEastAsia"/>
            <w:noProof w:val="1"/>
            <w:lang w:eastAsia="sv-SE"/>
          </w:rPr>
          <w:tab/>
        </w:r>
        <w:r>
          <w:rPr>
            <w:rStyle w:val="C2"/>
            <w:noProof w:val="1"/>
          </w:rPr>
          <w:t>Geoteknik</w:t>
        </w:r>
        <w:r>
          <w:rPr>
            <w:noProof w:val="1"/>
          </w:rPr>
          <w:tab/>
        </w:r>
        <w:r>
          <w:rPr>
            <w:noProof w:val="1"/>
          </w:rPr>
          <w:fldChar w:fldCharType="begin"/>
        </w:r>
        <w:r>
          <w:rPr>
            <w:noProof w:val="1"/>
          </w:rPr>
          <w:instrText xml:space="preserve"> PAGEREF _Toc174446992 \h </w:instrText>
        </w:r>
        <w:r>
          <w:rPr>
            <w:noProof w:val="1"/>
          </w:rPr>
          <w:fldChar w:fldCharType="separate"/>
        </w:r>
        <w:r>
          <w:rPr>
            <w:noProof w:val="1"/>
          </w:rPr>
          <w:t>24</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3">
        <w:r>
          <w:rPr>
            <w:rStyle w:val="C2"/>
            <w:noProof w:val="1"/>
            <w:lang w:val="en-US"/>
          </w:rPr>
          <w:t>4.5.4</w:t>
        </w:r>
        <w:r>
          <w:rPr>
            <w:rFonts w:asciiTheme="minorHAnsi" w:hAnsiTheme="minorHAnsi" w:eastAsiaTheme="minorEastAsia"/>
            <w:noProof w:val="1"/>
            <w:lang w:eastAsia="sv-SE"/>
          </w:rPr>
          <w:tab/>
        </w:r>
        <w:r>
          <w:rPr>
            <w:rStyle w:val="C2"/>
            <w:noProof w:val="1"/>
          </w:rPr>
          <w:t>Radon</w:t>
        </w:r>
        <w:r>
          <w:rPr>
            <w:noProof w:val="1"/>
          </w:rPr>
          <w:tab/>
        </w:r>
        <w:r>
          <w:rPr>
            <w:noProof w:val="1"/>
          </w:rPr>
          <w:fldChar w:fldCharType="begin"/>
        </w:r>
        <w:r>
          <w:rPr>
            <w:noProof w:val="1"/>
          </w:rPr>
          <w:instrText xml:space="preserve"> PAGEREF _Toc174446993 \h </w:instrText>
        </w:r>
        <w:r>
          <w:rPr>
            <w:noProof w:val="1"/>
          </w:rPr>
          <w:fldChar w:fldCharType="separate"/>
        </w:r>
        <w:r>
          <w:rPr>
            <w:noProof w:val="1"/>
          </w:rPr>
          <w:t>24</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4">
        <w:r>
          <w:rPr>
            <w:rStyle w:val="C2"/>
            <w:noProof w:val="1"/>
            <w:lang w:val="en-US"/>
          </w:rPr>
          <w:t>4.5.5</w:t>
        </w:r>
        <w:r>
          <w:rPr>
            <w:rFonts w:asciiTheme="minorHAnsi" w:hAnsiTheme="minorHAnsi" w:eastAsiaTheme="minorEastAsia"/>
            <w:noProof w:val="1"/>
            <w:lang w:eastAsia="sv-SE"/>
          </w:rPr>
          <w:tab/>
        </w:r>
        <w:r>
          <w:rPr>
            <w:rStyle w:val="C2"/>
            <w:noProof w:val="1"/>
          </w:rPr>
          <w:t>Dagvatten</w:t>
        </w:r>
        <w:r>
          <w:rPr>
            <w:noProof w:val="1"/>
          </w:rPr>
          <w:tab/>
        </w:r>
        <w:r>
          <w:rPr>
            <w:noProof w:val="1"/>
          </w:rPr>
          <w:fldChar w:fldCharType="begin"/>
        </w:r>
        <w:r>
          <w:rPr>
            <w:noProof w:val="1"/>
          </w:rPr>
          <w:instrText xml:space="preserve"> PAGEREF _Toc174446994 \h </w:instrText>
        </w:r>
        <w:r>
          <w:rPr>
            <w:noProof w:val="1"/>
          </w:rPr>
          <w:fldChar w:fldCharType="separate"/>
        </w:r>
        <w:r>
          <w:rPr>
            <w:noProof w:val="1"/>
          </w:rPr>
          <w:t>25</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6995">
        <w:r>
          <w:rPr>
            <w:rStyle w:val="C2"/>
            <w:noProof w:val="1"/>
          </w:rPr>
          <w:t>4.6</w:t>
        </w:r>
        <w:r>
          <w:rPr>
            <w:rFonts w:asciiTheme="minorHAnsi" w:hAnsiTheme="minorHAnsi" w:eastAsiaTheme="minorEastAsia"/>
            <w:noProof w:val="1"/>
            <w:lang w:eastAsia="sv-SE"/>
          </w:rPr>
          <w:tab/>
        </w:r>
        <w:r>
          <w:rPr>
            <w:rStyle w:val="C2"/>
            <w:noProof w:val="1"/>
          </w:rPr>
          <w:t>Kulturmiljö</w:t>
        </w:r>
        <w:r>
          <w:rPr>
            <w:noProof w:val="1"/>
          </w:rPr>
          <w:tab/>
        </w:r>
        <w:r>
          <w:rPr>
            <w:noProof w:val="1"/>
          </w:rPr>
          <w:fldChar w:fldCharType="begin"/>
        </w:r>
        <w:r>
          <w:rPr>
            <w:noProof w:val="1"/>
          </w:rPr>
          <w:instrText xml:space="preserve"> PAGEREF _Toc174446995 \h </w:instrText>
        </w:r>
        <w:r>
          <w:rPr>
            <w:noProof w:val="1"/>
          </w:rPr>
          <w:fldChar w:fldCharType="separate"/>
        </w:r>
        <w:r>
          <w:rPr>
            <w:noProof w:val="1"/>
          </w:rPr>
          <w:t>25</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6">
        <w:r>
          <w:rPr>
            <w:rStyle w:val="C2"/>
            <w:noProof w:val="1"/>
            <w:lang w:val="en-US"/>
          </w:rPr>
          <w:t>4.6.1</w:t>
        </w:r>
        <w:r>
          <w:rPr>
            <w:rFonts w:asciiTheme="minorHAnsi" w:hAnsiTheme="minorHAnsi" w:eastAsiaTheme="minorEastAsia"/>
            <w:noProof w:val="1"/>
            <w:lang w:eastAsia="sv-SE"/>
          </w:rPr>
          <w:tab/>
        </w:r>
        <w:r>
          <w:rPr>
            <w:rStyle w:val="C2"/>
            <w:noProof w:val="1"/>
          </w:rPr>
          <w:t>Kulturhistorisk bebyggelsemiljö</w:t>
        </w:r>
        <w:r>
          <w:rPr>
            <w:noProof w:val="1"/>
          </w:rPr>
          <w:tab/>
        </w:r>
        <w:r>
          <w:rPr>
            <w:noProof w:val="1"/>
          </w:rPr>
          <w:fldChar w:fldCharType="begin"/>
        </w:r>
        <w:r>
          <w:rPr>
            <w:noProof w:val="1"/>
          </w:rPr>
          <w:instrText xml:space="preserve"> PAGEREF _Toc174446996 \h </w:instrText>
        </w:r>
        <w:r>
          <w:rPr>
            <w:noProof w:val="1"/>
          </w:rPr>
          <w:fldChar w:fldCharType="separate"/>
        </w:r>
        <w:r>
          <w:rPr>
            <w:noProof w:val="1"/>
          </w:rPr>
          <w:t>25</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6997">
        <w:r>
          <w:rPr>
            <w:rStyle w:val="C2"/>
            <w:noProof w:val="1"/>
            <w:lang w:val="en-US"/>
          </w:rPr>
          <w:t>4.7</w:t>
        </w:r>
        <w:r>
          <w:rPr>
            <w:rFonts w:asciiTheme="minorHAnsi" w:hAnsiTheme="minorHAnsi" w:eastAsiaTheme="minorEastAsia"/>
            <w:noProof w:val="1"/>
            <w:lang w:eastAsia="sv-SE"/>
          </w:rPr>
          <w:tab/>
        </w:r>
        <w:r>
          <w:rPr>
            <w:rStyle w:val="C2"/>
            <w:noProof w:val="1"/>
          </w:rPr>
          <w:t>Fysisk miljö</w:t>
        </w:r>
        <w:r>
          <w:rPr>
            <w:noProof w:val="1"/>
          </w:rPr>
          <w:tab/>
        </w:r>
        <w:r>
          <w:rPr>
            <w:noProof w:val="1"/>
          </w:rPr>
          <w:fldChar w:fldCharType="begin"/>
        </w:r>
        <w:r>
          <w:rPr>
            <w:noProof w:val="1"/>
          </w:rPr>
          <w:instrText xml:space="preserve"> PAGEREF _Toc174446997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8">
        <w:r>
          <w:rPr>
            <w:rStyle w:val="C2"/>
            <w:noProof w:val="1"/>
            <w:lang w:val="en-US"/>
          </w:rPr>
          <w:t>4.7.1</w:t>
        </w:r>
        <w:r>
          <w:rPr>
            <w:rFonts w:asciiTheme="minorHAnsi" w:hAnsiTheme="minorHAnsi" w:eastAsiaTheme="minorEastAsia"/>
            <w:noProof w:val="1"/>
            <w:lang w:eastAsia="sv-SE"/>
          </w:rPr>
          <w:tab/>
        </w:r>
        <w:r>
          <w:rPr>
            <w:rStyle w:val="C2"/>
            <w:noProof w:val="1"/>
          </w:rPr>
          <w:t>Stads- och landskapsbild</w:t>
        </w:r>
        <w:r>
          <w:rPr>
            <w:noProof w:val="1"/>
          </w:rPr>
          <w:tab/>
        </w:r>
        <w:r>
          <w:rPr>
            <w:noProof w:val="1"/>
          </w:rPr>
          <w:fldChar w:fldCharType="begin"/>
        </w:r>
        <w:r>
          <w:rPr>
            <w:noProof w:val="1"/>
          </w:rPr>
          <w:instrText xml:space="preserve"> PAGEREF _Toc174446998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6999">
        <w:r>
          <w:rPr>
            <w:rStyle w:val="C2"/>
            <w:noProof w:val="1"/>
            <w:lang w:val="en-US"/>
          </w:rPr>
          <w:t>4.7.2</w:t>
        </w:r>
        <w:r>
          <w:rPr>
            <w:rFonts w:asciiTheme="minorHAnsi" w:hAnsiTheme="minorHAnsi" w:eastAsiaTheme="minorEastAsia"/>
            <w:noProof w:val="1"/>
            <w:lang w:eastAsia="sv-SE"/>
          </w:rPr>
          <w:tab/>
        </w:r>
        <w:r>
          <w:rPr>
            <w:rStyle w:val="C2"/>
            <w:noProof w:val="1"/>
          </w:rPr>
          <w:t>Gestaltning</w:t>
        </w:r>
        <w:r>
          <w:rPr>
            <w:noProof w:val="1"/>
          </w:rPr>
          <w:tab/>
        </w:r>
        <w:r>
          <w:rPr>
            <w:noProof w:val="1"/>
          </w:rPr>
          <w:fldChar w:fldCharType="begin"/>
        </w:r>
        <w:r>
          <w:rPr>
            <w:noProof w:val="1"/>
          </w:rPr>
          <w:instrText xml:space="preserve"> PAGEREF _Toc174446999 \h </w:instrText>
        </w:r>
        <w:r>
          <w:rPr>
            <w:noProof w:val="1"/>
          </w:rPr>
          <w:fldChar w:fldCharType="separate"/>
        </w:r>
        <w:r>
          <w:rPr>
            <w:noProof w:val="1"/>
          </w:rPr>
          <w:t>26</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00">
        <w:r>
          <w:rPr>
            <w:rStyle w:val="C2"/>
            <w:noProof w:val="1"/>
            <w:lang w:val="en-US"/>
          </w:rPr>
          <w:t>4.8</w:t>
        </w:r>
        <w:r>
          <w:rPr>
            <w:rFonts w:asciiTheme="minorHAnsi" w:hAnsiTheme="minorHAnsi" w:eastAsiaTheme="minorEastAsia"/>
            <w:noProof w:val="1"/>
            <w:lang w:eastAsia="sv-SE"/>
          </w:rPr>
          <w:tab/>
        </w:r>
        <w:r>
          <w:rPr>
            <w:rStyle w:val="C2"/>
            <w:noProof w:val="1"/>
          </w:rPr>
          <w:t>Service</w:t>
        </w:r>
        <w:r>
          <w:rPr>
            <w:noProof w:val="1"/>
          </w:rPr>
          <w:tab/>
        </w:r>
        <w:r>
          <w:rPr>
            <w:noProof w:val="1"/>
          </w:rPr>
          <w:fldChar w:fldCharType="begin"/>
        </w:r>
        <w:r>
          <w:rPr>
            <w:noProof w:val="1"/>
          </w:rPr>
          <w:instrText xml:space="preserve"> PAGEREF _Toc174447000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1">
        <w:r>
          <w:rPr>
            <w:rStyle w:val="C2"/>
            <w:noProof w:val="1"/>
            <w:lang w:val="en-US"/>
          </w:rPr>
          <w:t>4.8.1</w:t>
        </w:r>
        <w:r>
          <w:rPr>
            <w:rFonts w:asciiTheme="minorHAnsi" w:hAnsiTheme="minorHAnsi" w:eastAsiaTheme="minorEastAsia"/>
            <w:noProof w:val="1"/>
            <w:lang w:eastAsia="sv-SE"/>
          </w:rPr>
          <w:tab/>
        </w:r>
        <w:r>
          <w:rPr>
            <w:rStyle w:val="C2"/>
            <w:noProof w:val="1"/>
          </w:rPr>
          <w:t>Skola</w:t>
        </w:r>
        <w:r>
          <w:rPr>
            <w:noProof w:val="1"/>
          </w:rPr>
          <w:tab/>
        </w:r>
        <w:r>
          <w:rPr>
            <w:noProof w:val="1"/>
          </w:rPr>
          <w:fldChar w:fldCharType="begin"/>
        </w:r>
        <w:r>
          <w:rPr>
            <w:noProof w:val="1"/>
          </w:rPr>
          <w:instrText xml:space="preserve"> PAGEREF _Toc174447001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2">
        <w:r>
          <w:rPr>
            <w:rStyle w:val="C2"/>
            <w:noProof w:val="1"/>
            <w:lang w:val="en-US"/>
          </w:rPr>
          <w:t>4.8.2</w:t>
        </w:r>
        <w:r>
          <w:rPr>
            <w:rFonts w:asciiTheme="minorHAnsi" w:hAnsiTheme="minorHAnsi" w:eastAsiaTheme="minorEastAsia"/>
            <w:noProof w:val="1"/>
            <w:lang w:eastAsia="sv-SE"/>
          </w:rPr>
          <w:tab/>
        </w:r>
        <w:r>
          <w:rPr>
            <w:rStyle w:val="C2"/>
            <w:noProof w:val="1"/>
          </w:rPr>
          <w:t>Vård</w:t>
        </w:r>
        <w:r>
          <w:rPr>
            <w:noProof w:val="1"/>
          </w:rPr>
          <w:tab/>
        </w:r>
        <w:r>
          <w:rPr>
            <w:noProof w:val="1"/>
          </w:rPr>
          <w:fldChar w:fldCharType="begin"/>
        </w:r>
        <w:r>
          <w:rPr>
            <w:noProof w:val="1"/>
          </w:rPr>
          <w:instrText xml:space="preserve"> PAGEREF _Toc174447002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3">
        <w:r>
          <w:rPr>
            <w:rStyle w:val="C2"/>
            <w:noProof w:val="1"/>
            <w:lang w:val="en-US"/>
          </w:rPr>
          <w:t>4.8.3</w:t>
        </w:r>
        <w:r>
          <w:rPr>
            <w:rFonts w:asciiTheme="minorHAnsi" w:hAnsiTheme="minorHAnsi" w:eastAsiaTheme="minorEastAsia"/>
            <w:noProof w:val="1"/>
            <w:lang w:eastAsia="sv-SE"/>
          </w:rPr>
          <w:tab/>
        </w:r>
        <w:r>
          <w:rPr>
            <w:rStyle w:val="C2"/>
            <w:noProof w:val="1"/>
          </w:rPr>
          <w:t>Kommersiell service</w:t>
        </w:r>
        <w:r>
          <w:rPr>
            <w:noProof w:val="1"/>
          </w:rPr>
          <w:tab/>
        </w:r>
        <w:r>
          <w:rPr>
            <w:noProof w:val="1"/>
          </w:rPr>
          <w:fldChar w:fldCharType="begin"/>
        </w:r>
        <w:r>
          <w:rPr>
            <w:noProof w:val="1"/>
          </w:rPr>
          <w:instrText xml:space="preserve"> PAGEREF _Toc174447003 \h </w:instrText>
        </w:r>
        <w:r>
          <w:rPr>
            <w:noProof w:val="1"/>
          </w:rPr>
          <w:fldChar w:fldCharType="separate"/>
        </w:r>
        <w:r>
          <w:rPr>
            <w:noProof w:val="1"/>
          </w:rPr>
          <w:t>27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04">
        <w:r>
          <w:rPr>
            <w:rStyle w:val="C2"/>
            <w:noProof w:val="1"/>
            <w:lang w:val="en-US"/>
          </w:rPr>
          <w:t>4.9</w:t>
        </w:r>
        <w:r>
          <w:rPr>
            <w:rFonts w:asciiTheme="minorHAnsi" w:hAnsiTheme="minorHAnsi" w:eastAsiaTheme="minorEastAsia"/>
            <w:noProof w:val="1"/>
            <w:lang w:eastAsia="sv-SE"/>
          </w:rPr>
          <w:tab/>
        </w:r>
        <w:r>
          <w:rPr>
            <w:rStyle w:val="C2"/>
            <w:noProof w:val="1"/>
          </w:rPr>
          <w:t>Trafik</w:t>
        </w:r>
        <w:r>
          <w:rPr>
            <w:noProof w:val="1"/>
          </w:rPr>
          <w:tab/>
        </w:r>
        <w:r>
          <w:rPr>
            <w:noProof w:val="1"/>
          </w:rPr>
          <w:fldChar w:fldCharType="begin"/>
        </w:r>
        <w:r>
          <w:rPr>
            <w:noProof w:val="1"/>
          </w:rPr>
          <w:instrText xml:space="preserve"> PAGEREF _Toc174447004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5">
        <w:r>
          <w:rPr>
            <w:rStyle w:val="C2"/>
            <w:noProof w:val="1"/>
            <w:lang w:val="en-US"/>
          </w:rPr>
          <w:t>4.9.1</w:t>
        </w:r>
        <w:r>
          <w:rPr>
            <w:rFonts w:asciiTheme="minorHAnsi" w:hAnsiTheme="minorHAnsi" w:eastAsiaTheme="minorEastAsia"/>
            <w:noProof w:val="1"/>
            <w:lang w:eastAsia="sv-SE"/>
          </w:rPr>
          <w:tab/>
        </w:r>
        <w:r>
          <w:rPr>
            <w:rStyle w:val="C2"/>
            <w:noProof w:val="1"/>
          </w:rPr>
          <w:t>Motortrafik</w:t>
        </w:r>
        <w:r>
          <w:rPr>
            <w:noProof w:val="1"/>
          </w:rPr>
          <w:tab/>
        </w:r>
        <w:r>
          <w:rPr>
            <w:noProof w:val="1"/>
          </w:rPr>
          <w:fldChar w:fldCharType="begin"/>
        </w:r>
        <w:r>
          <w:rPr>
            <w:noProof w:val="1"/>
          </w:rPr>
          <w:instrText xml:space="preserve"> PAGEREF _Toc174447005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6">
        <w:r>
          <w:rPr>
            <w:rStyle w:val="C2"/>
            <w:noProof w:val="1"/>
            <w:lang w:val="en-US"/>
          </w:rPr>
          <w:t>4.9.2</w:t>
        </w:r>
        <w:r>
          <w:rPr>
            <w:rFonts w:asciiTheme="minorHAnsi" w:hAnsiTheme="minorHAnsi" w:eastAsiaTheme="minorEastAsia"/>
            <w:noProof w:val="1"/>
            <w:lang w:eastAsia="sv-SE"/>
          </w:rPr>
          <w:tab/>
        </w:r>
        <w:r>
          <w:rPr>
            <w:rStyle w:val="C2"/>
            <w:noProof w:val="1"/>
          </w:rPr>
          <w:t>Gång- och cykeltrafik</w:t>
        </w:r>
        <w:r>
          <w:rPr>
            <w:noProof w:val="1"/>
          </w:rPr>
          <w:tab/>
        </w:r>
        <w:r>
          <w:rPr>
            <w:noProof w:val="1"/>
          </w:rPr>
          <w:fldChar w:fldCharType="begin"/>
        </w:r>
        <w:r>
          <w:rPr>
            <w:noProof w:val="1"/>
          </w:rPr>
          <w:instrText xml:space="preserve"> PAGEREF _Toc174447006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7">
        <w:r>
          <w:rPr>
            <w:rStyle w:val="C2"/>
            <w:noProof w:val="1"/>
            <w:lang w:val="en-US"/>
          </w:rPr>
          <w:t>4.9.3</w:t>
        </w:r>
        <w:r>
          <w:rPr>
            <w:rFonts w:asciiTheme="minorHAnsi" w:hAnsiTheme="minorHAnsi" w:eastAsiaTheme="minorEastAsia"/>
            <w:noProof w:val="1"/>
            <w:lang w:eastAsia="sv-SE"/>
          </w:rPr>
          <w:tab/>
        </w:r>
        <w:r>
          <w:rPr>
            <w:rStyle w:val="C2"/>
            <w:noProof w:val="1"/>
          </w:rPr>
          <w:t>Kollektivtrafik</w:t>
        </w:r>
        <w:r>
          <w:rPr>
            <w:noProof w:val="1"/>
          </w:rPr>
          <w:tab/>
        </w:r>
        <w:r>
          <w:rPr>
            <w:noProof w:val="1"/>
          </w:rPr>
          <w:fldChar w:fldCharType="begin"/>
        </w:r>
        <w:r>
          <w:rPr>
            <w:noProof w:val="1"/>
          </w:rPr>
          <w:instrText xml:space="preserve"> PAGEREF _Toc174447007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8">
        <w:r>
          <w:rPr>
            <w:rStyle w:val="C2"/>
            <w:noProof w:val="1"/>
            <w:lang w:val="en-US"/>
          </w:rPr>
          <w:t>4.9.4</w:t>
        </w:r>
        <w:r>
          <w:rPr>
            <w:rFonts w:asciiTheme="minorHAnsi" w:hAnsiTheme="minorHAnsi" w:eastAsiaTheme="minorEastAsia"/>
            <w:noProof w:val="1"/>
            <w:lang w:eastAsia="sv-SE"/>
          </w:rPr>
          <w:tab/>
        </w:r>
        <w:r>
          <w:rPr>
            <w:rStyle w:val="C2"/>
            <w:noProof w:val="1"/>
          </w:rPr>
          <w:t>Utryckningstrafik</w:t>
        </w:r>
        <w:r>
          <w:rPr>
            <w:noProof w:val="1"/>
          </w:rPr>
          <w:tab/>
        </w:r>
        <w:r>
          <w:rPr>
            <w:noProof w:val="1"/>
          </w:rPr>
          <w:fldChar w:fldCharType="begin"/>
        </w:r>
        <w:r>
          <w:rPr>
            <w:noProof w:val="1"/>
          </w:rPr>
          <w:instrText xml:space="preserve"> PAGEREF _Toc174447008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09">
        <w:r>
          <w:rPr>
            <w:rStyle w:val="C2"/>
            <w:noProof w:val="1"/>
            <w:lang w:val="en-US"/>
          </w:rPr>
          <w:t>4.9.5</w:t>
        </w:r>
        <w:r>
          <w:rPr>
            <w:rFonts w:asciiTheme="minorHAnsi" w:hAnsiTheme="minorHAnsi" w:eastAsiaTheme="minorEastAsia"/>
            <w:noProof w:val="1"/>
            <w:lang w:eastAsia="sv-SE"/>
          </w:rPr>
          <w:tab/>
        </w:r>
        <w:r>
          <w:rPr>
            <w:rStyle w:val="C2"/>
            <w:noProof w:val="1"/>
          </w:rPr>
          <w:t>Parkering</w:t>
        </w:r>
        <w:r>
          <w:rPr>
            <w:noProof w:val="1"/>
          </w:rPr>
          <w:tab/>
        </w:r>
        <w:r>
          <w:rPr>
            <w:noProof w:val="1"/>
          </w:rPr>
          <w:fldChar w:fldCharType="begin"/>
        </w:r>
        <w:r>
          <w:rPr>
            <w:noProof w:val="1"/>
          </w:rPr>
          <w:instrText xml:space="preserve"> PAGEREF _Toc174447009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10">
        <w:r>
          <w:rPr>
            <w:rStyle w:val="C2"/>
            <w:noProof w:val="1"/>
            <w:lang w:val="en-US"/>
          </w:rPr>
          <w:t>4.9.6</w:t>
        </w:r>
        <w:r>
          <w:rPr>
            <w:rFonts w:asciiTheme="minorHAnsi" w:hAnsiTheme="minorHAnsi" w:eastAsiaTheme="minorEastAsia"/>
            <w:noProof w:val="1"/>
            <w:lang w:eastAsia="sv-SE"/>
          </w:rPr>
          <w:tab/>
        </w:r>
        <w:r>
          <w:rPr>
            <w:rStyle w:val="C2"/>
            <w:noProof w:val="1"/>
          </w:rPr>
          <w:t>Utfarter</w:t>
        </w:r>
        <w:r>
          <w:rPr>
            <w:noProof w:val="1"/>
          </w:rPr>
          <w:tab/>
        </w:r>
        <w:r>
          <w:rPr>
            <w:noProof w:val="1"/>
          </w:rPr>
          <w:fldChar w:fldCharType="begin"/>
        </w:r>
        <w:r>
          <w:rPr>
            <w:noProof w:val="1"/>
          </w:rPr>
          <w:instrText xml:space="preserve"> PAGEREF _Toc174447010 \h </w:instrText>
        </w:r>
        <w:r>
          <w:rPr>
            <w:noProof w:val="1"/>
          </w:rPr>
          <w:fldChar w:fldCharType="separate"/>
        </w:r>
        <w:r>
          <w:rPr>
            <w:noProof w:val="1"/>
          </w:rPr>
          <w:t>27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11">
        <w:r>
          <w:rPr>
            <w:rStyle w:val="C2"/>
            <w:noProof w:val="1"/>
            <w:lang w:val="en-US"/>
          </w:rPr>
          <w:t>4.10</w:t>
        </w:r>
        <w:r>
          <w:rPr>
            <w:rFonts w:asciiTheme="minorHAnsi" w:hAnsiTheme="minorHAnsi" w:eastAsiaTheme="minorEastAsia"/>
            <w:noProof w:val="1"/>
            <w:lang w:eastAsia="sv-SE"/>
          </w:rPr>
          <w:tab/>
        </w:r>
        <w:r>
          <w:rPr>
            <w:rStyle w:val="C2"/>
            <w:noProof w:val="1"/>
          </w:rPr>
          <w:t>Teknisk försörjning</w:t>
        </w:r>
        <w:r>
          <w:rPr>
            <w:noProof w:val="1"/>
          </w:rPr>
          <w:tab/>
        </w:r>
        <w:r>
          <w:rPr>
            <w:noProof w:val="1"/>
          </w:rPr>
          <w:fldChar w:fldCharType="begin"/>
        </w:r>
        <w:r>
          <w:rPr>
            <w:noProof w:val="1"/>
          </w:rPr>
          <w:instrText xml:space="preserve"> PAGEREF _Toc174447011 \h </w:instrText>
        </w:r>
        <w:r>
          <w:rPr>
            <w:noProof w:val="1"/>
          </w:rPr>
          <w:fldChar w:fldCharType="separate"/>
        </w:r>
        <w:r>
          <w:rPr>
            <w:noProof w:val="1"/>
          </w:rPr>
          <w:t>28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12">
        <w:r>
          <w:rPr>
            <w:rStyle w:val="C2"/>
            <w:noProof w:val="1"/>
            <w:lang w:val="en-US"/>
          </w:rPr>
          <w:t>4.10.1</w:t>
        </w:r>
        <w:r>
          <w:rPr>
            <w:rFonts w:asciiTheme="minorHAnsi" w:hAnsiTheme="minorHAnsi" w:eastAsiaTheme="minorEastAsia"/>
            <w:noProof w:val="1"/>
            <w:lang w:eastAsia="sv-SE"/>
          </w:rPr>
          <w:tab/>
        </w:r>
        <w:r>
          <w:rPr>
            <w:rStyle w:val="C2"/>
            <w:noProof w:val="1"/>
          </w:rPr>
          <w:t>Vatten- och spillvattennät</w:t>
        </w:r>
        <w:r>
          <w:rPr>
            <w:noProof w:val="1"/>
          </w:rPr>
          <w:tab/>
        </w:r>
        <w:r>
          <w:rPr>
            <w:noProof w:val="1"/>
          </w:rPr>
          <w:fldChar w:fldCharType="begin"/>
        </w:r>
        <w:r>
          <w:rPr>
            <w:noProof w:val="1"/>
          </w:rPr>
          <w:instrText xml:space="preserve"> PAGEREF _Toc174447012 \h </w:instrText>
        </w:r>
        <w:r>
          <w:rPr>
            <w:noProof w:val="1"/>
          </w:rPr>
          <w:fldChar w:fldCharType="separate"/>
        </w:r>
        <w:r>
          <w:rPr>
            <w:noProof w:val="1"/>
          </w:rPr>
          <w:t>28</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lang w:eastAsia="sv-SE"/>
        </w:rPr>
      </w:pPr>
      <w:hyperlink w:anchor="_Toc174447013">
        <w:r>
          <w:rPr>
            <w:rStyle w:val="C2"/>
            <w:noProof w:val="1"/>
            <w:lang w:val="en-US"/>
          </w:rPr>
          <w:t>4.10.2</w:t>
        </w:r>
        <w:r>
          <w:rPr>
            <w:rFonts w:asciiTheme="minorHAnsi" w:hAnsiTheme="minorHAnsi" w:eastAsiaTheme="minorEastAsia"/>
            <w:noProof w:val="1"/>
            <w:lang w:eastAsia="sv-SE"/>
          </w:rPr>
          <w:tab/>
        </w:r>
        <w:r>
          <w:rPr>
            <w:rStyle w:val="C2"/>
            <w:noProof w:val="1"/>
          </w:rPr>
          <w:t>Dagvattennät</w:t>
        </w:r>
        <w:r>
          <w:rPr>
            <w:noProof w:val="1"/>
          </w:rPr>
          <w:tab/>
        </w:r>
        <w:r>
          <w:rPr>
            <w:noProof w:val="1"/>
          </w:rPr>
          <w:fldChar w:fldCharType="begin"/>
        </w:r>
        <w:r>
          <w:rPr>
            <w:noProof w:val="1"/>
          </w:rPr>
          <w:instrText xml:space="preserve"> PAGEREF _Toc174447013 \h </w:instrText>
        </w:r>
        <w:r>
          <w:rPr>
            <w:noProof w:val="1"/>
          </w:rPr>
          <w:fldChar w:fldCharType="separate"/>
        </w:r>
        <w:r>
          <w:rPr>
            <w:noProof w:val="1"/>
          </w:rPr>
          <w:t>28</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lang w:eastAsia="sv-SE"/>
        </w:rPr>
      </w:pPr>
      <w:hyperlink w:anchor="_Toc174447014">
        <w:r>
          <w:rPr>
            <w:rStyle w:val="C2"/>
            <w:noProof w:val="1"/>
            <w:lang w:val="en-US"/>
          </w:rPr>
          <w:t>4.10.3</w:t>
        </w:r>
        <w:r>
          <w:rPr>
            <w:rFonts w:asciiTheme="minorHAnsi" w:hAnsiTheme="minorHAnsi" w:eastAsiaTheme="minorEastAsia"/>
            <w:noProof w:val="1"/>
            <w:lang w:eastAsia="sv-SE"/>
          </w:rPr>
          <w:tab/>
        </w:r>
        <w:r>
          <w:rPr>
            <w:rStyle w:val="C2"/>
            <w:noProof w:val="1"/>
          </w:rPr>
          <w:t>Brandvattenförsörjning</w:t>
        </w:r>
        <w:r>
          <w:rPr>
            <w:noProof w:val="1"/>
          </w:rPr>
          <w:tab/>
        </w:r>
        <w:r>
          <w:rPr>
            <w:noProof w:val="1"/>
          </w:rPr>
          <w:fldChar w:fldCharType="begin"/>
        </w:r>
        <w:r>
          <w:rPr>
            <w:noProof w:val="1"/>
          </w:rPr>
          <w:instrText xml:space="preserve"> PAGEREF _Toc174447014 \h </w:instrText>
        </w:r>
        <w:r>
          <w:rPr>
            <w:noProof w:val="1"/>
          </w:rPr>
          <w:fldChar w:fldCharType="separate"/>
        </w:r>
        <w:r>
          <w:rPr>
            <w:noProof w:val="1"/>
          </w:rPr>
          <w:t>28</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lang w:eastAsia="sv-SE"/>
        </w:rPr>
      </w:pPr>
      <w:hyperlink w:anchor="_Toc174447015">
        <w:r>
          <w:rPr>
            <w:rStyle w:val="C2"/>
            <w:noProof w:val="1"/>
            <w:lang w:val="en-US"/>
          </w:rPr>
          <w:t>4.10.4</w:t>
        </w:r>
        <w:r>
          <w:rPr>
            <w:rFonts w:asciiTheme="minorHAnsi" w:hAnsiTheme="minorHAnsi" w:eastAsiaTheme="minorEastAsia"/>
            <w:noProof w:val="1"/>
            <w:lang w:eastAsia="sv-SE"/>
          </w:rPr>
          <w:tab/>
        </w:r>
        <w:r>
          <w:rPr>
            <w:rStyle w:val="C2"/>
            <w:noProof w:val="1"/>
          </w:rPr>
          <w:t>Fjärrvärmenät</w:t>
        </w:r>
        <w:r>
          <w:rPr>
            <w:noProof w:val="1"/>
          </w:rPr>
          <w:tab/>
        </w:r>
        <w:r>
          <w:rPr>
            <w:noProof w:val="1"/>
          </w:rPr>
          <w:fldChar w:fldCharType="begin"/>
        </w:r>
        <w:r>
          <w:rPr>
            <w:noProof w:val="1"/>
          </w:rPr>
          <w:instrText xml:space="preserve"> PAGEREF _Toc174447015 \h </w:instrText>
        </w:r>
        <w:r>
          <w:rPr>
            <w:noProof w:val="1"/>
          </w:rPr>
          <w:fldChar w:fldCharType="separate"/>
        </w:r>
        <w:r>
          <w:rPr>
            <w:noProof w:val="1"/>
          </w:rPr>
          <w:t>28</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lang w:eastAsia="sv-SE"/>
        </w:rPr>
      </w:pPr>
      <w:hyperlink w:anchor="_Toc174447016">
        <w:r>
          <w:rPr>
            <w:rStyle w:val="C2"/>
            <w:noProof w:val="1"/>
            <w:lang w:val="en-US"/>
          </w:rPr>
          <w:t>4.10.5</w:t>
        </w:r>
        <w:r>
          <w:rPr>
            <w:rFonts w:asciiTheme="minorHAnsi" w:hAnsiTheme="minorHAnsi" w:eastAsiaTheme="minorEastAsia"/>
            <w:noProof w:val="1"/>
            <w:lang w:eastAsia="sv-SE"/>
          </w:rPr>
          <w:tab/>
        </w:r>
        <w:r>
          <w:rPr>
            <w:rStyle w:val="C2"/>
            <w:noProof w:val="1"/>
          </w:rPr>
          <w:t>Elnät</w:t>
        </w:r>
        <w:r>
          <w:rPr>
            <w:noProof w:val="1"/>
          </w:rPr>
          <w:tab/>
        </w:r>
        <w:r>
          <w:rPr>
            <w:noProof w:val="1"/>
          </w:rPr>
          <w:fldChar w:fldCharType="begin"/>
        </w:r>
        <w:r>
          <w:rPr>
            <w:noProof w:val="1"/>
          </w:rPr>
          <w:instrText xml:space="preserve"> PAGEREF _Toc174447016 \h </w:instrText>
        </w:r>
        <w:r>
          <w:rPr>
            <w:noProof w:val="1"/>
          </w:rPr>
          <w:fldChar w:fldCharType="separate"/>
        </w:r>
        <w:r>
          <w:rPr>
            <w:noProof w:val="1"/>
          </w:rPr>
          <w:t>29</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lang w:eastAsia="sv-SE"/>
        </w:rPr>
      </w:pPr>
      <w:hyperlink w:anchor="_Toc174447017">
        <w:r>
          <w:rPr>
            <w:rStyle w:val="C2"/>
            <w:noProof w:val="1"/>
            <w:lang w:val="en-US"/>
          </w:rPr>
          <w:t>4.10.6</w:t>
        </w:r>
        <w:r>
          <w:rPr>
            <w:rFonts w:asciiTheme="minorHAnsi" w:hAnsiTheme="minorHAnsi" w:eastAsiaTheme="minorEastAsia"/>
            <w:noProof w:val="1"/>
            <w:lang w:eastAsia="sv-SE"/>
          </w:rPr>
          <w:tab/>
        </w:r>
        <w:r>
          <w:rPr>
            <w:rStyle w:val="C2"/>
            <w:noProof w:val="1"/>
          </w:rPr>
          <w:t>Fibernät</w:t>
        </w:r>
        <w:r>
          <w:rPr>
            <w:noProof w:val="1"/>
          </w:rPr>
          <w:tab/>
        </w:r>
        <w:r>
          <w:rPr>
            <w:noProof w:val="1"/>
          </w:rPr>
          <w:fldChar w:fldCharType="begin"/>
        </w:r>
        <w:r>
          <w:rPr>
            <w:noProof w:val="1"/>
          </w:rPr>
          <w:instrText xml:space="preserve"> PAGEREF _Toc174447017 \h </w:instrText>
        </w:r>
        <w:r>
          <w:rPr>
            <w:noProof w:val="1"/>
          </w:rPr>
          <w:fldChar w:fldCharType="separate"/>
        </w:r>
        <w:r>
          <w:rPr>
            <w:noProof w:val="1"/>
          </w:rPr>
          <w:t>29</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18">
        <w:r>
          <w:rPr>
            <w:rStyle w:val="C2"/>
            <w:noProof w:val="1"/>
            <w:lang w:val="en-US"/>
          </w:rPr>
          <w:t>4.10.7</w:t>
        </w:r>
        <w:r>
          <w:rPr>
            <w:rFonts w:asciiTheme="minorHAnsi" w:hAnsiTheme="minorHAnsi" w:eastAsiaTheme="minorEastAsia"/>
            <w:noProof w:val="1"/>
            <w:lang w:eastAsia="sv-SE"/>
          </w:rPr>
          <w:tab/>
        </w:r>
        <w:r>
          <w:rPr>
            <w:rStyle w:val="C2"/>
            <w:noProof w:val="1"/>
          </w:rPr>
          <w:t>Avfall</w:t>
        </w:r>
        <w:r>
          <w:rPr>
            <w:noProof w:val="1"/>
          </w:rPr>
          <w:tab/>
        </w:r>
        <w:r>
          <w:rPr>
            <w:noProof w:val="1"/>
          </w:rPr>
          <w:fldChar w:fldCharType="begin"/>
        </w:r>
        <w:r>
          <w:rPr>
            <w:noProof w:val="1"/>
          </w:rPr>
          <w:instrText xml:space="preserve"> PAGEREF _Toc174447018 \h </w:instrText>
        </w:r>
        <w:r>
          <w:rPr>
            <w:noProof w:val="1"/>
          </w:rPr>
          <w:fldChar w:fldCharType="separate"/>
        </w:r>
        <w:r>
          <w:rPr>
            <w:noProof w:val="1"/>
          </w:rPr>
          <w:t>29</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7019">
        <w:r>
          <w:rPr>
            <w:rStyle w:val="C2"/>
            <w:noProof w:val="1"/>
          </w:rPr>
          <w:t>5</w:t>
        </w:r>
        <w:r>
          <w:rPr>
            <w:rFonts w:asciiTheme="minorHAnsi" w:hAnsiTheme="minorHAnsi" w:eastAsiaTheme="minorEastAsia"/>
            <w:noProof w:val="1"/>
            <w:lang w:eastAsia="sv-SE"/>
          </w:rPr>
          <w:tab/>
        </w:r>
        <w:r>
          <w:rPr>
            <w:rStyle w:val="C2"/>
            <w:noProof w:val="1"/>
          </w:rPr>
          <w:t>Konsekvenser</w:t>
        </w:r>
        <w:r>
          <w:rPr>
            <w:noProof w:val="1"/>
          </w:rPr>
          <w:tab/>
        </w:r>
        <w:r>
          <w:rPr>
            <w:noProof w:val="1"/>
          </w:rPr>
          <w:fldChar w:fldCharType="begin"/>
        </w:r>
        <w:r>
          <w:rPr>
            <w:noProof w:val="1"/>
          </w:rPr>
          <w:instrText xml:space="preserve"> PAGEREF _Toc174447019 \h </w:instrText>
        </w:r>
        <w:r>
          <w:rPr>
            <w:noProof w:val="1"/>
          </w:rPr>
          <w:fldChar w:fldCharType="separate"/>
        </w:r>
        <w:r>
          <w:rPr>
            <w:noProof w:val="1"/>
          </w:rPr>
          <w:t>30</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7020">
        <w:r>
          <w:rPr>
            <w:rStyle w:val="C2"/>
            <w:noProof w:val="1"/>
          </w:rPr>
          <w:t>5.1</w:t>
        </w:r>
        <w:r>
          <w:rPr>
            <w:rFonts w:asciiTheme="minorHAnsi" w:hAnsiTheme="minorHAnsi" w:eastAsiaTheme="minorEastAsia"/>
            <w:noProof w:val="1"/>
            <w:lang w:eastAsia="sv-SE"/>
          </w:rPr>
          <w:tab/>
        </w:r>
        <w:r>
          <w:rPr>
            <w:rStyle w:val="C2"/>
            <w:noProof w:val="1"/>
          </w:rPr>
          <w:t>Kommunala planeringsunderlag</w:t>
        </w:r>
        <w:r>
          <w:rPr>
            <w:noProof w:val="1"/>
          </w:rPr>
          <w:tab/>
        </w:r>
        <w:r>
          <w:rPr>
            <w:noProof w:val="1"/>
          </w:rPr>
          <w:fldChar w:fldCharType="begin"/>
        </w:r>
        <w:r>
          <w:rPr>
            <w:noProof w:val="1"/>
          </w:rPr>
          <w:instrText xml:space="preserve"> PAGEREF _Toc174447020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21">
        <w:r>
          <w:rPr>
            <w:rStyle w:val="C2"/>
            <w:noProof w:val="1"/>
          </w:rPr>
          <w:t>5.1.1</w:t>
        </w:r>
        <w:r>
          <w:rPr>
            <w:rFonts w:asciiTheme="minorHAnsi" w:hAnsiTheme="minorHAnsi" w:eastAsiaTheme="minorEastAsia"/>
            <w:noProof w:val="1"/>
            <w:lang w:eastAsia="sv-SE"/>
          </w:rPr>
          <w:tab/>
        </w:r>
        <w:r>
          <w:rPr>
            <w:rStyle w:val="C2"/>
            <w:noProof w:val="1"/>
          </w:rPr>
          <w:t>Ställningstagande om betydande miljöpåverkan</w:t>
        </w:r>
        <w:r>
          <w:rPr>
            <w:noProof w:val="1"/>
          </w:rPr>
          <w:tab/>
        </w:r>
        <w:r>
          <w:rPr>
            <w:noProof w:val="1"/>
          </w:rPr>
          <w:fldChar w:fldCharType="begin"/>
        </w:r>
        <w:r>
          <w:rPr>
            <w:noProof w:val="1"/>
          </w:rPr>
          <w:instrText xml:space="preserve"> PAGEREF _Toc174447021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22">
        <w:r>
          <w:rPr>
            <w:rStyle w:val="C2"/>
            <w:noProof w:val="1"/>
            <w:lang w:val="en-US"/>
          </w:rPr>
          <w:t>5.1.2</w:t>
        </w:r>
        <w:r>
          <w:rPr>
            <w:rFonts w:asciiTheme="minorHAnsi" w:hAnsiTheme="minorHAnsi" w:eastAsiaTheme="minorEastAsia"/>
            <w:noProof w:val="1"/>
            <w:lang w:eastAsia="sv-SE"/>
          </w:rPr>
          <w:tab/>
        </w:r>
        <w:r>
          <w:rPr>
            <w:rStyle w:val="C2"/>
            <w:noProof w:val="1"/>
          </w:rPr>
          <w:t>Undersökning om betydande miljöpåverkan</w:t>
        </w:r>
        <w:r>
          <w:rPr>
            <w:noProof w:val="1"/>
          </w:rPr>
          <w:tab/>
        </w:r>
        <w:r>
          <w:rPr>
            <w:noProof w:val="1"/>
          </w:rPr>
          <w:fldChar w:fldCharType="begin"/>
        </w:r>
        <w:r>
          <w:rPr>
            <w:noProof w:val="1"/>
          </w:rPr>
          <w:instrText xml:space="preserve"> PAGEREF _Toc174447022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23">
        <w:r>
          <w:rPr>
            <w:rStyle w:val="C2"/>
            <w:noProof w:val="1"/>
            <w:lang w:val="en-US"/>
          </w:rPr>
          <w:t>5.1.3</w:t>
        </w:r>
        <w:r>
          <w:rPr>
            <w:rFonts w:asciiTheme="minorHAnsi" w:hAnsiTheme="minorHAnsi" w:eastAsiaTheme="minorEastAsia"/>
            <w:noProof w:val="1"/>
            <w:lang w:eastAsia="sv-SE"/>
          </w:rPr>
          <w:tab/>
        </w:r>
        <w:r>
          <w:rPr>
            <w:rStyle w:val="C2"/>
            <w:noProof w:val="1"/>
          </w:rPr>
          <w:t>Miljökonsekvensbeskrivning</w:t>
        </w:r>
        <w:r>
          <w:rPr>
            <w:noProof w:val="1"/>
          </w:rPr>
          <w:tab/>
        </w:r>
        <w:r>
          <w:rPr>
            <w:noProof w:val="1"/>
          </w:rPr>
          <w:fldChar w:fldCharType="begin"/>
        </w:r>
        <w:r>
          <w:rPr>
            <w:noProof w:val="1"/>
          </w:rPr>
          <w:instrText xml:space="preserve"> PAGEREF _Toc174447023 \h </w:instrText>
        </w:r>
        <w:r>
          <w:rPr>
            <w:noProof w:val="1"/>
          </w:rPr>
          <w:fldChar w:fldCharType="separate"/>
        </w:r>
        <w:r>
          <w:rPr>
            <w:noProof w:val="1"/>
          </w:rPr>
          <w:t>31</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7024">
        <w:r>
          <w:rPr>
            <w:rStyle w:val="C2"/>
            <w:noProof w:val="1"/>
          </w:rPr>
          <w:t>6</w:t>
        </w:r>
        <w:r>
          <w:rPr>
            <w:rFonts w:asciiTheme="minorHAnsi" w:hAnsiTheme="minorHAnsi" w:eastAsiaTheme="minorEastAsia"/>
            <w:noProof w:val="1"/>
            <w:lang w:eastAsia="sv-SE"/>
          </w:rPr>
          <w:tab/>
        </w:r>
        <w:r>
          <w:rPr>
            <w:rStyle w:val="C2"/>
            <w:noProof w:val="1"/>
          </w:rPr>
          <w:t>Genomförandefrågor</w:t>
        </w:r>
        <w:r>
          <w:rPr>
            <w:noProof w:val="1"/>
          </w:rPr>
          <w:tab/>
        </w:r>
        <w:r>
          <w:rPr>
            <w:noProof w:val="1"/>
          </w:rPr>
          <w:fldChar w:fldCharType="begin"/>
        </w:r>
        <w:r>
          <w:rPr>
            <w:noProof w:val="1"/>
          </w:rPr>
          <w:instrText xml:space="preserve"> PAGEREF _Toc174447024 \h </w:instrText>
        </w:r>
        <w:r>
          <w:rPr>
            <w:noProof w:val="1"/>
          </w:rPr>
          <w:fldChar w:fldCharType="separate"/>
        </w:r>
        <w:r>
          <w:rPr>
            <w:noProof w:val="1"/>
          </w:rPr>
          <w:t>32</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7025">
        <w:r>
          <w:rPr>
            <w:rStyle w:val="C2"/>
            <w:noProof w:val="1"/>
          </w:rPr>
          <w:t>6.1</w:t>
        </w:r>
        <w:r>
          <w:rPr>
            <w:rFonts w:asciiTheme="minorHAnsi" w:hAnsiTheme="minorHAnsi" w:eastAsiaTheme="minorEastAsia"/>
            <w:noProof w:val="1"/>
            <w:lang w:eastAsia="sv-SE"/>
          </w:rPr>
          <w:tab/>
        </w:r>
        <w:r>
          <w:rPr>
            <w:rStyle w:val="C2"/>
            <w:noProof w:val="1"/>
          </w:rPr>
          <w:t>Organisatoriska frågor</w:t>
        </w:r>
        <w:r>
          <w:rPr>
            <w:noProof w:val="1"/>
          </w:rPr>
          <w:tab/>
        </w:r>
        <w:r>
          <w:rPr>
            <w:noProof w:val="1"/>
          </w:rPr>
          <w:fldChar w:fldCharType="begin"/>
        </w:r>
        <w:r>
          <w:rPr>
            <w:noProof w:val="1"/>
          </w:rPr>
          <w:instrText xml:space="preserve"> PAGEREF _Toc174447025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26">
        <w:r>
          <w:rPr>
            <w:rStyle w:val="C2"/>
            <w:noProof w:val="1"/>
          </w:rPr>
          <w:t>6.1.1</w:t>
        </w:r>
        <w:r>
          <w:rPr>
            <w:rFonts w:asciiTheme="minorHAnsi" w:hAnsiTheme="minorHAnsi" w:eastAsiaTheme="minorEastAsia"/>
            <w:noProof w:val="1"/>
            <w:lang w:eastAsia="sv-SE"/>
          </w:rPr>
          <w:tab/>
        </w:r>
        <w:r>
          <w:rPr>
            <w:rStyle w:val="C2"/>
            <w:noProof w:val="1"/>
          </w:rPr>
          <w:t>Ansvarsfördelning</w:t>
        </w:r>
        <w:r>
          <w:rPr>
            <w:noProof w:val="1"/>
          </w:rPr>
          <w:tab/>
        </w:r>
        <w:r>
          <w:rPr>
            <w:noProof w:val="1"/>
          </w:rPr>
          <w:fldChar w:fldCharType="begin"/>
        </w:r>
        <w:r>
          <w:rPr>
            <w:noProof w:val="1"/>
          </w:rPr>
          <w:instrText xml:space="preserve"> PAGEREF _Toc174447026 \h </w:instrText>
        </w:r>
        <w:r>
          <w:rPr>
            <w:noProof w:val="1"/>
          </w:rPr>
          <w:fldChar w:fldCharType="separate"/>
        </w:r>
        <w:r>
          <w:rPr>
            <w:noProof w:val="1"/>
          </w:rPr>
          <w:t>32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27">
        <w:r>
          <w:rPr>
            <w:rStyle w:val="C2"/>
            <w:noProof w:val="1"/>
          </w:rPr>
          <w:t>6.2</w:t>
        </w:r>
        <w:r>
          <w:rPr>
            <w:rFonts w:asciiTheme="minorHAnsi" w:hAnsiTheme="minorHAnsi" w:eastAsiaTheme="minorEastAsia"/>
            <w:noProof w:val="1"/>
            <w:lang w:eastAsia="sv-SE"/>
          </w:rPr>
          <w:tab/>
        </w:r>
        <w:r>
          <w:rPr>
            <w:rStyle w:val="C2"/>
            <w:noProof w:val="1"/>
          </w:rPr>
          <w:t>Fastighetsrättsliga frågor</w:t>
        </w:r>
        <w:r>
          <w:rPr>
            <w:noProof w:val="1"/>
          </w:rPr>
          <w:tab/>
        </w:r>
        <w:r>
          <w:rPr>
            <w:noProof w:val="1"/>
          </w:rPr>
          <w:fldChar w:fldCharType="begin"/>
        </w:r>
        <w:r>
          <w:rPr>
            <w:noProof w:val="1"/>
          </w:rPr>
          <w:instrText xml:space="preserve"> PAGEREF _Toc174447027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28">
        <w:r>
          <w:rPr>
            <w:rStyle w:val="C2"/>
            <w:noProof w:val="1"/>
          </w:rPr>
          <w:t>6.2.1</w:t>
        </w:r>
        <w:r>
          <w:rPr>
            <w:rFonts w:asciiTheme="minorHAnsi" w:hAnsiTheme="minorHAnsi" w:eastAsiaTheme="minorEastAsia"/>
            <w:noProof w:val="1"/>
            <w:lang w:eastAsia="sv-SE"/>
          </w:rPr>
          <w:tab/>
        </w:r>
        <w:r>
          <w:rPr>
            <w:rStyle w:val="C2"/>
            <w:noProof w:val="1"/>
          </w:rPr>
          <w:t>Fastighetsägare</w:t>
        </w:r>
        <w:r>
          <w:rPr>
            <w:noProof w:val="1"/>
          </w:rPr>
          <w:tab/>
        </w:r>
        <w:r>
          <w:rPr>
            <w:noProof w:val="1"/>
          </w:rPr>
          <w:fldChar w:fldCharType="begin"/>
        </w:r>
        <w:r>
          <w:rPr>
            <w:noProof w:val="1"/>
          </w:rPr>
          <w:instrText xml:space="preserve"> PAGEREF _Toc174447028 \h </w:instrText>
        </w:r>
        <w:r>
          <w:rPr>
            <w:noProof w:val="1"/>
          </w:rPr>
          <w:fldChar w:fldCharType="separate"/>
        </w:r>
        <w:r>
          <w:rPr>
            <w:noProof w:val="1"/>
          </w:rPr>
          <w:t>32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29">
        <w:r>
          <w:rPr>
            <w:rStyle w:val="C2"/>
            <w:noProof w:val="1"/>
          </w:rPr>
          <w:t>6.3</w:t>
        </w:r>
        <w:r>
          <w:rPr>
            <w:rFonts w:asciiTheme="minorHAnsi" w:hAnsiTheme="minorHAnsi" w:eastAsiaTheme="minorEastAsia"/>
            <w:noProof w:val="1"/>
            <w:lang w:eastAsia="sv-SE"/>
          </w:rPr>
          <w:tab/>
        </w:r>
        <w:r>
          <w:rPr>
            <w:rStyle w:val="C2"/>
            <w:noProof w:val="1"/>
          </w:rPr>
          <w:t>Ekonomiska frågor</w:t>
        </w:r>
        <w:r>
          <w:rPr>
            <w:noProof w:val="1"/>
          </w:rPr>
          <w:tab/>
        </w:r>
        <w:r>
          <w:rPr>
            <w:noProof w:val="1"/>
          </w:rPr>
          <w:fldChar w:fldCharType="begin"/>
        </w:r>
        <w:r>
          <w:rPr>
            <w:noProof w:val="1"/>
          </w:rPr>
          <w:instrText xml:space="preserve"> PAGEREF _Toc174447029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30">
        <w:r>
          <w:rPr>
            <w:rStyle w:val="C2"/>
            <w:noProof w:val="1"/>
            <w:lang w:val="en-US"/>
          </w:rPr>
          <w:t>6.3.1</w:t>
        </w:r>
        <w:r>
          <w:rPr>
            <w:rFonts w:asciiTheme="minorHAnsi" w:hAnsiTheme="minorHAnsi" w:eastAsiaTheme="minorEastAsia"/>
            <w:noProof w:val="1"/>
            <w:lang w:eastAsia="sv-SE"/>
          </w:rPr>
          <w:tab/>
        </w:r>
        <w:r>
          <w:rPr>
            <w:rStyle w:val="C2"/>
            <w:noProof w:val="1"/>
          </w:rPr>
          <w:t>Planekonomisk bedömning</w:t>
        </w:r>
        <w:r>
          <w:rPr>
            <w:noProof w:val="1"/>
          </w:rPr>
          <w:tab/>
        </w:r>
        <w:r>
          <w:rPr>
            <w:noProof w:val="1"/>
          </w:rPr>
          <w:fldChar w:fldCharType="begin"/>
        </w:r>
        <w:r>
          <w:rPr>
            <w:noProof w:val="1"/>
          </w:rPr>
          <w:instrText xml:space="preserve"> PAGEREF _Toc174447030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31">
        <w:r>
          <w:rPr>
            <w:rStyle w:val="C2"/>
            <w:noProof w:val="1"/>
          </w:rPr>
          <w:t>6.3.2</w:t>
        </w:r>
        <w:r>
          <w:rPr>
            <w:rFonts w:asciiTheme="minorHAnsi" w:hAnsiTheme="minorHAnsi" w:eastAsiaTheme="minorEastAsia"/>
            <w:noProof w:val="1"/>
            <w:lang w:eastAsia="sv-SE"/>
          </w:rPr>
          <w:tab/>
        </w:r>
        <w:r>
          <w:rPr>
            <w:rStyle w:val="C2"/>
            <w:noProof w:val="1"/>
          </w:rPr>
          <w:t>Plankostnadsavtal</w:t>
        </w:r>
        <w:r>
          <w:rPr>
            <w:noProof w:val="1"/>
          </w:rPr>
          <w:tab/>
        </w:r>
        <w:r>
          <w:rPr>
            <w:noProof w:val="1"/>
          </w:rPr>
          <w:fldChar w:fldCharType="begin"/>
        </w:r>
        <w:r>
          <w:rPr>
            <w:noProof w:val="1"/>
          </w:rPr>
          <w:instrText xml:space="preserve"> PAGEREF _Toc174447031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32">
        <w:r>
          <w:rPr>
            <w:rStyle w:val="C2"/>
            <w:noProof w:val="1"/>
            <w:lang w:val="en-US"/>
          </w:rPr>
          <w:t>6.3.3</w:t>
        </w:r>
        <w:r>
          <w:rPr>
            <w:rFonts w:asciiTheme="minorHAnsi" w:hAnsiTheme="minorHAnsi" w:eastAsiaTheme="minorEastAsia"/>
            <w:noProof w:val="1"/>
            <w:lang w:eastAsia="sv-SE"/>
          </w:rPr>
          <w:tab/>
        </w:r>
        <w:r>
          <w:rPr>
            <w:rStyle w:val="C2"/>
            <w:noProof w:val="1"/>
          </w:rPr>
          <w:t>Planavgift</w:t>
        </w:r>
        <w:r>
          <w:rPr>
            <w:noProof w:val="1"/>
          </w:rPr>
          <w:tab/>
        </w:r>
        <w:r>
          <w:rPr>
            <w:noProof w:val="1"/>
          </w:rPr>
          <w:fldChar w:fldCharType="begin"/>
        </w:r>
        <w:r>
          <w:rPr>
            <w:noProof w:val="1"/>
          </w:rPr>
          <w:instrText xml:space="preserve"> PAGEREF _Toc174447032 \h </w:instrText>
        </w:r>
        <w:r>
          <w:rPr>
            <w:noProof w:val="1"/>
          </w:rPr>
          <w:fldChar w:fldCharType="separate"/>
        </w:r>
        <w:r>
          <w:rPr>
            <w:noProof w:val="1"/>
          </w:rPr>
          <w:t>32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33">
        <w:r>
          <w:rPr>
            <w:rStyle w:val="C2"/>
            <w:noProof w:val="1"/>
            <w:lang w:val="en-US"/>
          </w:rPr>
          <w:t>6.3.4</w:t>
        </w:r>
        <w:r>
          <w:rPr>
            <w:rFonts w:asciiTheme="minorHAnsi" w:hAnsiTheme="minorHAnsi" w:eastAsiaTheme="minorEastAsia"/>
            <w:noProof w:val="1"/>
            <w:lang w:eastAsia="sv-SE"/>
          </w:rPr>
          <w:tab/>
        </w:r>
        <w:r>
          <w:rPr>
            <w:rStyle w:val="C2"/>
            <w:noProof w:val="1"/>
          </w:rPr>
          <w:t>Drift vatten och avlopp</w:t>
        </w:r>
        <w:r>
          <w:rPr>
            <w:noProof w:val="1"/>
          </w:rPr>
          <w:tab/>
        </w:r>
        <w:r>
          <w:rPr>
            <w:noProof w:val="1"/>
          </w:rPr>
          <w:fldChar w:fldCharType="begin"/>
        </w:r>
        <w:r>
          <w:rPr>
            <w:noProof w:val="1"/>
          </w:rPr>
          <w:instrText xml:space="preserve"> PAGEREF _Toc174447033 \h </w:instrText>
        </w:r>
        <w:r>
          <w:rPr>
            <w:noProof w:val="1"/>
          </w:rPr>
          <w:fldChar w:fldCharType="separate"/>
        </w:r>
        <w:r>
          <w:rPr>
            <w:noProof w:val="1"/>
          </w:rPr>
          <w:t>33</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34">
        <w:r>
          <w:rPr>
            <w:rStyle w:val="C2"/>
            <w:noProof w:val="1"/>
          </w:rPr>
          <w:t>6.4</w:t>
        </w:r>
        <w:r>
          <w:rPr>
            <w:rFonts w:asciiTheme="minorHAnsi" w:hAnsiTheme="minorHAnsi" w:eastAsiaTheme="minorEastAsia"/>
            <w:noProof w:val="1"/>
            <w:lang w:eastAsia="sv-SE"/>
          </w:rPr>
          <w:tab/>
        </w:r>
        <w:r>
          <w:rPr>
            <w:rStyle w:val="C2"/>
            <w:noProof w:val="1"/>
          </w:rPr>
          <w:t>Tekniska frågor</w:t>
        </w:r>
        <w:r>
          <w:rPr>
            <w:noProof w:val="1"/>
          </w:rPr>
          <w:tab/>
        </w:r>
        <w:r>
          <w:rPr>
            <w:noProof w:val="1"/>
          </w:rPr>
          <w:fldChar w:fldCharType="begin"/>
        </w:r>
        <w:r>
          <w:rPr>
            <w:noProof w:val="1"/>
          </w:rPr>
          <w:instrText xml:space="preserve"> PAGEREF _Toc174447034 \h </w:instrText>
        </w:r>
        <w:r>
          <w:rPr>
            <w:noProof w:val="1"/>
          </w:rPr>
          <w:fldChar w:fldCharType="separate"/>
        </w:r>
        <w:r>
          <w:rPr>
            <w:noProof w:val="1"/>
          </w:rPr>
          <w:t>33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lang w:eastAsia="sv-SE"/>
        </w:rPr>
      </w:pPr>
      <w:hyperlink w:anchor="_Toc174447035">
        <w:r>
          <w:rPr>
            <w:rStyle w:val="C2"/>
            <w:noProof w:val="1"/>
            <w:lang w:val="en-US"/>
          </w:rPr>
          <w:t>6.4.1</w:t>
        </w:r>
        <w:r>
          <w:rPr>
            <w:rFonts w:asciiTheme="minorHAnsi" w:hAnsiTheme="minorHAnsi" w:eastAsiaTheme="minorEastAsia"/>
            <w:noProof w:val="1"/>
            <w:lang w:eastAsia="sv-SE"/>
          </w:rPr>
          <w:tab/>
        </w:r>
        <w:r>
          <w:rPr>
            <w:rStyle w:val="C2"/>
            <w:noProof w:val="1"/>
          </w:rPr>
          <w:t>Utbyggnad vatten och avlopp</w:t>
        </w:r>
        <w:r>
          <w:rPr>
            <w:noProof w:val="1"/>
          </w:rPr>
          <w:tab/>
        </w:r>
        <w:r>
          <w:rPr>
            <w:noProof w:val="1"/>
          </w:rPr>
          <w:fldChar w:fldCharType="begin"/>
        </w:r>
        <w:r>
          <w:rPr>
            <w:noProof w:val="1"/>
          </w:rPr>
          <w:instrText xml:space="preserve"> PAGEREF _Toc174447035 \h </w:instrText>
        </w:r>
        <w:r>
          <w:rPr>
            <w:noProof w:val="1"/>
          </w:rPr>
          <w:fldChar w:fldCharType="separate"/>
        </w:r>
        <w:r>
          <w:rPr>
            <w:noProof w:val="1"/>
          </w:rPr>
          <w:t>33</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lang w:eastAsia="sv-SE"/>
        </w:rPr>
      </w:pPr>
      <w:hyperlink w:anchor="_Toc174447036">
        <w:r>
          <w:rPr>
            <w:rStyle w:val="C2"/>
            <w:noProof w:val="1"/>
          </w:rPr>
          <w:t>6.5</w:t>
        </w:r>
        <w:r>
          <w:rPr>
            <w:rFonts w:asciiTheme="minorHAnsi" w:hAnsiTheme="minorHAnsi" w:eastAsiaTheme="minorEastAsia"/>
            <w:noProof w:val="1"/>
            <w:lang w:eastAsia="sv-SE"/>
          </w:rPr>
          <w:tab/>
        </w:r>
        <w:r>
          <w:rPr>
            <w:rStyle w:val="C2"/>
            <w:noProof w:val="1"/>
          </w:rPr>
          <w:t>Prövning enligt annan lagstiftning</w:t>
        </w:r>
        <w:r>
          <w:rPr>
            <w:noProof w:val="1"/>
          </w:rPr>
          <w:tab/>
        </w:r>
        <w:r>
          <w:rPr>
            <w:noProof w:val="1"/>
          </w:rPr>
          <w:fldChar w:fldCharType="begin"/>
        </w:r>
        <w:r>
          <w:rPr>
            <w:noProof w:val="1"/>
          </w:rPr>
          <w:instrText xml:space="preserve"> PAGEREF _Toc174447036 \h </w:instrText>
        </w:r>
        <w:r>
          <w:rPr>
            <w:noProof w:val="1"/>
          </w:rPr>
          <w:fldChar w:fldCharType="separate"/>
        </w:r>
        <w:r>
          <w:rPr>
            <w:noProof w:val="1"/>
          </w:rPr>
          <w:t>33</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lang w:eastAsia="sv-SE"/>
        </w:rPr>
      </w:pPr>
      <w:hyperlink w:anchor="_Toc174447037">
        <w:r>
          <w:rPr>
            <w:rStyle w:val="C2"/>
            <w:noProof w:val="1"/>
          </w:rPr>
          <w:t>7</w:t>
        </w:r>
        <w:r>
          <w:rPr>
            <w:rFonts w:asciiTheme="minorHAnsi" w:hAnsiTheme="minorHAnsi" w:eastAsiaTheme="minorEastAsia"/>
            <w:noProof w:val="1"/>
            <w:lang w:eastAsia="sv-SE"/>
          </w:rPr>
          <w:tab/>
        </w:r>
        <w:r>
          <w:rPr>
            <w:rStyle w:val="C2"/>
            <w:noProof w:val="1"/>
          </w:rPr>
          <w:t>Planeringsunderlag</w:t>
        </w:r>
        <w:r>
          <w:rPr>
            <w:noProof w:val="1"/>
          </w:rPr>
          <w:tab/>
        </w:r>
        <w:r>
          <w:rPr>
            <w:noProof w:val="1"/>
          </w:rPr>
          <w:fldChar w:fldCharType="begin"/>
        </w:r>
        <w:r>
          <w:rPr>
            <w:noProof w:val="1"/>
          </w:rPr>
          <w:instrText xml:space="preserve"> PAGEREF _Toc174447037 \h </w:instrText>
        </w:r>
        <w:r>
          <w:rPr>
            <w:noProof w:val="1"/>
          </w:rPr>
          <w:fldChar w:fldCharType="separate"/>
        </w:r>
        <w:r>
          <w:rPr>
            <w:noProof w:val="1"/>
          </w:rPr>
          <w:t>34</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7038">
        <w:r>
          <w:rPr>
            <w:rStyle w:val="C2"/>
            <w:noProof w:val="1"/>
          </w:rPr>
          <w:t>7.1</w:t>
        </w:r>
        <w:r>
          <w:rPr>
            <w:rFonts w:asciiTheme="minorHAnsi" w:hAnsiTheme="minorHAnsi" w:eastAsiaTheme="minorEastAsia"/>
            <w:noProof w:val="1"/>
            <w:lang w:eastAsia="sv-SE"/>
          </w:rPr>
          <w:tab/>
        </w:r>
        <w:r>
          <w:rPr>
            <w:rStyle w:val="C2"/>
            <w:noProof w:val="1"/>
          </w:rPr>
          <w:t>Kommunala planeringsunderlag</w:t>
        </w:r>
        <w:r>
          <w:rPr>
            <w:noProof w:val="1"/>
          </w:rPr>
          <w:tab/>
        </w:r>
        <w:r>
          <w:rPr>
            <w:noProof w:val="1"/>
          </w:rPr>
          <w:fldChar w:fldCharType="begin"/>
        </w:r>
        <w:r>
          <w:rPr>
            <w:noProof w:val="1"/>
          </w:rPr>
          <w:instrText xml:space="preserve"> PAGEREF _Toc174447038 \h </w:instrText>
        </w:r>
        <w:r>
          <w:rPr>
            <w:noProof w:val="1"/>
          </w:rPr>
          <w:fldChar w:fldCharType="separate"/>
        </w:r>
        <w:r>
          <w:rPr>
            <w:noProof w:val="1"/>
          </w:rPr>
          <w:t>34</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7039">
        <w:r>
          <w:rPr>
            <w:rStyle w:val="C2"/>
            <w:noProof w:val="1"/>
          </w:rPr>
          <w:t>7.2</w:t>
        </w:r>
        <w:r>
          <w:rPr>
            <w:rFonts w:asciiTheme="minorHAnsi" w:hAnsiTheme="minorHAnsi" w:eastAsiaTheme="minorEastAsia"/>
            <w:noProof w:val="1"/>
            <w:lang w:eastAsia="sv-SE"/>
          </w:rPr>
          <w:tab/>
        </w:r>
        <w:r>
          <w:rPr>
            <w:rStyle w:val="C2"/>
            <w:noProof w:val="1"/>
          </w:rPr>
          <w:t>Regionala planeringsunderlag</w:t>
        </w:r>
        <w:r>
          <w:rPr>
            <w:noProof w:val="1"/>
          </w:rPr>
          <w:tab/>
        </w:r>
        <w:r>
          <w:rPr>
            <w:noProof w:val="1"/>
          </w:rPr>
          <w:fldChar w:fldCharType="begin"/>
        </w:r>
        <w:r>
          <w:rPr>
            <w:noProof w:val="1"/>
          </w:rPr>
          <w:instrText xml:space="preserve"> PAGEREF _Toc174447039 \h </w:instrText>
        </w:r>
        <w:r>
          <w:rPr>
            <w:noProof w:val="1"/>
          </w:rPr>
          <w:fldChar w:fldCharType="separate"/>
        </w:r>
        <w:r>
          <w:rPr>
            <w:noProof w:val="1"/>
          </w:rPr>
          <w:t>34</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lang w:eastAsia="sv-SE"/>
        </w:rPr>
      </w:pPr>
      <w:hyperlink w:anchor="_Toc174447040">
        <w:r>
          <w:rPr>
            <w:rStyle w:val="C2"/>
            <w:noProof w:val="1"/>
          </w:rPr>
          <w:t>7.3</w:t>
        </w:r>
        <w:r>
          <w:rPr>
            <w:rFonts w:asciiTheme="minorHAnsi" w:hAnsiTheme="minorHAnsi" w:eastAsiaTheme="minorEastAsia"/>
            <w:noProof w:val="1"/>
            <w:lang w:eastAsia="sv-SE"/>
          </w:rPr>
          <w:tab/>
        </w:r>
        <w:r>
          <w:rPr>
            <w:rStyle w:val="C2"/>
            <w:noProof w:val="1"/>
          </w:rPr>
          <w:t>Utredningar</w:t>
        </w:r>
        <w:r>
          <w:rPr>
            <w:noProof w:val="1"/>
          </w:rPr>
          <w:tab/>
        </w:r>
        <w:r>
          <w:rPr>
            <w:noProof w:val="1"/>
          </w:rPr>
          <w:fldChar w:fldCharType="begin"/>
        </w:r>
        <w:r>
          <w:rPr>
            <w:noProof w:val="1"/>
          </w:rPr>
          <w:instrText xml:space="preserve"> PAGEREF _Toc174447040 \h </w:instrText>
        </w:r>
        <w:r>
          <w:rPr>
            <w:noProof w:val="1"/>
          </w:rPr>
          <w:fldChar w:fldCharType="separate"/>
        </w:r>
        <w:r>
          <w:rPr>
            <w:noProof w:val="1"/>
          </w:rPr>
          <w:t>34</w:t>
        </w:r>
        <w:r>
          <w:rPr>
            <w:noProof w:val="1"/>
          </w:rPr>
          <w:fldChar w:fldCharType="end"/>
        </w:r>
      </w:hyperlink>
    </w:p>
    <w:p>
      <w:pPr>
        <w:pStyle w:val="P55"/>
        <w:tabs>
          <w:tab w:val="right" w:pos="7360" w:leader="dot"/>
        </w:tabs>
        <w:rPr>
          <w:b w:val="1"/>
          <w:bCs w:val="1"/>
        </w:rPr>
      </w:pPr>
      <w:r>
        <w:fldChar w:fldCharType="end"/>
      </w:r>
    </w:p>
    <w:p>
      <w:pPr>
        <w:pStyle w:val="P1"/>
      </w:pPr>
      <w:r>
        <w:rPr>
          <w:b w:val="1"/>
          <w:bCs w:val="1"/>
        </w:rPr>
        <w:br w:type="page"/>
      </w:r>
      <w:bookmarkStart w:id="3" w:name="_Toc89445972"/>
      <w:bookmarkStart w:id="4" w:name="_Toc101363474"/>
      <w:bookmarkStart w:id="5" w:name="_Toc174446951"/>
      <w:r>
        <w:t xml:space="preserve">Detaljplanens </w:t>
      </w:r>
      <w:bookmarkEnd w:id="3"/>
      <w:bookmarkEnd w:id="4"/>
      <w:r>
        <w:t>syfte</w:t>
      </w:r>
      <w:bookmarkEnd w:id="5"/>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noProof w:val="1"/>
                <w:lang w:eastAsia="sv-SE"/>
              </w:rPr>
            </w:pPr>
            <w:bookmarkStart w:id="6" w:name="_Hlk127517112" w:colFirst="0" w:colLast="0"/>
            <w:r>
              <w:rPr>
                <w:noProof w:val="1"/>
                <w:lang w:eastAsia="sv-SE"/>
              </w:rPr>
              <w:t xml:space="preserve">I planbeskrivningen ska kommunen redovisa planens syfte. Planens syfte ska kortfattat uttrycka </w:t>
            </w:r>
            <w:r>
              <w:rPr>
                <w:noProof w:val="1"/>
                <w:shd w:val="clear" w:color="auto" w:fill="F2F2F2" w:themeFill="background1" w:themeFillShade="F2"/>
                <w:lang w:eastAsia="sv-SE"/>
              </w:rPr>
              <w:t xml:space="preserve">vad </w:t>
            </w:r>
            <w:r>
              <w:rPr>
                <w:noProof w:val="1"/>
                <w:lang w:eastAsia="sv-SE"/>
              </w:rPr>
              <w:t xml:space="preserve">planen </w:t>
            </w:r>
            <w:r>
              <w:rPr>
                <w:noProof w:val="1"/>
                <w:shd w:val="clear" w:color="auto" w:fill="F2F2F2" w:themeFill="background1" w:themeFillShade="F2"/>
                <w:lang w:eastAsia="sv-SE"/>
              </w:rPr>
              <w:t xml:space="preserve">möjliggör för samt vilka värden på platsen eller i omgivningen som </w:t>
            </w:r>
            <w:bookmarkStart w:id="7" w:name="_Hlk127890906"/>
            <w:r>
              <w:rPr>
                <w:noProof w:val="1"/>
                <w:lang w:eastAsia="sv-SE"/>
              </w:rPr>
              <w:t xml:space="preserve">planen </w:t>
            </w:r>
            <w:bookmarkEnd w:id="7"/>
            <w:r>
              <w:rPr>
                <w:noProof w:val="1"/>
                <w:shd w:val="clear" w:color="auto" w:fill="F2F2F2" w:themeFill="background1" w:themeFillShade="F2"/>
                <w:lang w:eastAsia="sv-SE"/>
              </w:rPr>
              <w:t>ska förhålla sig till.</w:t>
            </w:r>
          </w:p>
        </w:tc>
      </w:tr>
    </w:tbl>
    <w:p>
      <w:pPr>
        <w:rPr>
          <w:noProof w:val="1"/>
        </w:rPr>
      </w:pPr>
      <w:bookmarkEnd w:id="6"/>
    </w:p>
    <w:p>
      <w:pPr>
        <w:pStyle w:val="P2"/>
      </w:pPr>
      <w:bookmarkStart w:id="8" w:name="_Toc89445973"/>
      <w:bookmarkStart w:id="9" w:name="_Toc101363475"/>
      <w:bookmarkStart w:id="10" w:name="_Toc174446952"/>
      <w:bookmarkStart w:id="11" w:name="sy_syfte01"/>
      <w:r>
        <w:t>S</w:t>
      </w:r>
      <w:bookmarkEnd w:id="8"/>
      <w:bookmarkEnd w:id="9"/>
      <w:r>
        <w:t>yfte</w:t>
      </w:r>
      <w:bookmarkEnd w:id="10"/>
    </w:p>
    <w:p>
      <w:pPr>
        <w:rPr>
          <w:sz w:val="25"/>
          <w:szCs w:val="25"/>
        </w:rPr>
      </w:pPr>
      <w:r>
        <w:t>Syftet med detaljplanen är att möjliggöra</w:t>
      </w:r>
      <w:r>
        <w:rPr>
          <w:sz w:val="25"/>
          <w:szCs w:val="25"/>
        </w:rPr>
        <w:t xml:space="preserve"> för utbyggnation av befintlig bostadsbyggnad på fastigheten Hyvelspånet 3.</w:t>
      </w:r>
    </w:p>
    <w:p>
      <w:pPr>
        <w:rPr>
          <w:noProof w:val="1"/>
          <w:lang w:eastAsia="sv-SE"/>
        </w:rPr>
      </w:pPr>
      <w:bookmarkEnd w:id="11"/>
    </w:p>
    <w:p>
      <w:pPr>
        <w:spacing w:lineRule="auto" w:line="240" w:beforeAutospacing="0" w:afterAutospacing="0"/>
        <w:rPr>
          <w:rFonts w:ascii="Barlow Semi Condensed SemiBold" w:hAnsi="Barlow Semi Condensed SemiBold" w:cstheme="majorBidi" w:eastAsia="Arial"/>
          <w:caps w:val="1"/>
          <w:noProof w:val="1"/>
          <w:sz w:val="44"/>
          <w:szCs w:val="32"/>
          <w:lang w:eastAsia="sv-SE"/>
        </w:rPr>
      </w:pPr>
      <w:bookmarkStart w:id="12" w:name="_Toc89445974"/>
      <w:bookmarkStart w:id="13" w:name="_Toc101363476"/>
      <w:bookmarkStart w:id="14" w:name="_Toc174446953"/>
      <w:r>
        <w:br w:type="page"/>
      </w:r>
    </w:p>
    <w:p>
      <w:pPr>
        <w:pStyle w:val="P1"/>
      </w:pPr>
      <w:r>
        <w:t xml:space="preserve">Beskrivning av </w:t>
      </w:r>
      <w:bookmarkEnd w:id="12"/>
      <w:bookmarkEnd w:id="13"/>
      <w:r>
        <w:t>detaljplanen</w:t>
      </w:r>
      <w:bookmarkEnd w:id="14"/>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noProof w:val="1"/>
                <w:lang w:bidi="en-US"/>
              </w:rPr>
            </w:pPr>
            <w:r>
              <w:rPr>
                <w:noProof w:val="1"/>
                <w:lang w:eastAsia="sv-SE"/>
              </w:rPr>
              <w:t xml:space="preserve">I planbeskrivningen ska kommunen redovisa planens huvuddrag samt de överväganden som legat till grund för planens utformning för att skapa bättre förståelse för planen. </w:t>
            </w:r>
          </w:p>
        </w:tc>
      </w:tr>
    </w:tbl>
    <w:p>
      <w:pPr>
        <w:rPr>
          <w:noProof w:val="1"/>
          <w:lang w:eastAsia="sv-SE"/>
        </w:rPr>
      </w:pPr>
    </w:p>
    <w:p>
      <w:pPr>
        <w:pStyle w:val="P2"/>
      </w:pPr>
      <w:bookmarkStart w:id="15" w:name="_Toc89445975"/>
      <w:bookmarkStart w:id="16" w:name="_Toc101363477"/>
      <w:bookmarkStart w:id="17" w:name="_Toc174446954"/>
      <w:bookmarkStart w:id="18" w:name="be_heladetaljplan02"/>
      <w:r>
        <w:t xml:space="preserve">Hela </w:t>
      </w:r>
      <w:bookmarkEnd w:id="15"/>
      <w:bookmarkEnd w:id="16"/>
      <w:bookmarkStart w:id="19" w:name="_Toc89445976"/>
      <w:r>
        <w:t>detaljplanen</w:t>
      </w:r>
      <w:bookmarkEnd w:id="17"/>
      <w:bookmarkStart w:id="20" w:name="be_heladetaljplan01"/>
    </w:p>
    <w:p>
      <w:r>
        <w:t>Planförslaget tillåter en största byggnadsarea om högst en femtedel av fastigheten fördelat på en huvudbyggnad och upp till två komplementbyggnader. Högsta nockhöjd på huvudbyggnad och komplementbyggnad bestäms till 9 respektive 4,5 meter. Minst 60% av fastigheten ska vara genomsläpplig</w:t>
      </w:r>
    </w:p>
    <w:p/>
    <w:p>
      <w:r>
        <w:t>Vid planens utformning har hänsyn tagits till rådande förhållanden och förutsättningar på platsen, såsom Riksintresset för kulturmiljövård Göta kanal och kringliggande stads- och detaljplaner.</w:t>
      </w:r>
    </w:p>
    <w:p>
      <w:pPr>
        <w:rPr>
          <w:noProof w:val="1"/>
          <w:lang w:eastAsia="sv-SE"/>
        </w:rPr>
      </w:pPr>
    </w:p>
    <w:p>
      <w:pPr>
        <w:rPr>
          <w:noProof w:val="1"/>
          <w:lang w:eastAsia="sv-SE"/>
        </w:rPr>
      </w:pPr>
      <w:r>
        <w:rPr>
          <w:noProof w:val="1"/>
          <w:lang w:eastAsia="sv-SE"/>
        </w:rPr>
        <w:t xml:space="preserve">Hela fastigheten Hyvelspånet 3 ligger inom strandskyddets avgränsning. I och med antagandet av stadsplan 321 upphävdes strandskyddet för den del av fastigheten som ligger inom stadsplanen. Den del av Hyvelspånet 3, tidigare del av Kanaljorden 3:70,  som ingår i detaljplan 457 är strandskyddet gällande.</w:t>
      </w:r>
    </w:p>
    <w:p>
      <w:pPr>
        <w:rPr>
          <w:noProof w:val="1"/>
          <w:lang w:eastAsia="sv-SE"/>
        </w:rPr>
      </w:pPr>
      <w:r>
        <w:rPr>
          <w:noProof w:val="1"/>
          <w:lang w:eastAsia="sv-SE"/>
        </w:rPr>
        <w:t xml:space="preserve">När en ny detaljplan tas fram återinträder strandskyddet. I och med antagandet av nya detaljplanen avser Motala kommun att upphäva strandskyddet inom hela planområdet. </w:t>
      </w:r>
    </w:p>
    <w:p>
      <w:pPr>
        <w:rPr>
          <w:noProof w:val="1"/>
          <w:lang w:eastAsia="sv-SE"/>
        </w:rPr>
      </w:pPr>
    </w:p>
    <w:p>
      <w:r>
        <w:t>Planförslaget bedöms inte innebära betydande miljöpåverkan.</w:t>
      </w:r>
    </w:p>
    <w:p>
      <w:r>
        <w:t>Planförslaget bedöms vara förenlig med gällande översiktsplan, ÖP 2040.</w:t>
      </w:r>
    </w:p>
    <w:p>
      <w:pPr>
        <w:spacing w:lineRule="auto" w:line="240" w:beforeAutospacing="0" w:afterAutospacing="0"/>
        <w:rPr>
          <w:noProof w:val="1"/>
          <w:lang w:eastAsia="sv-SE"/>
        </w:rPr>
      </w:pPr>
      <w:bookmarkEnd w:id="18"/>
      <w:r>
        <w:rPr>
          <w:noProof w:val="1"/>
          <w:lang w:eastAsia="sv-SE"/>
        </w:rPr>
        <w:br w:type="page"/>
      </w:r>
    </w:p>
    <w:p>
      <w:pPr>
        <w:pStyle w:val="P2"/>
      </w:pPr>
      <w:bookmarkStart w:id="21" w:name="_Toc89445983"/>
      <w:bookmarkStart w:id="22" w:name="_Toc101363485"/>
      <w:bookmarkStart w:id="23" w:name="_Toc174446955"/>
      <w:bookmarkStart w:id="24" w:name="be_ärendeinformation01"/>
      <w:r>
        <w:t>Ä</w:t>
      </w:r>
      <w:bookmarkEnd w:id="21"/>
      <w:bookmarkEnd w:id="22"/>
      <w:r>
        <w:t>rendeinformation</w:t>
      </w:r>
      <w:bookmarkEnd w:id="23"/>
    </w:p>
    <w:p>
      <w:pPr>
        <w:pStyle w:val="P98"/>
        <w:spacing w:after="0" w:beforeAutospacing="0" w:afterAutospacing="0"/>
      </w:pPr>
      <w:r>
        <w:t xml:space="preserve">Planarbetet bedrivs enligt reglerna för standardförfarande. Planarbetet beräknas i huvudsak kunna följa nedanstående tidplan. </w:t>
      </w:r>
    </w:p>
    <w:p>
      <w:pPr>
        <w:rPr>
          <w:noProof w:val="1"/>
          <w:lang w:eastAsia="sv-SE"/>
        </w:rPr>
      </w:pPr>
    </w:p>
    <w:tbl>
      <w:tblPr>
        <w:tblStyle w:val="T2"/>
        <w:tblW w:w="0" w:type="auto"/>
        <w:jc w:val="center"/>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jc w:val="center"/>
        </w:trPr>
        <w:tc>
          <w:tcPr>
            <w:tcW w:w="2098"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Moment</w:t>
            </w:r>
          </w:p>
        </w:tc>
        <w:tc>
          <w:tcPr>
            <w:tcW w:w="2551"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Instans</w:t>
            </w:r>
          </w:p>
        </w:tc>
        <w:tc>
          <w:tcPr>
            <w:tcW w:w="2835"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Datum</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Information om start</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2023-10-18</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Beslut om samråd</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2024-04-17</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Samrådstid</w:t>
            </w:r>
          </w:p>
        </w:tc>
        <w:tc>
          <w:tcPr>
            <w:tcW w:w="2551" w:type="dxa"/>
          </w:tcPr>
          <w:p>
            <w:pPr>
              <w:tabs>
                <w:tab w:val="left" w:pos="2574" w:leader="none"/>
                <w:tab w:val="left" w:pos="4395" w:leader="none"/>
              </w:tabs>
              <w:rPr>
                <w:rFonts w:ascii="Barlow Semi Condensed" w:hAnsi="Barlow Semi Condensed"/>
                <w:sz w:val="20"/>
              </w:rPr>
            </w:pP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13 maj 2024 - 10 juni 2024</w:t>
            </w:r>
          </w:p>
        </w:tc>
      </w:tr>
      <w:tr>
        <w:trPr>
          <w:jc w:val="center"/>
        </w:trPr>
        <w:tc>
          <w:tcPr>
            <w:tcW w:w="2098" w:type="dxa"/>
          </w:tcPr>
          <w:p>
            <w:pPr>
              <w:tabs>
                <w:tab w:val="left" w:pos="2574" w:leader="none"/>
                <w:tab w:val="left" w:pos="4395" w:leader="none"/>
              </w:tabs>
              <w:rPr>
                <w:rFonts w:ascii="Barlow Semi Condensed" w:hAnsi="Barlow Semi Condensed"/>
                <w:i w:val="1"/>
                <w:color w:val="FF0000"/>
                <w:sz w:val="20"/>
              </w:rPr>
            </w:pPr>
            <w:r>
              <w:rPr>
                <w:rFonts w:ascii="Barlow Semi Condensed" w:hAnsi="Barlow Semi Condensed"/>
                <w:sz w:val="20"/>
              </w:rPr>
              <w:t>Granskningstid</w:t>
            </w:r>
          </w:p>
        </w:tc>
        <w:tc>
          <w:tcPr>
            <w:tcW w:w="2551" w:type="dxa"/>
          </w:tcPr>
          <w:p>
            <w:pPr>
              <w:tabs>
                <w:tab w:val="left" w:pos="2574" w:leader="none"/>
                <w:tab w:val="left" w:pos="4395" w:leader="none"/>
              </w:tabs>
              <w:rPr>
                <w:rFonts w:ascii="Barlow Semi Condensed" w:hAnsi="Barlow Semi Condensed"/>
                <w:i w:val="1"/>
                <w:color w:val="FF0000"/>
                <w:sz w:val="20"/>
              </w:rPr>
            </w:pP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30 september 2024 – 28 oktober 2024</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Beslut om antagande</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11 december 2024</w:t>
            </w:r>
          </w:p>
        </w:tc>
      </w:tr>
      <w:tr>
        <w:trPr>
          <w:jc w:val="center"/>
        </w:trPr>
        <w:tc>
          <w:tcPr>
            <w:tcW w:w="2098" w:type="dxa"/>
          </w:tcPr>
          <w:p>
            <w:pPr>
              <w:tabs>
                <w:tab w:val="left" w:pos="2574" w:leader="none"/>
                <w:tab w:val="left" w:pos="4395" w:leader="none"/>
              </w:tabs>
              <w:rPr>
                <w:rFonts w:ascii="Barlow Semi Condensed" w:hAnsi="Barlow Semi Condensed"/>
                <w:i w:val="1"/>
                <w:color w:val="FF0000"/>
                <w:sz w:val="20"/>
              </w:rPr>
            </w:pPr>
            <w:r>
              <w:rPr>
                <w:rFonts w:ascii="Barlow Semi Condensed" w:hAnsi="Barlow Semi Condensed"/>
                <w:sz w:val="20"/>
              </w:rPr>
              <w:t>Laga kraft</w:t>
            </w:r>
          </w:p>
        </w:tc>
        <w:tc>
          <w:tcPr>
            <w:tcW w:w="2551" w:type="dxa"/>
          </w:tcPr>
          <w:p>
            <w:pPr>
              <w:tabs>
                <w:tab w:val="left" w:pos="2574" w:leader="none"/>
                <w:tab w:val="left" w:pos="4395" w:leader="none"/>
              </w:tabs>
              <w:rPr>
                <w:rFonts w:ascii="Barlow Semi Condensed" w:hAnsi="Barlow Semi Condensed"/>
                <w:i w:val="1"/>
                <w:color w:val="FF0000"/>
                <w:sz w:val="20"/>
              </w:rPr>
            </w:pPr>
          </w:p>
        </w:tc>
        <w:tc>
          <w:tcPr>
            <w:tcW w:w="2835" w:type="dxa"/>
          </w:tcPr>
          <w:p>
            <w:pPr>
              <w:tabs>
                <w:tab w:val="left" w:pos="2574" w:leader="none"/>
                <w:tab w:val="left" w:pos="4395" w:leader="none"/>
              </w:tabs>
              <w:rPr>
                <w:rFonts w:ascii="Barlow Semi Condensed" w:hAnsi="Barlow Semi Condensed"/>
                <w:i w:val="1"/>
                <w:color w:val="FF0000"/>
                <w:sz w:val="20"/>
              </w:rPr>
            </w:pPr>
            <w:r>
              <w:rPr>
                <w:rFonts w:ascii="Barlow Semi Condensed" w:hAnsi="Barlow Semi Condensed"/>
                <w:sz w:val="20"/>
              </w:rPr>
              <w:t>9 januari</w:t>
            </w:r>
            <w:bookmarkStart w:id="25" w:name="_GoBack"/>
            <w:bookmarkEnd w:id="25"/>
            <w:r>
              <w:rPr>
                <w:rFonts w:ascii="Barlow Semi Condensed" w:hAnsi="Barlow Semi Condensed"/>
                <w:sz w:val="20"/>
              </w:rPr>
              <w:t xml:space="preserve"> 2025</w:t>
            </w:r>
          </w:p>
        </w:tc>
      </w:tr>
    </w:tbl>
    <w:p/>
    <w:p>
      <w:r>
        <w:t>Den som inte framför skriftliga synpunkter under samråd- eller granskningsskedet</w:t>
      </w:r>
    </w:p>
    <w:p>
      <w:r>
        <w:t>kan förlora rätten att senare överklaga beslutet att anta detaljplanen.</w:t>
      </w:r>
    </w:p>
    <w:p/>
    <w:p>
      <w:r>
        <w:t xml:space="preserve">Postadress: </w:t>
        <w:tab/>
        <w:t>Motala kommun</w:t>
      </w:r>
    </w:p>
    <w:p>
      <w:r>
        <w:tab/>
        <w:t>Gemensam ledningsförvaltning/Planenheten</w:t>
      </w:r>
    </w:p>
    <w:p>
      <w:r>
        <w:tab/>
        <w:t xml:space="preserve">591 86 Motala </w:t>
      </w:r>
    </w:p>
    <w:p/>
    <w:p>
      <w:r>
        <w:t>E-post: samhallsbyggnad@motala.se</w:t>
      </w:r>
    </w:p>
    <w:p/>
    <w:p>
      <w:r>
        <w:t xml:space="preserve">Under samråd och granskning fanns planförslaget, miljöbedömningen samt utredningar att ta del av i kommunhusets foajé, Drottninggatan 2, Motala under kontorstid samt på huvudbiblioteket i Folkets Hus, Repslagaregatan 1, Motala under bibliotekets öppettider. </w:t>
      </w:r>
    </w:p>
    <w:p/>
    <w:p>
      <w:r>
        <w:t>Planförslaget, miljöbedömningen samt utredningar finns att ta del av på kommunens hemsida under hela planarbetet.</w:t>
      </w:r>
    </w:p>
    <w:p/>
    <w:p>
      <w:pPr>
        <w:jc w:val="both"/>
        <w:rPr>
          <w:rFonts w:cs="Arial"/>
          <w:szCs w:val="24"/>
        </w:rPr>
      </w:pPr>
      <w:r>
        <w:rPr>
          <w:rFonts w:cs="Arial"/>
          <w:szCs w:val="24"/>
        </w:rPr>
        <w:t xml:space="preserve">Protokoll från Samhällsbyggnadsnämndens beslut gällande planförslaget finns digitalt </w:t>
      </w:r>
      <w:r>
        <w:t xml:space="preserve">tillgängligt på kommunens anslagstavla, </w:t>
      </w:r>
      <w:bookmarkStart w:id="26" w:name="_Hlk94711994"/>
      <w:r>
        <w:t xml:space="preserve">under </w:t>
      </w:r>
      <w:bookmarkEnd w:id="26"/>
      <w:r>
        <w:t>anslagstavlan.motala.se, och i kommunens diarium, under diariet.motala.se.</w:t>
      </w:r>
    </w:p>
    <w:p>
      <w:pPr>
        <w:spacing w:lineRule="auto" w:line="240" w:beforeAutospacing="0" w:afterAutospacing="0"/>
        <w:rPr>
          <w:rFonts w:ascii="Barlow Semi Condensed" w:hAnsi="Barlow Semi Condensed"/>
          <w:sz w:val="20"/>
        </w:rPr>
      </w:pPr>
      <w:bookmarkEnd w:id="24"/>
      <w:bookmarkStart w:id="27" w:name="_Hlk95914390"/>
      <w:r>
        <w:rPr>
          <w:rFonts w:ascii="Barlow Semi Condensed" w:hAnsi="Barlow Semi Condensed"/>
          <w:sz w:val="20"/>
        </w:rPr>
        <w:br w:type="page"/>
      </w:r>
    </w:p>
    <w:p>
      <w:pPr>
        <w:pStyle w:val="P2"/>
      </w:pPr>
      <w:bookmarkEnd w:id="27"/>
      <w:bookmarkStart w:id="28" w:name="_Toc174446956"/>
      <w:bookmarkStart w:id="29" w:name="be_annat02"/>
      <w:r>
        <w:t>Motiv till planförfarande</w:t>
      </w:r>
      <w:bookmarkEnd w:id="28"/>
    </w:p>
    <w:p>
      <w:bookmarkStart w:id="30" w:name="_Hlk132627893"/>
      <w:r>
        <w:t>Standardförfarande tillämpas eftersom detaljplanen bedöms vara förenlig med översiktsplanen och bedöms inte medföra betydande miljöpåverkan eller vara av betydande intresse för allmänheten eller av stor betydelse i övrigt.</w:t>
      </w:r>
    </w:p>
    <w:p>
      <w:pPr>
        <w:rPr>
          <w:noProof w:val="1"/>
          <w:lang w:eastAsia="sv-SE"/>
        </w:rPr>
      </w:pPr>
      <w:bookmarkEnd w:id="29"/>
      <w:bookmarkEnd w:id="30"/>
    </w:p>
    <w:p>
      <w:pPr>
        <w:pStyle w:val="P2"/>
      </w:pPr>
      <w:bookmarkStart w:id="31" w:name="_Toc174446957"/>
      <w:bookmarkStart w:id="32" w:name="be_annat03"/>
      <w:r>
        <w:t>Motiv till antagandebeslut</w:t>
      </w:r>
      <w:bookmarkEnd w:id="31"/>
    </w:p>
    <w:p>
      <w:r>
        <w:t>Detaljplanen bedöms inte uppnå de kriterier som, enligt Plan- och bygglagen, bestämmer när Kommunfullmäktige ska anta en plan, det vill säga att planen är av principiell beskaffenhet eller annars av större vikt. Enligt reglementet för Motala kommuns nämnder (§ 3.4) utgör detaljplanen ett ärende som Samhällsbyggnadsnämnden har delegation på.</w:t>
      </w:r>
    </w:p>
    <w:p>
      <w:pPr>
        <w:rPr>
          <w:noProof w:val="1"/>
          <w:lang w:eastAsia="sv-SE"/>
        </w:rPr>
      </w:pPr>
      <w:bookmarkEnd w:id="32"/>
    </w:p>
    <w:p>
      <w:pPr>
        <w:pStyle w:val="P2"/>
      </w:pPr>
      <w:bookmarkEnd w:id="19"/>
      <w:bookmarkEnd w:id="20"/>
      <w:bookmarkStart w:id="33" w:name="_Toc174446958"/>
      <w:bookmarkStart w:id="34" w:name="be_annat04"/>
      <w:r>
        <w:t>Lägesbestämning</w:t>
      </w:r>
      <w:bookmarkEnd w:id="33"/>
    </w:p>
    <w:p>
      <w:pPr>
        <w:rPr>
          <w:noProof w:val="1"/>
          <w:lang w:eastAsia="sv-SE"/>
        </w:rPr>
      </w:pPr>
      <w:r>
        <w:rPr>
          <w:noProof w:val="1"/>
          <w:lang w:eastAsia="sv-SE"/>
        </w:rPr>
        <w:t>Planområdet ligger i Björkelund cirka 2,6 kilometer nordost Motala centrum. Planområdet omfattar Hyvelspånet 3 och avgränsas av fastigheterna Kanaljorden 3:70 och Innerstaden 1:215 i öster, Hyvelspånet 4 i söder, Hyvelspånet 7 och 8 i väster samt Hyvelspånet 2 i norr.</w:t>
      </w:r>
    </w:p>
    <w:p>
      <w:pPr>
        <w:rPr>
          <w:noProof w:val="1"/>
          <w:lang w:eastAsia="sv-SE"/>
        </w:rPr>
      </w:pPr>
    </w:p>
    <w:p>
      <w:pPr>
        <w:rPr>
          <w:noProof w:val="1"/>
          <w:lang w:eastAsia="sv-SE"/>
        </w:rPr>
      </w:pPr>
      <w:r>
        <w:rPr>
          <w:noProof w:val="1"/>
          <w:lang w:eastAsia="sv-SE"/>
        </w:rPr>
        <w:t>Planområdet omfattar sammanlagt ungefär 1600 kvadratmeter. Planområdet består i sin helhet av kvartersmark med användningen bostad.</w:t>
      </w:r>
    </w:p>
    <w:p>
      <w:pPr>
        <w:rPr>
          <w:noProof w:val="1"/>
          <w:lang w:eastAsia="sv-SE"/>
        </w:rPr>
      </w:pPr>
    </w:p>
    <w:p>
      <w:pPr>
        <w:rPr>
          <w:noProof w:val="1"/>
          <w:lang w:eastAsia="sv-SE"/>
        </w:rPr>
      </w:pPr>
      <w:r>
        <w:rPr>
          <w:noProof w:val="1"/>
          <w:lang w:eastAsia="sv-SE"/>
        </w:rPr>
        <mc:AlternateContent>
          <mc:Choice Requires="wps">
            <w:drawing>
              <wp:anchor xmlns:wp="http://schemas.openxmlformats.org/drawingml/2006/wordprocessingDrawing" distT="45720" distB="45720" distL="114300" distR="114300" simplePos="0" relativeHeight="14" behindDoc="0" locked="0" layoutInCell="1" allowOverlap="1">
                <wp:simplePos x="0" y="0"/>
                <wp:positionH relativeFrom="column">
                  <wp:posOffset>1871980</wp:posOffset>
                </wp:positionH>
                <wp:positionV relativeFrom="paragraph">
                  <wp:posOffset>2727960</wp:posOffset>
                </wp:positionV>
                <wp:extent cx="1133475" cy="317500"/>
                <wp:effectExtent l="0" t="0" r="28575" b="25400"/>
                <wp:wrapSquare wrapText="bothSides"/>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1133475" cy="317500"/>
                        </a:xfrm>
                        <a:prstGeom prst="rect"/>
                        <a:noFill/>
                        <a:ln w="9525">
                          <a:solidFill>
                            <a:schemeClr val="bg1"/>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color w:val="FFFFFF" w:themeColor="background1"/>
                              </w:rPr>
                            </w:pPr>
                            <w:r>
                              <w:rPr>
                                <w:b w:val="1"/>
                                <w:color w:val="FFFFFF" w:themeColor="background1"/>
                              </w:rPr>
                              <w:t>Lokverkstan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7" style="position:absolute;width:89.25pt;height:25pt;z-index:14;mso-wrap-distance-left:9pt;mso-wrap-distance-top:3.6pt;mso-wrap-distance-right:9pt;mso-wrap-distance-bottom:3.6pt;margin-left:147.4pt;margin-top:214.8pt;mso-position-horizontal:absolute;mso-position-horizontal-relative:text;mso-position-vertical:absolute;mso-position-vertical-relative:text" o:allowincell="t" filled="f" strokecolor="#FFFFFF" strokeweight="0.75pt" stroked="t">
                <v:textbox inset="3mm,1mm,3mm,1mm">
                  <w:txbxContent>
                    <w:p>
                      <w:pPr>
                        <w:rPr>
                          <w:b w:val="1"/>
                          <w:color w:val="FFFFFF" w:themeColor="background1"/>
                        </w:rPr>
                      </w:pPr>
                      <w:r>
                        <w:rPr>
                          <w:b w:val="1"/>
                          <w:color w:val="FFFFFF" w:themeColor="background1"/>
                        </w:rPr>
                        <w:t>Lokverkstan</w:t>
                      </w:r>
                    </w:p>
                  </w:txbxContent>
                </v:textbox>
                <w10:wrap type="square"/>
              </v:shape>
            </w:pict>
          </mc:Fallback>
        </mc:AlternateContent>
      </w:r>
      <w:r>
        <w:rPr>
          <w:noProof w:val="1"/>
          <w:lang w:eastAsia="sv-SE"/>
        </w:rPr>
        <mc:AlternateContent>
          <mc:Choice Requires="wps">
            <w:drawing>
              <wp:anchor xmlns:wp="http://schemas.openxmlformats.org/drawingml/2006/wordprocessingDrawing" distT="45720" distB="45720" distL="114300" distR="114300" simplePos="0" relativeHeight="17" behindDoc="0" locked="0" layoutInCell="1" allowOverlap="1">
                <wp:simplePos x="0" y="0"/>
                <wp:positionH relativeFrom="column">
                  <wp:posOffset>3387090</wp:posOffset>
                </wp:positionH>
                <wp:positionV relativeFrom="paragraph">
                  <wp:posOffset>2058670</wp:posOffset>
                </wp:positionV>
                <wp:extent cx="935355" cy="1404620"/>
                <wp:effectExtent l="0" t="0" r="17145" b="13970"/>
                <wp:wrapSquare wrapText="bothSides"/>
                <wp:docPr id="7" name="Textruta 2"/>
                <wp:cNvGraphicFramePr/>
                <a:graphic xmlns:a="http://schemas.openxmlformats.org/drawingml/2006/main">
                  <a:graphicData uri="http://schemas.microsoft.com/office/word/2010/wordprocessingShape">
                    <wps:wsp>
                      <wps:cNvSpPr txBox="1">
                        <a:spLocks noChangeArrowheads="1"/>
                      </wps:cNvSpPr>
                      <wps:spPr bwMode="auto">
                        <a:xfrm>
                          <a:off x="0" y="0"/>
                          <a:ext cx="935355" cy="1404620"/>
                        </a:xfrm>
                        <a:prstGeom prst="rect"/>
                        <a:noFill/>
                        <a:ln w="9525">
                          <a:solidFill>
                            <a:schemeClr val="bg1"/>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color w:val="FFFFFF" w:themeColor="background1"/>
                              </w:rPr>
                            </w:pPr>
                            <w:r>
                              <w:rPr>
                                <w:b w:val="1"/>
                                <w:color w:val="FFFFFF" w:themeColor="background1"/>
                              </w:rPr>
                              <w:t>Via Ekenäs</w:t>
                            </w:r>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2" o:spid="_x0000_s1038" style="position:absolute;width:73.65pt;height:110.6pt;z-index:17;mso-wrap-distance-left:9pt;mso-wrap-distance-top:3.6pt;mso-wrap-distance-right:9pt;mso-wrap-distance-bottom:3.6pt;margin-left:266.7pt;margin-top:162.1pt;mso-position-horizontal:absolute;mso-position-horizontal-relative:text;mso-position-vertical:absolute;mso-position-vertical-relative:text;mso-height-relative:margin;mso-height-percent:200" o:allowincell="t" filled="f" strokecolor="#FFFFFF" strokeweight="0.75pt" stroked="t">
                <v:textbox style="mso-fit-shape-to-text:t" inset="3mm,1mm,3mm,1mm">
                  <w:txbxContent>
                    <w:p>
                      <w:pPr>
                        <w:rPr>
                          <w:b w:val="1"/>
                          <w:color w:val="FFFFFF" w:themeColor="background1"/>
                        </w:rPr>
                      </w:pPr>
                      <w:r>
                        <w:rPr>
                          <w:b w:val="1"/>
                          <w:color w:val="FFFFFF" w:themeColor="background1"/>
                        </w:rPr>
                        <w:t>Via Ekenäs</w:t>
                      </w:r>
                    </w:p>
                  </w:txbxContent>
                </v:textbox>
                <w10:wrap type="square"/>
              </v:shape>
            </w:pict>
          </mc:Fallback>
        </mc:AlternateContent>
      </w:r>
      <w:r>
        <w:rPr>
          <w:noProof w:val="1"/>
          <w:lang w:eastAsia="sv-SE"/>
        </w:rPr>
        <w:drawing>
          <wp:anchor xmlns:wp="http://schemas.openxmlformats.org/drawingml/2006/wordprocessingDrawing" distT="0" distB="0" distL="114300" distR="114300" simplePos="0" relativeHeight="11" behindDoc="0" locked="0" layoutInCell="1" allowOverlap="1">
            <wp:simplePos x="0" y="0"/>
            <wp:positionH relativeFrom="margin">
              <wp:align>center</wp:align>
            </wp:positionH>
            <wp:positionV relativeFrom="paragraph">
              <wp:posOffset>313690</wp:posOffset>
            </wp:positionV>
            <wp:extent cx="3877310" cy="2964180"/>
            <wp:effectExtent l="0" t="0" r="8890" b="7620"/>
            <wp:wrapTopAndBottom/>
            <wp:docPr id="1" name="Bildobjekt 1" descr="Flygbild över planområdet och kringliggande bebygg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6"/>
                    <a:srcRect t="7160"/>
                    <a:stretch>
                      <a:fillRect/>
                    </a:stretch>
                  </pic:blipFill>
                  <pic:spPr bwMode="auto">
                    <a:xfrm>
                      <a:off x="0" y="0"/>
                      <a:ext cx="3877310" cy="2964180"/>
                    </a:xfrm>
                    <a:prstGeom prst="rect"/>
                    <a:ln>
                      <a:noFill/>
                    </a:ln>
                  </pic:spPr>
                </pic:pic>
              </a:graphicData>
            </a:graphic>
          </wp:anchor>
        </w:drawing>
      </w:r>
      <w:r>
        <w:rPr>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margin">
                  <wp:align>center</wp:align>
                </wp:positionH>
                <wp:positionV relativeFrom="paragraph">
                  <wp:posOffset>3076575</wp:posOffset>
                </wp:positionV>
                <wp:extent cx="3877310" cy="635"/>
                <wp:effectExtent l="0" t="0" r="8890" b="0"/>
                <wp:wrapTopAndBottom/>
                <wp:docPr id="9" name="Textruta 9"/>
                <wp:cNvGraphicFramePr/>
                <a:graphic xmlns:a="http://schemas.openxmlformats.org/drawingml/2006/main">
                  <a:graphicData uri="http://schemas.microsoft.com/office/word/2010/wordprocessingShape">
                    <wps:wsp>
                      <wps:cNvSpPr txBox="1"/>
                      <wps:spPr>
                        <a:xfrm>
                          <a:off x="0" y="0"/>
                          <a:ext cx="387731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3"/>
                              <w:rPr>
                                <w:noProof w:val="1"/>
                              </w:rPr>
                            </w:pPr>
                            <w:r>
                              <w:t xml:space="preserve">Figur </w:t>
                            </w:r>
                            <w:r>
                              <w:fldChar w:fldCharType="begin"/>
                            </w:r>
                            <w:r>
                              <w:instrText xml:space="preserve"> SEQ Figur \* ARABIC </w:instrText>
                            </w:r>
                            <w:r>
                              <w:fldChar w:fldCharType="separate"/>
                            </w:r>
                            <w:r>
                              <w:rPr>
                                <w:noProof w:val="1"/>
                              </w:rPr>
                              <w:t>1</w:t>
                            </w:r>
                            <w:r>
                              <w:rPr>
                                <w:noProof w:val="1"/>
                              </w:rPr>
                              <w:fldChar w:fldCharType="end"/>
                            </w:r>
                            <w:r>
                              <w:t>. Orienteringskarta över del av Motala tätort. Planområdet är markerat i rött. Källa: Motala kommun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9" o:spid="_x0000_s1039" style="position:absolute;width:305.3pt;height:0.05pt;z-index:19;mso-wrap-distance-left:9pt;mso-wrap-distance-top:0pt;mso-wrap-distance-right:9pt;mso-wrap-distance-bottom:0pt;margin-left:0pt;margin-top:242.25pt;mso-position-horizontal:center;mso-position-horizontal-relative:margin;mso-position-vertical:absolute;mso-position-vertical-relative:text" o:allowincell="t" fillcolor="#FFFFFF" stroked="f">
                <v:textbox style="mso-fit-shape-to-text:t" inset="0mm,0mm,0mm,0mm">
                  <w:txbxContent>
                    <w:p>
                      <w:pPr>
                        <w:pStyle w:val="P23"/>
                        <w:rPr>
                          <w:noProof w:val="1"/>
                        </w:rPr>
                      </w:pPr>
                      <w:r>
                        <w:t xml:space="preserve">Figur </w:t>
                      </w:r>
                      <w:r>
                        <w:fldChar w:fldCharType="begin"/>
                      </w:r>
                      <w:r>
                        <w:instrText xml:space="preserve"> SEQ Figur \* ARABIC </w:instrText>
                      </w:r>
                      <w:r>
                        <w:fldChar w:fldCharType="separate"/>
                      </w:r>
                      <w:r>
                        <w:rPr>
                          <w:noProof w:val="1"/>
                        </w:rPr>
                        <w:t>1</w:t>
                      </w:r>
                      <w:r>
                        <w:rPr>
                          <w:noProof w:val="1"/>
                        </w:rPr>
                        <w:fldChar w:fldCharType="end"/>
                      </w:r>
                      <w:r>
                        <w:t>. Orienteringskarta över del av Motala tätort. Planområdet är markerat i rött. Källa: Motala kommun</w:t>
                      </w:r>
                    </w:p>
                  </w:txbxContent>
                </v:textbox>
                <w10:wrap type="topAndBottom"/>
              </v:shape>
            </w:pict>
          </mc:Fallback>
        </mc:AlternateContent>
      </w:r>
      <w:r>
        <w:rPr>
          <w:noProof w:val="1"/>
          <w:lang w:eastAsia="sv-SE"/>
        </w:rPr>
        <w:t>Fastigheten Hyvelspånet 3 ägs av en privat fastighetsägare.</w:t>
      </w:r>
    </w:p>
    <w:p>
      <w:pPr>
        <w:pStyle w:val="P2"/>
      </w:pPr>
      <w:bookmarkEnd w:id="34"/>
      <w:bookmarkStart w:id="35" w:name="_Toc89445981"/>
      <w:bookmarkStart w:id="36" w:name="_Toc101363483"/>
      <w:bookmarkStart w:id="37" w:name="_Toc174446959"/>
      <w:bookmarkStart w:id="38" w:name="be_befintligt02"/>
      <w:r>
        <w:t>B</w:t>
      </w:r>
      <w:bookmarkEnd w:id="35"/>
      <w:bookmarkEnd w:id="36"/>
      <w:r>
        <w:t>efintlig miljö</w:t>
      </w:r>
      <w:bookmarkEnd w:id="37"/>
    </w:p>
    <w:p>
      <w:pPr>
        <w:rPr>
          <w:noProof w:val="1"/>
          <w:shd w:val="clear" w:color="auto" w:fill="FFFFFF"/>
          <w:lang w:eastAsia="sv-SE"/>
        </w:rPr>
      </w:pPr>
      <w:r>
        <w:rPr>
          <w:noProof w:val="1"/>
          <w:shd w:val="clear" w:color="auto" w:fill="FFFFFF"/>
          <w:lang w:eastAsia="sv-SE"/>
        </w:rPr>
        <w:t xml:space="preserve">Området består av fastigheter med fristående villor. Norr och väster om planområdet finns bebyggelse med kulturhistoriskt värde byggda mellan 1860- och 1920-talet. Majoriteten av bebyggelsen inom kvarteret Hyvelspånet samt i de kringliggande kvarteren Hyvelstålet, Hyveltaget, Hyvelbänken, Smälthärden samt Kanalbåten är dock betydligt yngre. </w:t>
      </w:r>
    </w:p>
    <w:p>
      <w:pPr>
        <w:rPr>
          <w:noProof w:val="1"/>
          <w:shd w:val="clear" w:color="auto" w:fill="FFFFFF"/>
          <w:lang w:eastAsia="sv-SE"/>
        </w:rPr>
      </w:pPr>
    </w:p>
    <w:p>
      <w:pPr>
        <w:rPr>
          <w:noProof w:val="1"/>
          <w:shd w:val="clear" w:color="auto" w:fill="FFFFFF"/>
          <w:lang w:eastAsia="sv-SE"/>
        </w:rPr>
      </w:pPr>
      <w:bookmarkStart w:id="39" w:name="_Hlk163025979"/>
      <w:r>
        <w:rPr>
          <w:noProof w:val="1"/>
          <w:shd w:val="clear" w:color="auto" w:fill="FFFFFF"/>
          <w:lang w:eastAsia="sv-SE"/>
        </w:rPr>
        <w:t xml:space="preserve">Planområdet ingår i riksintresset för kulturmiljövården Göta kanal och ligger inom så kallat 8:13-område (8 kap 13§ PBL) vilket innebär att bebyggelseområdet är särskilt värdefullt från historisk, kulturhistorisk, miljömässig eller konstnärlig synpunkt och får därför inte förvanskas. Fastigheten pekas inte ut i de värden som beskrivs i riksintresset, men på grund av bebyggelseområdets övergripande kulturvärde så gäller strängare förvanskning- och varsamhetsregler vid kommande bygglovsprövning. </w:t>
      </w:r>
    </w:p>
    <w:p>
      <w:pPr>
        <w:rPr>
          <w:noProof w:val="1"/>
          <w:shd w:val="clear" w:color="auto" w:fill="FFFFFF"/>
          <w:lang w:eastAsia="sv-SE"/>
        </w:rPr>
      </w:pPr>
    </w:p>
    <w:p>
      <w:pPr>
        <w:rPr>
          <w:noProof w:val="1"/>
          <w:shd w:val="clear" w:color="auto" w:fill="FFFFFF"/>
          <w:lang w:eastAsia="sv-SE"/>
        </w:rPr>
      </w:pPr>
      <w:bookmarkEnd w:id="39"/>
      <w:r>
        <w:rPr>
          <w:noProof w:val="1"/>
          <w:shd w:val="clear" w:color="auto" w:fill="FFFFFF"/>
          <w:lang w:eastAsia="sv-SE"/>
        </w:rPr>
        <w:t xml:space="preserve">Fastigheten Hyvelspånet 3 är, efter en tomtreglering, betydligt större än kringliggande fastigheter. Den inreglerade delen som tidigare ägdes av Göta kanalbolag är obebygd, vilket skapar ett avstånd mellan bostadshuset och rekreationsstråket som löper längs Göta kanal. </w:t>
      </w:r>
    </w:p>
    <w:p>
      <w:pPr>
        <w:rPr>
          <w:noProof w:val="1"/>
          <w:shd w:val="clear" w:color="auto" w:fill="FFFFFF"/>
          <w:lang w:eastAsia="sv-SE"/>
        </w:rPr>
      </w:pPr>
    </w:p>
    <w:p>
      <w:pPr>
        <w:rPr>
          <w:noProof w:val="1"/>
          <w:shd w:val="clear" w:color="auto" w:fill="FFFFFF"/>
          <w:lang w:eastAsia="sv-SE"/>
        </w:rPr>
      </w:pPr>
      <w:r>
        <w:rPr>
          <w:noProof w:val="1"/>
          <w:shd w:val="clear" w:color="auto" w:fill="FFFFFF"/>
          <w:lang w:eastAsia="sv-SE"/>
        </w:rPr>
        <w:t>Planområdet är i sin helhet sedan tidigare planlagd för bostad. Den sydöstra delen av fastigheten som tidigare tillhört Kanaljorden 3:70 omfattas av strandskydd. Men för den nordvästra delen av fastigheten, det vill säga den ursprungliga delen av Hyvelspånet 3, har strandskyddet upphävts i gällande plan. Eftersom att det nu rör sig om en fastighet kommer planförslaget att föreslå att strandskyddet upphävs för hela Hyvelspånet 3, men där den del som tidi</w:t>
      </w:r>
      <w:bookmarkEnd w:id="38"/>
      <w:r>
        <w:rPr>
          <w:noProof w:val="1"/>
          <w:shd w:val="clear" w:color="auto" w:fill="FFFFFF"/>
          <w:lang w:eastAsia="sv-SE"/>
        </w:rPr>
        <w:t>gare hade gällande strandskydd kommer att i sin helhet beläggas med prickmark.</w:t>
      </w:r>
    </w:p>
    <w:p>
      <w:pPr>
        <w:rPr>
          <w:noProof w:val="1"/>
          <w:lang w:eastAsia="sv-SE"/>
        </w:rPr>
      </w:pPr>
    </w:p>
    <w:p>
      <w:pPr>
        <w:pStyle w:val="P2"/>
      </w:pPr>
      <w:bookmarkStart w:id="40" w:name="_Toc89445977"/>
      <w:bookmarkStart w:id="41" w:name="_Toc101363479"/>
      <w:bookmarkStart w:id="42" w:name="_Toc174446960"/>
      <w:bookmarkStart w:id="43" w:name="be_allmänplats02"/>
      <w:r>
        <w:t>A</w:t>
      </w:r>
      <w:bookmarkEnd w:id="40"/>
      <w:bookmarkEnd w:id="41"/>
      <w:r>
        <w:t>llmän platsmark</w:t>
      </w:r>
      <w:bookmarkEnd w:id="42"/>
    </w:p>
    <w:p>
      <w:pPr>
        <w:rPr>
          <w:noProof w:val="1"/>
          <w:lang w:eastAsia="sv-SE"/>
        </w:rPr>
      </w:pPr>
      <w:bookmarkStart w:id="44" w:name="be_allmänplats01"/>
      <w:r>
        <w:rPr>
          <w:noProof w:val="1"/>
          <w:lang w:eastAsia="sv-SE"/>
        </w:rPr>
        <w:t>Planområdet saknar allmän platsmark.</w:t>
      </w:r>
    </w:p>
    <w:p>
      <w:pPr>
        <w:rPr>
          <w:noProof w:val="1"/>
          <w:lang w:eastAsia="sv-SE"/>
        </w:rPr>
      </w:pPr>
      <w:bookmarkEnd w:id="43"/>
    </w:p>
    <w:p>
      <w:pPr>
        <w:pStyle w:val="P3"/>
        <w:rPr>
          <w:caps w:val="0"/>
        </w:rPr>
      </w:pPr>
      <w:bookmarkEnd w:id="44"/>
      <w:bookmarkStart w:id="45" w:name="_Toc89445978"/>
      <w:bookmarkStart w:id="46" w:name="_Toc101363480"/>
      <w:bookmarkStart w:id="47" w:name="_Toc174446961"/>
      <w:bookmarkStart w:id="48" w:name="be_huvudmannaskap02"/>
      <w:r>
        <w:t>H</w:t>
      </w:r>
      <w:bookmarkEnd w:id="45"/>
      <w:bookmarkEnd w:id="46"/>
      <w:r>
        <w:t>uvudmannaskap</w:t>
      </w:r>
      <w:bookmarkEnd w:id="47"/>
    </w:p>
    <w:p>
      <w:pPr>
        <w:rPr>
          <w:noProof w:val="1"/>
          <w:lang w:eastAsia="sv-SE"/>
        </w:rPr>
      </w:pPr>
      <w:bookmarkStart w:id="49" w:name="be_huvudmannaskap01"/>
      <w:r>
        <w:rPr>
          <w:noProof w:val="1"/>
          <w:lang w:eastAsia="sv-SE"/>
        </w:rPr>
        <w:t>Allmän platsmark i anslutning till planområdet har kommunalt huvudmannaskap.</w:t>
      </w:r>
    </w:p>
    <w:p>
      <w:pPr>
        <w:rPr>
          <w:noProof w:val="1"/>
          <w:lang w:eastAsia="sv-SE"/>
        </w:rPr>
      </w:pPr>
      <w:bookmarkEnd w:id="48"/>
    </w:p>
    <w:p>
      <w:pPr>
        <w:pStyle w:val="P2"/>
      </w:pPr>
      <w:bookmarkEnd w:id="49"/>
      <w:bookmarkStart w:id="50" w:name="_Toc89445979"/>
      <w:bookmarkStart w:id="51" w:name="_Toc101363481"/>
      <w:bookmarkStart w:id="52" w:name="_Toc174446962"/>
      <w:bookmarkStart w:id="53" w:name="be_kvartersmark02"/>
      <w:r>
        <w:t>K</w:t>
      </w:r>
      <w:bookmarkEnd w:id="50"/>
      <w:bookmarkEnd w:id="51"/>
      <w:r>
        <w:t>vartersmark</w:t>
      </w:r>
      <w:bookmarkEnd w:id="52"/>
    </w:p>
    <w:p>
      <w:pPr>
        <w:rPr>
          <w:noProof w:val="1"/>
          <w:lang w:eastAsia="sv-SE"/>
        </w:rPr>
      </w:pPr>
      <w:bookmarkStart w:id="54" w:name="be_kvartersmark01"/>
      <w:r>
        <w:rPr>
          <w:noProof w:val="1"/>
          <w:lang w:eastAsia="sv-SE"/>
        </w:rPr>
        <w:t>Kvartersmarken inom och i anslutning till planområdet är i sin helhet reglerad för bostadsändamål.</w:t>
      </w:r>
    </w:p>
    <w:p>
      <w:pPr>
        <w:rPr>
          <w:noProof w:val="1"/>
          <w:lang w:eastAsia="sv-SE"/>
        </w:rPr>
      </w:pPr>
    </w:p>
    <w:p>
      <w:pPr>
        <w:rPr>
          <w:noProof w:val="1"/>
          <w:lang w:eastAsia="sv-SE"/>
        </w:rPr>
      </w:pPr>
      <w:r>
        <w:rPr>
          <w:noProof w:val="1"/>
          <w:lang w:eastAsia="sv-SE"/>
        </w:rPr>
        <w:t>Den nya detaljplanen kommer att tillåta byggnation bostäder. Befintlig prickmark mot Norra Kanalvägen, som tidigare tillhört Kanaljorden 3:70, kvarstår på samma sätt som tidigare detaljplan. Bestämmelse om högsta tillåtna expolatering och byggnation inom planområdet finns samt att minst 60% av marken ska vara genomsläpplig.</w:t>
      </w:r>
    </w:p>
    <w:p>
      <w:pPr>
        <w:rPr>
          <w:noProof w:val="1"/>
          <w:lang w:eastAsia="sv-SE"/>
        </w:rPr>
      </w:pPr>
      <w:bookmarkEnd w:id="53"/>
    </w:p>
    <w:p>
      <w:pPr>
        <w:pStyle w:val="P2"/>
      </w:pPr>
      <w:bookmarkStart w:id="55" w:name="_Toc132627662"/>
      <w:bookmarkStart w:id="56" w:name="_Toc174446963"/>
      <w:bookmarkStart w:id="57" w:name="be_vattenområde02"/>
      <w:r>
        <w:t>Vattenområde</w:t>
      </w:r>
      <w:bookmarkEnd w:id="55"/>
      <w:bookmarkEnd w:id="56"/>
    </w:p>
    <w:p>
      <w:pPr>
        <w:rPr>
          <w:noProof w:val="1"/>
          <w:lang w:eastAsia="sv-SE"/>
        </w:rPr>
      </w:pPr>
      <w:r>
        <w:rPr>
          <w:noProof w:val="1"/>
          <w:lang w:eastAsia="sv-SE"/>
        </w:rPr>
        <w:t>Planområdet saknar vattenområde</w:t>
      </w:r>
    </w:p>
    <w:p>
      <w:pPr>
        <w:rPr>
          <w:i w:val="1"/>
          <w:noProof w:val="1"/>
          <w:lang w:eastAsia="sv-SE"/>
        </w:rPr>
      </w:pPr>
      <w:bookmarkEnd w:id="57"/>
      <w:bookmarkStart w:id="58" w:name="be_vattenområde01"/>
      <w:bookmarkStart w:id="59" w:name="be_befintligt01"/>
    </w:p>
    <w:p>
      <w:pPr>
        <w:pStyle w:val="P2"/>
      </w:pPr>
      <w:bookmarkEnd w:id="54"/>
      <w:bookmarkEnd w:id="58"/>
      <w:bookmarkEnd w:id="59"/>
      <w:bookmarkStart w:id="60" w:name="_Toc101363478"/>
      <w:bookmarkStart w:id="61" w:name="_Toc174446964"/>
      <w:bookmarkStart w:id="62" w:name="be_genomförandetid02"/>
      <w:bookmarkStart w:id="63" w:name="_Toc89445980"/>
      <w:bookmarkStart w:id="64" w:name="_Toc101363482"/>
      <w:r>
        <w:t>G</w:t>
      </w:r>
      <w:bookmarkEnd w:id="60"/>
      <w:r>
        <w:t>enomförandetid</w:t>
      </w:r>
      <w:bookmarkEnd w:id="61"/>
    </w:p>
    <w:p>
      <w:pPr>
        <w:rPr>
          <w:noProof w:val="1"/>
          <w:lang w:eastAsia="sv-SE"/>
        </w:rPr>
      </w:pPr>
      <w:bookmarkStart w:id="65" w:name="be_genomförandetid01"/>
      <w:r>
        <w:rPr>
          <w:noProof w:val="1"/>
          <w:lang w:eastAsia="sv-SE"/>
        </w:rPr>
        <w:t>Genomförandetiden är 5 år från det att planen har vunnit laga kraft.</w:t>
      </w:r>
    </w:p>
    <w:p>
      <w:pPr>
        <w:rPr>
          <w:noProof w:val="1"/>
          <w:lang w:eastAsia="sv-SE"/>
        </w:rPr>
      </w:pPr>
      <w:bookmarkEnd w:id="62"/>
    </w:p>
    <w:p>
      <w:pPr>
        <w:rPr>
          <w:noProof w:val="1"/>
          <w:lang w:eastAsia="sv-SE"/>
        </w:rPr>
      </w:pPr>
      <w:bookmarkEnd w:id="63"/>
      <w:bookmarkEnd w:id="64"/>
      <w:bookmarkEnd w:id="65"/>
      <w:bookmarkStart w:id="66" w:name="_Hlk90559247"/>
      <w:bookmarkStart w:id="67" w:name="be_annat01"/>
    </w:p>
    <w:p>
      <w:pPr>
        <w:spacing w:lineRule="auto" w:line="259" w:after="160" w:beforeAutospacing="0" w:afterAutospacing="0"/>
        <w:rPr>
          <w:rFonts w:ascii="Arial" w:hAnsi="Arial" w:cs="Arial" w:eastAsia="Arial"/>
          <w:noProof w:val="1"/>
          <w:color w:val="000000"/>
          <w:shd w:val="clear" w:color="auto" w:fill="FFFFFF"/>
          <w:lang w:eastAsia="sv-SE"/>
        </w:rPr>
      </w:pPr>
      <w:bookmarkEnd w:id="66"/>
      <w:bookmarkEnd w:id="67"/>
      <w:r>
        <w:rPr>
          <w:rFonts w:ascii="Arial" w:hAnsi="Arial" w:cs="Arial" w:eastAsia="Arial"/>
          <w:noProof w:val="1"/>
          <w:color w:val="000000"/>
          <w:shd w:val="clear" w:color="auto" w:fill="FFFFFF"/>
          <w:lang w:eastAsia="sv-SE"/>
        </w:rPr>
        <w:br w:type="page"/>
      </w:r>
    </w:p>
    <w:p>
      <w:pPr>
        <w:pStyle w:val="P1"/>
      </w:pPr>
      <w:bookmarkStart w:id="68" w:name="_Toc89445985"/>
      <w:bookmarkStart w:id="69" w:name="_Toc101363487"/>
      <w:bookmarkStart w:id="70" w:name="_Toc174446965"/>
      <w:r>
        <w:t xml:space="preserve">Motiv till </w:t>
      </w:r>
      <w:bookmarkEnd w:id="68"/>
      <w:bookmarkEnd w:id="69"/>
      <w:r>
        <w:t>detaljplanens regleringar</w:t>
      </w:r>
      <w:bookmarkEnd w:id="70"/>
      <w:bookmarkStart w:id="71" w:name="_Toc89445986"/>
      <w:bookmarkStart w:id="72" w:name="_Toc101363488"/>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motiven till de enskilda regleringarna i </w:t>
            </w:r>
            <w:r>
              <w:rPr>
                <w:noProof w:val="1"/>
                <w:lang w:eastAsia="sv-SE"/>
              </w:rPr>
              <w:t>planen</w:t>
            </w:r>
            <w:r>
              <w:rPr>
                <w:lang w:eastAsia="sv-SE"/>
              </w:rPr>
              <w:t xml:space="preserve">. Redovisningen ska göras utifrån </w:t>
            </w:r>
            <w:r>
              <w:rPr>
                <w:noProof w:val="1"/>
                <w:lang w:eastAsia="sv-SE"/>
              </w:rPr>
              <w:t xml:space="preserve">planens </w:t>
            </w:r>
            <w:r>
              <w:rPr>
                <w:lang w:eastAsia="sv-SE"/>
              </w:rPr>
              <w:t>syfte och andra kapitlet i plan- och bygglagen (PBL).</w:t>
            </w:r>
          </w:p>
        </w:tc>
      </w:tr>
    </w:tbl>
    <w:p>
      <w:pPr>
        <w:rPr>
          <w:lang w:eastAsia="sv-SE"/>
        </w:rPr>
      </w:pPr>
    </w:p>
    <w:p>
      <w:pPr>
        <w:pStyle w:val="P2"/>
      </w:pPr>
      <w:bookmarkStart w:id="73" w:name="_Toc174446966"/>
      <w:r>
        <w:t>M</w:t>
      </w:r>
      <w:bookmarkEnd w:id="71"/>
      <w:bookmarkEnd w:id="72"/>
      <w:r>
        <w:t>otiv till regleringar</w:t>
      </w:r>
      <w:bookmarkEnd w:id="73"/>
    </w:p>
    <w:p>
      <w:pPr>
        <w:pStyle w:val="P3"/>
      </w:pPr>
      <w:bookmarkStart w:id="74" w:name="_Toc89445988"/>
      <w:bookmarkStart w:id="75" w:name="_Toc101363490"/>
      <w:bookmarkStart w:id="76" w:name="_Toc132627672"/>
      <w:bookmarkStart w:id="77" w:name="_Toc174446967"/>
      <w:bookmarkStart w:id="78" w:name="mo_motivtillreglering01"/>
      <w:r>
        <w:t xml:space="preserve">Användning av </w:t>
      </w:r>
      <w:bookmarkEnd w:id="74"/>
      <w:bookmarkEnd w:id="75"/>
      <w:r>
        <w:t>kvartersmark</w:t>
      </w:r>
      <w:bookmarkEnd w:id="76"/>
      <w:bookmarkEnd w:id="77"/>
    </w:p>
    <w:p>
      <w:pPr>
        <w:rPr>
          <w:rFonts w:ascii="Garamond" w:hAnsi="Garamond"/>
          <w:noProof w:val="1"/>
          <w:lang w:val="sv-SE" w:bidi="ar-SA" w:eastAsia="sv-SE"/>
        </w:rPr>
      </w:pPr>
      <w:bookmarkStart w:id="79" w:name="_Toc89445989"/>
      <w:r>
        <w:rPr>
          <w:b w:val="1"/>
          <w:noProof w:val="1"/>
          <w:lang w:eastAsia="sv-SE"/>
        </w:rPr>
        <w:t>B – Bostäder</w:t>
      </w:r>
      <w:r>
        <w:rPr>
          <w:noProof w:val="1"/>
          <w:lang w:eastAsia="sv-SE"/>
        </w:rPr>
        <w:t xml:space="preserve">: </w:t>
      </w:r>
      <w:bookmarkEnd w:id="79"/>
      <w:bookmarkStart w:id="80" w:name="_Toc89445990"/>
      <w:r>
        <w:rPr>
          <w:noProof w:val="1"/>
          <w:lang w:eastAsia="sv-SE"/>
        </w:rPr>
        <w:t>Motivet att planlägga för B utgår ifrån 2 kap. 2 §. Bestämmelsen ska syfta till att mark- o</w:t>
      </w:r>
    </w:p>
    <w:p>
      <w:pPr>
        <w:rPr>
          <w:noProof w:val="1"/>
          <w:lang w:eastAsia="sv-SE"/>
        </w:rPr>
      </w:pPr>
      <w:r>
        <w:rPr>
          <w:noProof w:val="1"/>
          <w:lang w:eastAsia="sv-SE"/>
        </w:rPr>
        <w:t xml:space="preserve">ch vattenområden används för det eller de ändamål som områdena är mest lämpade för med hänsyn till beskaffenhet, läge och behov. Företräde ska ges åt sådan användning som från allmän synpunkt medför en god hushållning. </w:t>
      </w:r>
    </w:p>
    <w:p>
      <w:pPr>
        <w:rPr>
          <w:noProof w:val="1"/>
          <w:lang w:eastAsia="sv-SE"/>
        </w:rPr>
      </w:pPr>
    </w:p>
    <w:p>
      <w:pPr>
        <w:rPr>
          <w:noProof w:val="1"/>
          <w:lang w:eastAsia="sv-SE"/>
        </w:rPr>
      </w:pPr>
      <w:r>
        <w:rPr>
          <w:noProof w:val="1"/>
          <w:lang w:eastAsia="sv-SE"/>
        </w:rPr>
        <w:t>Regleringen görs för att bevara den användning som redan råder inom planområdet.</w:t>
      </w:r>
      <w:bookmarkEnd w:id="78"/>
    </w:p>
    <w:p>
      <w:pPr>
        <w:pStyle w:val="P3"/>
      </w:pPr>
      <w:bookmarkStart w:id="81" w:name="_Toc101363493"/>
      <w:bookmarkStart w:id="82" w:name="_Toc132627675"/>
      <w:bookmarkStart w:id="83" w:name="_Toc174446968"/>
      <w:r>
        <w:t xml:space="preserve">Egenskapsbestämmelser för </w:t>
      </w:r>
      <w:bookmarkEnd w:id="80"/>
      <w:bookmarkEnd w:id="81"/>
      <w:r>
        <w:t>kvartersmark</w:t>
      </w:r>
      <w:bookmarkEnd w:id="82"/>
      <w:bookmarkEnd w:id="83"/>
    </w:p>
    <w:p>
      <w:pPr>
        <w:pStyle w:val="P4"/>
        <w:rPr>
          <w:lang w:eastAsia="sv-SE"/>
        </w:rPr>
      </w:pPr>
      <w:bookmarkStart w:id="84" w:name="mo_motivtillreglering02"/>
      <w:r>
        <w:rPr>
          <w:lang w:eastAsia="sv-SE"/>
        </w:rPr>
        <w:t>Nyttjandegrad</w:t>
      </w:r>
    </w:p>
    <w:p>
      <w:pPr>
        <w:rPr>
          <w:noProof w:val="1"/>
          <w:lang w:eastAsia="sv-SE"/>
        </w:rPr>
      </w:pPr>
      <w:r>
        <w:rPr>
          <w:b w:val="1"/>
          <w:noProof w:val="1"/>
          <w:lang w:eastAsia="sv-SE"/>
        </w:rPr>
        <w:t>e</w:t>
      </w:r>
      <w:r>
        <w:rPr>
          <w:b w:val="1"/>
          <w:noProof w:val="1"/>
          <w:vertAlign w:val="subscript"/>
          <w:lang w:eastAsia="sv-SE"/>
        </w:rPr>
        <w:t>1</w:t>
      </w:r>
      <w:r>
        <w:rPr>
          <w:b w:val="1"/>
          <w:noProof w:val="1"/>
          <w:lang w:eastAsia="sv-SE"/>
        </w:rPr>
        <w:t xml:space="preserve"> </w:t>
      </w:r>
      <w:r>
        <w:rPr>
          <w:noProof w:val="1"/>
          <w:lang w:eastAsia="sv-SE"/>
        </w:rPr>
        <w:t xml:space="preserve">– </w:t>
      </w:r>
      <w:r>
        <w:rPr>
          <w:b w:val="1"/>
          <w:noProof w:val="1"/>
          <w:lang w:eastAsia="sv-SE"/>
        </w:rPr>
        <w:t>Största byggnadsarea är 20% av fastighetsarean inom användningsområdet</w:t>
      </w:r>
      <w:r>
        <w:rPr>
          <w:noProof w:val="1"/>
          <w:lang w:eastAsia="sv-SE"/>
        </w:rPr>
        <w:t>: Motivet att planlägga för e</w:t>
      </w:r>
      <w:r>
        <w:rPr>
          <w:noProof w:val="1"/>
          <w:vertAlign w:val="subscript"/>
          <w:lang w:eastAsia="sv-SE"/>
        </w:rPr>
        <w:t>1</w:t>
      </w:r>
      <w:r>
        <w:rPr>
          <w:noProof w:val="1"/>
          <w:lang w:eastAsia="sv-SE"/>
        </w:rPr>
        <w:t xml:space="preserve"> utgår ifrån 2 kap. 6 § att bebyggelse ska utformas och placeras på den avsedda marken på ett sätt som är lämpligt med hänsyn till stads- och landskapsbilden, natur- och kulturvärdena på platsen och intresset av en god helhetsverkan, samt behovet av framtida förändringar och kompletteringar. </w:t>
      </w:r>
    </w:p>
    <w:p>
      <w:pPr>
        <w:rPr>
          <w:noProof w:val="1"/>
          <w:lang w:eastAsia="sv-SE"/>
        </w:rPr>
      </w:pPr>
    </w:p>
    <w:p>
      <w:pPr>
        <w:rPr>
          <w:noProof w:val="1"/>
          <w:lang w:eastAsia="sv-SE"/>
        </w:rPr>
      </w:pPr>
      <w:r>
        <w:rPr>
          <w:noProof w:val="1"/>
          <w:lang w:eastAsia="sv-SE"/>
        </w:rPr>
        <w:t>Regleringen görs för att undvika oproportionerligt stora byggnader i förhållande till fastighetsstorlek samt för att ta hänsyn till områdets befintliga bebyggelsevolymer.</w:t>
      </w:r>
    </w:p>
    <w:p>
      <w:pPr>
        <w:rPr>
          <w:noProof w:val="1"/>
          <w:lang w:eastAsia="sv-SE"/>
        </w:rPr>
      </w:pPr>
      <w:bookmarkEnd w:id="84"/>
    </w:p>
    <w:p>
      <w:pPr>
        <w:pStyle w:val="P4"/>
        <w:rPr>
          <w:noProof w:val="1"/>
        </w:rPr>
      </w:pPr>
      <w:bookmarkStart w:id="85" w:name="mo_motivtillreglering03"/>
      <w:r>
        <w:rPr>
          <w:noProof w:val="1"/>
        </w:rPr>
        <w:t>Höjd på byggnadsverk</w:t>
      </w:r>
    </w:p>
    <w:p>
      <w:pPr>
        <w:rPr>
          <w:noProof w:val="1"/>
          <w:lang w:eastAsia="sv-SE"/>
        </w:rPr>
      </w:pPr>
      <w:r>
        <w:rPr>
          <w:b w:val="1"/>
          <w:noProof w:val="1"/>
          <w:lang w:eastAsia="sv-SE"/>
        </w:rPr>
        <w:t>h</w:t>
      </w:r>
      <w:r>
        <w:rPr>
          <w:b w:val="1"/>
          <w:noProof w:val="1"/>
          <w:vertAlign w:val="subscript"/>
          <w:lang w:eastAsia="sv-SE"/>
        </w:rPr>
        <w:t>1</w:t>
      </w:r>
      <w:r>
        <w:rPr>
          <w:b w:val="1"/>
          <w:noProof w:val="1"/>
          <w:lang w:eastAsia="sv-SE"/>
        </w:rPr>
        <w:t xml:space="preserve"> </w:t>
      </w:r>
      <w:r>
        <w:rPr>
          <w:noProof w:val="1"/>
          <w:lang w:eastAsia="sv-SE"/>
        </w:rPr>
        <w:t xml:space="preserve">- </w:t>
      </w:r>
      <w:r>
        <w:rPr>
          <w:b w:val="1"/>
          <w:noProof w:val="1"/>
          <w:lang w:eastAsia="sv-SE"/>
        </w:rPr>
        <w:t>Högsta nockhöjd på huvudbyggnad är 9,0 meter</w:t>
      </w:r>
      <w:r>
        <w:rPr>
          <w:noProof w:val="1"/>
          <w:lang w:eastAsia="sv-SE"/>
        </w:rPr>
        <w:t>: Motivet att planlägga för h</w:t>
      </w:r>
      <w:r>
        <w:rPr>
          <w:noProof w:val="1"/>
          <w:vertAlign w:val="subscript"/>
          <w:lang w:eastAsia="sv-SE"/>
        </w:rPr>
        <w:t>1</w:t>
      </w:r>
      <w:r>
        <w:rPr>
          <w:noProof w:val="1"/>
          <w:lang w:eastAsia="sv-SE"/>
        </w:rPr>
        <w:t xml:space="preserve"> utgår ifrån 2 kap. 6 § att bebyggelse ska utformas och placeras på den avsedda marken på ett sätt som är lämpligt med hänsyn till stads- och landskapsbilden, natur- och kulturvärdena på platsen och intresset av en god helhetsverkan, samt behovet av framtida förändringar och kompletteringar. </w:t>
      </w:r>
    </w:p>
    <w:p>
      <w:pPr>
        <w:rPr>
          <w:noProof w:val="1"/>
          <w:lang w:eastAsia="sv-SE"/>
        </w:rPr>
      </w:pPr>
    </w:p>
    <w:p>
      <w:pPr>
        <w:rPr>
          <w:noProof w:val="1"/>
          <w:lang w:eastAsia="sv-SE"/>
        </w:rPr>
      </w:pPr>
      <w:r>
        <w:rPr>
          <w:noProof w:val="1"/>
          <w:lang w:eastAsia="sv-SE"/>
        </w:rPr>
        <w:t xml:space="preserve">Regleringen görs för att harmonisera med befintlig byggnad och kringliggande stads- och  detaljplaner. Föregående stadsplan (SP321) har bestämmelse om byggnadshöjd, vilket avser höjden mellan medelmarknivå och takfot. En modernare bestämmelse är nockhöjd som avser höjden mellan medelmarknivå och husets nockhöjd. Därtill kan eventuella skorstenar, antenner, eller liknande sticka upp.</w:t>
      </w:r>
    </w:p>
    <w:p>
      <w:pPr>
        <w:rPr>
          <w:noProof w:val="1"/>
          <w:lang w:eastAsia="sv-SE"/>
        </w:rPr>
      </w:pPr>
      <w:bookmarkEnd w:id="85"/>
    </w:p>
    <w:p>
      <w:pPr>
        <w:rPr>
          <w:noProof w:val="1"/>
          <w:lang w:eastAsia="sv-SE"/>
        </w:rPr>
      </w:pPr>
      <w:bookmarkStart w:id="86" w:name="mo_motivtillreglering04"/>
      <w:r>
        <w:rPr>
          <w:b w:val="1"/>
          <w:noProof w:val="1"/>
          <w:lang w:eastAsia="sv-SE"/>
        </w:rPr>
        <w:t>h</w:t>
      </w:r>
      <w:r>
        <w:rPr>
          <w:b w:val="1"/>
          <w:noProof w:val="1"/>
          <w:vertAlign w:val="subscript"/>
          <w:lang w:eastAsia="sv-SE"/>
        </w:rPr>
        <w:t>2</w:t>
      </w:r>
      <w:r>
        <w:rPr>
          <w:b w:val="1"/>
          <w:noProof w:val="1"/>
          <w:lang w:eastAsia="sv-SE"/>
        </w:rPr>
        <w:t xml:space="preserve"> </w:t>
      </w:r>
      <w:r>
        <w:rPr>
          <w:noProof w:val="1"/>
          <w:lang w:eastAsia="sv-SE"/>
        </w:rPr>
        <w:t xml:space="preserve">- </w:t>
      </w:r>
      <w:r>
        <w:rPr>
          <w:b w:val="1"/>
          <w:noProof w:val="1"/>
          <w:lang w:eastAsia="sv-SE"/>
        </w:rPr>
        <w:t>Högsta nockhöjd på komplementbyggnad är 4,5 meter</w:t>
      </w:r>
      <w:r>
        <w:rPr>
          <w:noProof w:val="1"/>
          <w:lang w:eastAsia="sv-SE"/>
        </w:rPr>
        <w:t>: Motivet att planlägga för h</w:t>
      </w:r>
      <w:r>
        <w:rPr>
          <w:noProof w:val="1"/>
          <w:vertAlign w:val="subscript"/>
          <w:lang w:eastAsia="sv-SE"/>
        </w:rPr>
        <w:t>2</w:t>
      </w:r>
      <w:r>
        <w:rPr>
          <w:noProof w:val="1"/>
          <w:lang w:eastAsia="sv-SE"/>
        </w:rPr>
        <w:t xml:space="preserve"> utgår ifrån 2 kap. 6 § att bebyggelse ska utformas och placeras på den avsedda marken på ett sätt som är lämpligt med hänsyn till stads- och landskapsbilden, natur- och kulturvärdena på platsen och intresset av en god helhetsverkan, samt behovet av framtida förändringar och kompletteringar. </w:t>
      </w:r>
    </w:p>
    <w:p>
      <w:pPr>
        <w:rPr>
          <w:noProof w:val="1"/>
          <w:lang w:eastAsia="sv-SE"/>
        </w:rPr>
      </w:pPr>
    </w:p>
    <w:p>
      <w:pPr>
        <w:rPr>
          <w:noProof w:val="1"/>
          <w:lang w:eastAsia="sv-SE"/>
        </w:rPr>
      </w:pPr>
      <w:r>
        <w:rPr>
          <w:noProof w:val="1"/>
          <w:lang w:eastAsia="sv-SE"/>
        </w:rPr>
        <w:t xml:space="preserve">Regleringen görs för att harmonisera med tidigare och kringliggande stads- och  detaljplaner, som tillåter komplementbyggnader med högsta byggnadshöjd om 3 meter. Bestämmelse om byggnadshöjd avser höjden mellan medelmarknivå och takfot. En modernare bestämmelse är nockhöjd som avser höjden mellan medelmarknivå och husets nockhöjd. Därtill kan eventuella skorstenar, antenner, eller liknande sticka upp.</w:t>
      </w:r>
    </w:p>
    <w:p>
      <w:pPr>
        <w:rPr>
          <w:noProof w:val="1"/>
          <w:lang w:eastAsia="sv-SE"/>
        </w:rPr>
      </w:pPr>
      <w:bookmarkEnd w:id="86"/>
      <w:bookmarkStart w:id="87" w:name="mo_motivtillreglering05"/>
    </w:p>
    <w:p>
      <w:pPr>
        <w:pStyle w:val="P4"/>
        <w:rPr>
          <w:noProof w:val="1"/>
          <w:lang w:eastAsia="sv-SE"/>
        </w:rPr>
      </w:pPr>
      <w:r>
        <w:rPr>
          <w:noProof w:val="1"/>
          <w:lang w:eastAsia="sv-SE"/>
        </w:rPr>
        <w:t>Begränsning av markens utnyttjande</w:t>
      </w:r>
    </w:p>
    <w:p>
      <w:pPr>
        <w:ind w:firstLine="720"/>
        <w:rPr>
          <w:noProof w:val="1"/>
          <w:lang w:eastAsia="sv-SE"/>
        </w:rPr>
      </w:pPr>
      <w:r>
        <w:rPr>
          <w:noProof w:val="1"/>
          <w:lang w:eastAsia="sv-SE"/>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47625</wp:posOffset>
                </wp:positionH>
                <wp:positionV relativeFrom="paragraph">
                  <wp:posOffset>46990</wp:posOffset>
                </wp:positionV>
                <wp:extent cx="363855" cy="116840"/>
                <wp:effectExtent l="0" t="0" r="17145" b="16510"/>
                <wp:wrapNone/>
                <wp:docPr id="42" name="Rektangel 42"/>
                <wp:cNvGraphicFramePr/>
                <a:graphic xmlns:a="http://schemas.openxmlformats.org/drawingml/2006/main">
                  <a:graphicData uri="http://schemas.microsoft.com/office/word/2010/wordprocessingShape">
                    <wps:wsp>
                      <wps:cNvSpPr/>
                      <wps:spPr>
                        <a:xfrm>
                          <a:off x="0" y="0"/>
                          <a:ext cx="364105" cy="117088"/>
                        </a:xfrm>
                        <a:prstGeom prst="rect"/>
                        <a:pattFill prst="pct10">
                          <a:fgClr>
                            <a:schemeClr val="tx1"/>
                          </a:fgClr>
                          <a:bgClr>
                            <a:schemeClr val="bg1"/>
                          </a:bgClr>
                        </a:pattFill>
                        <a:ln w="9525">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42" o:spid="_x0000_s1040" style="position:absolute;width:28.65pt;height:9.2pt;z-index:6;mso-wrap-distance-left:9pt;mso-wrap-distance-top:0pt;mso-wrap-distance-right:9pt;mso-wrap-distance-bottom:0pt;margin-left:3.75pt;margin-top:3.7pt;mso-position-horizontal:absolute;mso-position-horizontal-relative:text;mso-position-vertical:absolute;mso-position-vertical-relative:text;v-text-anchor:middle" o:allowincell="t" fillcolor="#000000" strokecolor="#000000" strokeweight="0.75pt" stroked="t">
                <v:textbox inset="3mm,1mm,3mm,1mm">
                  <w:txbxContent>
                    <w:p/>
                  </w:txbxContent>
                </v:textbox>
                <v:fill color2="#FFFFFF" type="pattern"/>
              </v:rect>
            </w:pict>
          </mc:Fallback>
        </mc:AlternateContent>
      </w:r>
      <w:r>
        <w:rPr>
          <w:noProof w:val="1"/>
          <w:lang w:eastAsia="sv-SE"/>
        </w:rPr>
        <w:t xml:space="preserve">- </w:t>
      </w:r>
      <w:r>
        <w:rPr>
          <w:b w:val="1"/>
          <w:noProof w:val="1"/>
          <w:lang w:eastAsia="sv-SE"/>
        </w:rPr>
        <w:t>Marken får inte förses med byggnad</w:t>
      </w:r>
      <w:r>
        <w:rPr>
          <w:noProof w:val="1"/>
          <w:lang w:eastAsia="sv-SE"/>
        </w:rPr>
        <w:t xml:space="preserve">: Motivet att planlägga för prickmark utgår ifrån 2 kap. 6 § att bebyggelse ska utformas och placeras på den avsedda marken på ett sätt som är lämpligt med hänsyn till stads- och landskapsbilden, natur- och kulturvärdena på platsen och intresset av en god helhetsverkan, samt behovet av framtida förändringar och kompletteringar. </w:t>
      </w:r>
    </w:p>
    <w:p>
      <w:pPr>
        <w:rPr>
          <w:noProof w:val="1"/>
          <w:lang w:eastAsia="sv-SE"/>
        </w:rPr>
      </w:pPr>
    </w:p>
    <w:p>
      <w:pPr>
        <w:rPr>
          <w:noProof w:val="1"/>
          <w:lang w:eastAsia="sv-SE"/>
        </w:rPr>
      </w:pPr>
      <w:r>
        <w:rPr>
          <w:noProof w:val="1"/>
          <w:lang w:eastAsia="sv-SE"/>
        </w:rPr>
        <w:t>Regleringen av prickmarken görs för att säkerställa att även då strandskyddet upphävs inom planområdet så bevaras ett bebyggelsefritt avstånd till det allmänna strövområdet.</w:t>
      </w:r>
    </w:p>
    <w:p>
      <w:pPr>
        <w:pStyle w:val="P4"/>
        <w:numPr>
          <w:ilvl w:val="0"/>
          <w:numId w:val="0"/>
        </w:numPr>
        <w:ind w:firstLine="0" w:left="0"/>
        <w:rPr>
          <w:noProof w:val="1"/>
          <w:lang w:eastAsia="sv-SE"/>
        </w:rPr>
      </w:pPr>
      <w:bookmarkEnd w:id="87"/>
    </w:p>
    <w:p>
      <w:pPr>
        <w:pStyle w:val="P4"/>
        <w:rPr>
          <w:noProof w:val="1"/>
          <w:lang w:eastAsia="sv-SE"/>
        </w:rPr>
      </w:pPr>
      <w:bookmarkStart w:id="88" w:name="mo_motivtillreglering06"/>
      <w:r>
        <w:rPr>
          <w:noProof w:val="1"/>
          <w:lang w:eastAsia="sv-SE"/>
        </w:rPr>
        <w:t>Placering</w:t>
      </w:r>
    </w:p>
    <w:p>
      <w:pPr>
        <w:rPr>
          <w:noProof w:val="1"/>
          <w:lang w:eastAsia="sv-SE"/>
        </w:rPr>
      </w:pPr>
      <w:r>
        <w:rPr>
          <w:b w:val="1"/>
          <w:noProof w:val="1"/>
          <w:lang w:eastAsia="sv-SE"/>
        </w:rPr>
        <w:t>p</w:t>
      </w:r>
      <w:r>
        <w:rPr>
          <w:b w:val="1"/>
          <w:noProof w:val="1"/>
          <w:vertAlign w:val="subscript"/>
          <w:lang w:eastAsia="sv-SE"/>
        </w:rPr>
        <w:t>1</w:t>
      </w:r>
      <w:r>
        <w:rPr>
          <w:noProof w:val="1"/>
          <w:lang w:eastAsia="sv-SE"/>
        </w:rPr>
        <w:t xml:space="preserve"> – </w:t>
      </w:r>
      <w:r>
        <w:rPr>
          <w:b w:val="1"/>
          <w:noProof w:val="1"/>
          <w:lang w:eastAsia="sv-SE"/>
        </w:rPr>
        <w:t>Huvudbyggnad ska placeras minst 4 meter från fastighetsgräns.</w:t>
      </w:r>
      <w:r>
        <w:rPr>
          <w:noProof w:val="1"/>
          <w:lang w:eastAsia="sv-SE"/>
        </w:rPr>
        <w:t xml:space="preserve"> Motivet att planlägga för p</w:t>
      </w:r>
      <w:r>
        <w:rPr>
          <w:noProof w:val="1"/>
          <w:vertAlign w:val="subscript"/>
          <w:lang w:eastAsia="sv-SE"/>
        </w:rPr>
        <w:t>1</w:t>
      </w:r>
      <w:r>
        <w:rPr>
          <w:noProof w:val="1"/>
          <w:lang w:eastAsia="sv-SE"/>
        </w:rPr>
        <w:t xml:space="preserve"> utgår ifrån 2 kap 2 § i syfte till att mark- och vattenområden används för det eller de ändamål som områdena är mest lämpade för med hänsyn till beskaffenhet, läge och behov. Företräde ska ges åt sådan användning som från allmän synpunkt medför en god hushållning</w:t>
      </w:r>
    </w:p>
    <w:p>
      <w:pPr>
        <w:rPr>
          <w:lang w:eastAsia="sv-SE"/>
        </w:rPr>
      </w:pPr>
    </w:p>
    <w:p>
      <w:pPr>
        <w:rPr>
          <w:lang w:eastAsia="sv-SE"/>
        </w:rPr>
      </w:pPr>
      <w:r>
        <w:rPr>
          <w:lang w:eastAsia="sv-SE"/>
        </w:rPr>
        <w:t>Regleringen görs för att skapa en säkrare miljö för människor i fråga om utrymning och tillgänglighet.</w:t>
      </w:r>
    </w:p>
    <w:p>
      <w:pPr>
        <w:rPr>
          <w:lang w:eastAsia="sv-SE"/>
        </w:rPr>
      </w:pPr>
      <w:bookmarkEnd w:id="88"/>
    </w:p>
    <w:p>
      <w:pPr>
        <w:pStyle w:val="P4"/>
        <w:rPr>
          <w:noProof w:val="1"/>
          <w:lang w:eastAsia="sv-SE"/>
        </w:rPr>
      </w:pPr>
      <w:bookmarkStart w:id="89" w:name="mo_motivtillreglering07"/>
      <w:r>
        <w:rPr>
          <w:noProof w:val="1"/>
          <w:lang w:eastAsia="sv-SE"/>
        </w:rPr>
        <w:t>Utförande</w:t>
      </w:r>
    </w:p>
    <w:p>
      <w:pPr>
        <w:rPr>
          <w:noProof w:val="1"/>
          <w:lang w:eastAsia="sv-SE"/>
        </w:rPr>
      </w:pPr>
      <w:r>
        <w:rPr>
          <w:b w:val="1"/>
          <w:noProof w:val="1"/>
          <w:lang w:eastAsia="sv-SE"/>
        </w:rPr>
        <w:t>b</w:t>
      </w:r>
      <w:r>
        <w:rPr>
          <w:b w:val="1"/>
          <w:noProof w:val="1"/>
          <w:vertAlign w:val="subscript"/>
          <w:lang w:eastAsia="sv-SE"/>
        </w:rPr>
        <w:t>1</w:t>
      </w:r>
      <w:r>
        <w:rPr>
          <w:noProof w:val="1"/>
          <w:lang w:eastAsia="sv-SE"/>
        </w:rPr>
        <w:t xml:space="preserve"> – </w:t>
      </w:r>
      <w:r>
        <w:rPr>
          <w:b w:val="1"/>
          <w:noProof w:val="1"/>
          <w:lang w:eastAsia="sv-SE"/>
        </w:rPr>
        <w:t>Minst 60% av användningsområdet ska sammanlagt vara genomsläppligt</w:t>
      </w:r>
      <w:r>
        <w:rPr>
          <w:noProof w:val="1"/>
          <w:lang w:eastAsia="sv-SE"/>
        </w:rPr>
        <w:t>: Motivet att planlägga för b</w:t>
      </w:r>
      <w:r>
        <w:rPr>
          <w:noProof w:val="1"/>
          <w:vertAlign w:val="subscript"/>
          <w:lang w:eastAsia="sv-SE"/>
        </w:rPr>
        <w:t>1</w:t>
      </w:r>
      <w:r>
        <w:rPr>
          <w:noProof w:val="1"/>
          <w:lang w:eastAsia="sv-SE"/>
        </w:rPr>
        <w:t xml:space="preserve"> utgår ifrån 2 kap. 5 § att bebyggelse ska lokaliseras till mark som är lämpad för ändamålet med hänsyn till möjligheterna att förebygga vattenföroreningar samt risken för översvämning. </w:t>
      </w:r>
    </w:p>
    <w:p>
      <w:pPr>
        <w:rPr>
          <w:noProof w:val="1"/>
          <w:lang w:eastAsia="sv-SE"/>
        </w:rPr>
      </w:pPr>
    </w:p>
    <w:p>
      <w:pPr>
        <w:rPr>
          <w:noProof w:val="1"/>
          <w:lang w:eastAsia="sv-SE"/>
        </w:rPr>
      </w:pPr>
      <w:r>
        <w:rPr>
          <w:noProof w:val="1"/>
          <w:lang w:eastAsia="sv-SE"/>
        </w:rPr>
        <w:t>Regleringen av hur stor andel av marken som ska vara genomsläpplig görs i syfte att möjliggöra för fördröjning och infiltration av dagvatten lokalt innan dagvattnet når det kommunala ledningsnätet, alternativt Göta kanal, samt för att minimera dagvattnets avrinningshastighet på markytan.</w:t>
      </w:r>
    </w:p>
    <w:p>
      <w:pPr>
        <w:rPr>
          <w:noProof w:val="1"/>
          <w:lang w:eastAsia="sv-SE"/>
        </w:rPr>
      </w:pPr>
      <w:bookmarkEnd w:id="89"/>
    </w:p>
    <w:p>
      <w:pPr>
        <w:pStyle w:val="P4"/>
        <w:rPr>
          <w:noProof w:val="1"/>
          <w:lang w:eastAsia="sv-SE"/>
        </w:rPr>
      </w:pPr>
      <w:bookmarkStart w:id="90" w:name="mo_motivtillreglering08"/>
      <w:r>
        <w:rPr>
          <w:noProof w:val="1"/>
          <w:lang w:eastAsia="sv-SE"/>
        </w:rPr>
        <w:t>ändrad lovplikt</w:t>
      </w:r>
    </w:p>
    <w:p>
      <w:pPr>
        <w:rPr>
          <w:noProof w:val="1"/>
          <w:lang w:eastAsia="sv-SE"/>
        </w:rPr>
      </w:pPr>
      <w:r>
        <w:rPr>
          <w:b w:val="1"/>
          <w:noProof w:val="1"/>
          <w:lang w:eastAsia="sv-SE"/>
        </w:rPr>
        <w:t>a</w:t>
      </w:r>
      <w:r>
        <w:rPr>
          <w:b w:val="1"/>
          <w:noProof w:val="1"/>
          <w:vertAlign w:val="subscript"/>
          <w:lang w:eastAsia="sv-SE"/>
        </w:rPr>
        <w:t>1</w:t>
      </w:r>
      <w:r>
        <w:rPr>
          <w:noProof w:val="1"/>
          <w:lang w:eastAsia="sv-SE"/>
        </w:rPr>
        <w:t xml:space="preserve"> – </w:t>
      </w:r>
      <w:r>
        <w:rPr>
          <w:b w:val="1"/>
          <w:noProof w:val="1"/>
          <w:lang w:eastAsia="sv-SE"/>
        </w:rPr>
        <w:t>Marklov krävs även för åtgärder som kan förändra markens genomsläpplighet</w:t>
      </w:r>
      <w:r>
        <w:rPr>
          <w:noProof w:val="1"/>
          <w:lang w:eastAsia="sv-SE"/>
        </w:rPr>
        <w:t>: Motivet att planlägga för a</w:t>
      </w:r>
      <w:r>
        <w:rPr>
          <w:noProof w:val="1"/>
          <w:vertAlign w:val="subscript"/>
          <w:lang w:eastAsia="sv-SE"/>
        </w:rPr>
        <w:t>1</w:t>
      </w:r>
      <w:r>
        <w:rPr>
          <w:noProof w:val="1"/>
          <w:lang w:eastAsia="sv-SE"/>
        </w:rPr>
        <w:t xml:space="preserve"> utgår ifrån 2 kap. 5 § att bebyggelse ska lokaliseras till mark som är lämpad för ändamålet med hänsyn till möjligheterna att förebygga vattenföroreningar samt risken för översvämning. </w:t>
      </w:r>
    </w:p>
    <w:p>
      <w:pPr>
        <w:rPr>
          <w:noProof w:val="1"/>
          <w:lang w:eastAsia="sv-SE"/>
        </w:rPr>
      </w:pPr>
    </w:p>
    <w:p>
      <w:pPr>
        <w:rPr>
          <w:noProof w:val="1"/>
          <w:lang w:eastAsia="sv-SE"/>
        </w:rPr>
      </w:pPr>
      <w:r>
        <w:rPr>
          <w:noProof w:val="1"/>
          <w:lang w:eastAsia="sv-SE"/>
        </w:rPr>
        <w:t>Regleringen görs för att säkerställa att plankartans bestämmelser om markens genomsläpplighet efterlevs. Det innebär att det krävs marklov för att hårdgöra marken, det vill säga för åtgärder som försvårar för vatten att tränga ned i marken. Exempel på sådana åtgärder kan vara asfaltering av tidigare grönyta.</w:t>
      </w:r>
    </w:p>
    <w:p>
      <w:pPr>
        <w:rPr>
          <w:noProof w:val="1"/>
          <w:lang w:eastAsia="sv-SE"/>
        </w:rPr>
      </w:pPr>
      <w:bookmarkEnd w:id="90"/>
    </w:p>
    <w:p>
      <w:pPr>
        <w:rPr>
          <w:noProof w:val="1"/>
          <w:lang w:eastAsia="sv-SE"/>
        </w:rPr>
      </w:pPr>
    </w:p>
    <w:p>
      <w:pPr>
        <w:spacing w:lineRule="auto" w:line="240" w:beforeAutospacing="0" w:afterAutospacing="0"/>
        <w:rPr>
          <w:rFonts w:ascii="Barlow Semi Condensed SemiBold" w:hAnsi="Barlow Semi Condensed SemiBold" w:cstheme="majorBidi" w:eastAsia="Arial"/>
          <w:caps w:val="1"/>
          <w:noProof w:val="1"/>
          <w:sz w:val="44"/>
          <w:szCs w:val="32"/>
          <w:lang w:eastAsia="sv-SE"/>
        </w:rPr>
      </w:pPr>
      <w:bookmarkStart w:id="91" w:name="_Toc89445991"/>
      <w:bookmarkStart w:id="92" w:name="_Toc101363495"/>
      <w:bookmarkStart w:id="93" w:name="_Toc174446969"/>
      <w:r>
        <w:br w:type="page"/>
      </w:r>
    </w:p>
    <w:p>
      <w:pPr>
        <w:pStyle w:val="P1"/>
      </w:pPr>
      <w:r>
        <w:t>Planerings</w:t>
      </w:r>
      <w:bookmarkEnd w:id="91"/>
      <w:bookmarkEnd w:id="92"/>
      <w:r>
        <w:t>förutsättningar</w:t>
      </w:r>
      <w:bookmarkEnd w:id="93"/>
      <w:bookmarkStart w:id="94" w:name="_Toc89445992"/>
      <w:bookmarkStart w:id="95" w:name="_Toc101363496"/>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planeringsförutsättningarna, det vill säga de förutsättningar på platsen och i omgivningarna som har haft betydelse för </w:t>
            </w:r>
            <w:r>
              <w:rPr>
                <w:noProof w:val="1"/>
                <w:lang w:eastAsia="sv-SE"/>
              </w:rPr>
              <w:t xml:space="preserve">planens </w:t>
            </w:r>
            <w:r>
              <w:rPr>
                <w:lang w:eastAsia="sv-SE"/>
              </w:rPr>
              <w:t xml:space="preserve">utformning och omfattning. Kommunen ska alltså beskriva vilka värden och karaktärsdrag som kan ha betydelse för </w:t>
            </w:r>
            <w:r>
              <w:rPr>
                <w:noProof w:val="1"/>
                <w:lang w:eastAsia="sv-SE"/>
              </w:rPr>
              <w:t xml:space="preserve">planen </w:t>
            </w:r>
            <w:r>
              <w:rPr>
                <w:lang w:eastAsia="sv-SE"/>
              </w:rPr>
              <w:t xml:space="preserve">men också vilka risker och utmaningar som behöver hanteras i planarbetet. Redovisningen ska också innehålla en sammanfattning av innehållet i de planeringsunderlag som använts och vilka slutsatser som varit relevanta för </w:t>
            </w:r>
            <w:r>
              <w:rPr>
                <w:noProof w:val="1"/>
                <w:lang w:eastAsia="sv-SE"/>
              </w:rPr>
              <w:t xml:space="preserve">planens </w:t>
            </w:r>
            <w:r>
              <w:rPr>
                <w:lang w:eastAsia="sv-SE"/>
              </w:rPr>
              <w:t>utformning och omfattning.</w:t>
            </w:r>
          </w:p>
        </w:tc>
      </w:tr>
    </w:tbl>
    <w:p>
      <w:pPr>
        <w:rPr>
          <w:lang w:eastAsia="sv-SE"/>
        </w:rPr>
      </w:pPr>
    </w:p>
    <w:p>
      <w:pPr>
        <w:pStyle w:val="P2"/>
      </w:pPr>
      <w:bookmarkStart w:id="96" w:name="_Toc174446970"/>
      <w:r>
        <w:t>K</w:t>
      </w:r>
      <w:bookmarkEnd w:id="94"/>
      <w:bookmarkEnd w:id="95"/>
      <w:r>
        <w:t>ommunala planeringsförutsättningar</w:t>
      </w:r>
      <w:bookmarkEnd w:id="96"/>
    </w:p>
    <w:p>
      <w:pPr>
        <w:pStyle w:val="P3"/>
      </w:pPr>
      <w:bookmarkStart w:id="97" w:name="_Toc89445999"/>
      <w:bookmarkStart w:id="98" w:name="_Toc101363503"/>
      <w:bookmarkStart w:id="99" w:name="_Toc174446971"/>
      <w:bookmarkStart w:id="100" w:name="pf_översiktsplan02"/>
      <w:bookmarkStart w:id="101" w:name="_Toc89445993"/>
      <w:bookmarkStart w:id="102" w:name="_Toc101363497"/>
      <w:r>
        <w:t>Ö</w:t>
      </w:r>
      <w:bookmarkEnd w:id="97"/>
      <w:bookmarkEnd w:id="98"/>
      <w:r>
        <w:t>versiktsplan</w:t>
      </w:r>
      <w:bookmarkEnd w:id="99"/>
    </w:p>
    <w:p>
      <w:bookmarkStart w:id="103" w:name="_Hlk90559718"/>
      <w:bookmarkStart w:id="104" w:name="pf_översiktsplan01"/>
      <w:r>
        <w:t>Gällande översiktsplan, ÖP 2040, antagen 2022-06-07, anger att planområdet även i fortsättningen ska vara stadsbygd. Med utgångspunkt i det anses detaljplanens syfte att möjliggöra för större bostadsbyggnad överensstämma med översiktsplanens intentioner.</w:t>
      </w:r>
    </w:p>
    <w:p>
      <w:pPr>
        <w:spacing w:lineRule="auto" w:line="240" w:beforeAutospacing="0" w:afterAutospacing="0"/>
        <w:rPr>
          <w:lang w:eastAsia="sv-SE"/>
        </w:rPr>
      </w:pPr>
      <w:bookmarkEnd w:id="100"/>
    </w:p>
    <w:p>
      <w:pPr>
        <w:pStyle w:val="P3"/>
        <w:rPr>
          <w:caps w:val="0"/>
        </w:rPr>
      </w:pPr>
      <w:bookmarkStart w:id="105" w:name="_Toc89445998"/>
      <w:bookmarkStart w:id="106" w:name="_Toc101363502"/>
      <w:bookmarkStart w:id="107" w:name="_Toc174446972"/>
      <w:bookmarkStart w:id="108" w:name="pf_planprogram01"/>
      <w:r>
        <w:t>P</w:t>
      </w:r>
      <w:bookmarkEnd w:id="105"/>
      <w:bookmarkEnd w:id="106"/>
      <w:r>
        <w:t>lanprogram</w:t>
      </w:r>
      <w:bookmarkEnd w:id="107"/>
    </w:p>
    <w:p>
      <w:r>
        <w:t>Planen har inte förgåtts av ett planprogram.</w:t>
      </w:r>
    </w:p>
    <w:p>
      <w:pPr>
        <w:spacing w:lineRule="auto" w:line="240" w:beforeAutospacing="0" w:afterAutospacing="0"/>
        <w:rPr>
          <w:noProof w:val="1"/>
          <w:lang w:val="en-US" w:eastAsia="sv-SE"/>
        </w:rPr>
      </w:pPr>
      <w:bookmarkEnd w:id="108"/>
    </w:p>
    <w:p>
      <w:pPr>
        <w:pStyle w:val="P3"/>
        <w:rPr>
          <w:caps w:val="0"/>
        </w:rPr>
      </w:pPr>
      <w:bookmarkEnd w:id="103"/>
      <w:bookmarkEnd w:id="104"/>
      <w:bookmarkStart w:id="109" w:name="_Toc174446973"/>
      <w:bookmarkStart w:id="110" w:name="pf_detaljplan02"/>
      <w:r>
        <w:t>D</w:t>
      </w:r>
      <w:bookmarkEnd w:id="101"/>
      <w:bookmarkEnd w:id="102"/>
      <w:r>
        <w:t>etaljplan</w:t>
      </w:r>
      <w:bookmarkEnd w:id="109"/>
      <w:bookmarkStart w:id="111" w:name="pf_detaljplan01"/>
      <w:bookmarkStart w:id="112" w:name="_Toc89445994"/>
    </w:p>
    <w:p>
      <w:r>
        <w:rPr>
          <w:noProof w:val="1"/>
          <w:lang w:eastAsia="sv-SE"/>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margin">
                  <wp:align>left</wp:align>
                </wp:positionH>
                <wp:positionV relativeFrom="paragraph">
                  <wp:posOffset>3016250</wp:posOffset>
                </wp:positionV>
                <wp:extent cx="5033010" cy="36957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033010" cy="36957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3"/>
                              <w:rPr>
                                <w:noProof w:val="1"/>
                                <w:sz w:val="25"/>
                              </w:rPr>
                            </w:pPr>
                            <w:r>
                              <w:t xml:space="preserve">Figur </w:t>
                            </w:r>
                            <w:r>
                              <w:fldChar w:fldCharType="begin"/>
                            </w:r>
                            <w:r>
                              <w:instrText xml:space="preserve"> SEQ Figur \* ARABIC </w:instrText>
                            </w:r>
                            <w:r>
                              <w:fldChar w:fldCharType="separate"/>
                            </w:r>
                            <w:r>
                              <w:rPr>
                                <w:noProof w:val="1"/>
                              </w:rPr>
                              <w:t>2</w:t>
                            </w:r>
                            <w:r>
                              <w:rPr>
                                <w:noProof w:val="1"/>
                              </w:rPr>
                              <w:fldChar w:fldCharType="end"/>
                            </w:r>
                            <w:r>
                              <w:t xml:space="preserve"> Detaljplanemosaik. Hyvelspånet 3 markerat med rött. Källa: Motala kommun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3" o:spid="_x0000_s1041" style="position:absolute;width:396.3pt;height:29.1pt;z-index:5;mso-wrap-distance-left:9pt;mso-wrap-distance-top:0pt;mso-wrap-distance-right:9pt;mso-wrap-distance-bottom:0pt;margin-left:0pt;margin-top:237.5pt;mso-position-horizontal:left;mso-position-horizontal-relative:margin;mso-position-vertical:absolute;mso-position-vertical-relative:text" o:allowincell="t" fillcolor="#FFFFFF" stroked="f">
                <v:textbox inset="0mm,0mm,0mm,0mm">
                  <w:txbxContent>
                    <w:p>
                      <w:pPr>
                        <w:pStyle w:val="P23"/>
                        <w:rPr>
                          <w:noProof w:val="1"/>
                          <w:sz w:val="25"/>
                        </w:rPr>
                      </w:pPr>
                      <w:r>
                        <w:t xml:space="preserve">Figur </w:t>
                      </w:r>
                      <w:r>
                        <w:fldChar w:fldCharType="begin"/>
                      </w:r>
                      <w:r>
                        <w:instrText xml:space="preserve"> SEQ Figur \* ARABIC </w:instrText>
                      </w:r>
                      <w:r>
                        <w:fldChar w:fldCharType="separate"/>
                      </w:r>
                      <w:r>
                        <w:rPr>
                          <w:noProof w:val="1"/>
                        </w:rPr>
                        <w:t>2</w:t>
                      </w:r>
                      <w:r>
                        <w:rPr>
                          <w:noProof w:val="1"/>
                        </w:rPr>
                        <w:fldChar w:fldCharType="end"/>
                      </w:r>
                      <w:r>
                        <w:t xml:space="preserve"> Detaljplanemosaik. Hyvelspånet 3 markerat med rött. Källa: Motala kommun</w:t>
                      </w:r>
                    </w:p>
                  </w:txbxContent>
                </v:textbox>
                <w10:wrap type="topAndBottom"/>
              </v:shape>
            </w:pict>
          </mc:Fallback>
        </mc:AlternateContent>
      </w:r>
      <w:r>
        <w:rPr>
          <w:noProof w:val="1"/>
          <w:lang w:eastAsia="sv-SE"/>
        </w:rPr>
        <w:drawing>
          <wp:anchor xmlns:wp="http://schemas.openxmlformats.org/drawingml/2006/wordprocessingDrawing" distT="0" distB="0" distL="114300" distR="114300" simplePos="0" relativeHeight="1" behindDoc="0" locked="0" layoutInCell="1" allowOverlap="1">
            <wp:simplePos x="0" y="0"/>
            <wp:positionH relativeFrom="margin">
              <wp:align>center</wp:align>
            </wp:positionH>
            <wp:positionV relativeFrom="paragraph">
              <wp:posOffset>617220</wp:posOffset>
            </wp:positionV>
            <wp:extent cx="2796540" cy="2768600"/>
            <wp:effectExtent l="0" t="0" r="3810" b="0"/>
            <wp:wrapTopAndBottom/>
            <wp:docPr id="10" name="Bildobjekt 10" descr="Karta med detaljplanemosaik där planområdet är markerat med röda 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pic:nvPicPr>
                  <pic:blipFill dpi="0">
                    <a:blip xmlns:r="http://schemas.openxmlformats.org/officeDocument/2006/relationships" r:embed="Relimage7"/>
                    <a:srcRect/>
                    <a:stretch>
                      <a:fillRect/>
                    </a:stretch>
                  </pic:blipFill>
                  <pic:spPr>
                    <a:xfrm>
                      <a:off x="0" y="0"/>
                      <a:ext cx="2796540" cy="2768600"/>
                    </a:xfrm>
                    <a:prstGeom prst="rect"/>
                  </pic:spPr>
                </pic:pic>
              </a:graphicData>
            </a:graphic>
          </wp:anchor>
        </w:drawing>
      </w:r>
      <w:r>
        <w:rPr>
          <w:noProof w:val="1"/>
          <w:lang w:eastAsia="sv-SE"/>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2150110</wp:posOffset>
                </wp:positionH>
                <wp:positionV relativeFrom="paragraph">
                  <wp:posOffset>1682115</wp:posOffset>
                </wp:positionV>
                <wp:extent cx="834390" cy="1097280"/>
                <wp:effectExtent l="19050" t="19050" r="22860" b="26670"/>
                <wp:wrapNone/>
                <wp:docPr id="12" name="Frihandsfigur 12"/>
                <wp:cNvGraphicFramePr/>
                <a:graphic xmlns:a="http://schemas.openxmlformats.org/drawingml/2006/main">
                  <a:graphicData uri="http://schemas.microsoft.com/office/word/2010/wordprocessingShape">
                    <wps:wsp>
                      <wps:cNvSpPr/>
                      <wps:spPr>
                        <a:xfrm>
                          <a:off x="0" y="0"/>
                          <a:ext cx="834749" cy="1097280"/>
                        </a:xfrm>
                        <a:custGeom>
                          <a:gdLst>
                            <a:gd name="connsiteX0" fmla="*/ 540688 w 1033669"/>
                            <a:gd name="connsiteY0" fmla="*/ 0 h 1311966"/>
                            <a:gd name="connsiteX1" fmla="*/ 0 w 1033669"/>
                            <a:gd name="connsiteY1" fmla="*/ 715618 h 1311966"/>
                            <a:gd name="connsiteX2" fmla="*/ 763325 w 1033669"/>
                            <a:gd name="connsiteY2" fmla="*/ 1311966 h 1311966"/>
                            <a:gd name="connsiteX3" fmla="*/ 874643 w 1033669"/>
                            <a:gd name="connsiteY3" fmla="*/ 1033670 h 1311966"/>
                            <a:gd name="connsiteX4" fmla="*/ 978010 w 1033669"/>
                            <a:gd name="connsiteY4" fmla="*/ 652007 h 1311966"/>
                            <a:gd name="connsiteX5" fmla="*/ 1033669 w 1033669"/>
                            <a:gd name="connsiteY5" fmla="*/ 397566 h 1311966"/>
                            <a:gd name="connsiteX6" fmla="*/ 540688 w 1033669"/>
                            <a:gd name="connsiteY6" fmla="*/ 0 h 1311966"/>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33669" h="1311966">
                              <a:moveTo>
                                <a:pt x="540688" y="0"/>
                              </a:moveTo>
                              <a:lnTo>
                                <a:pt x="0" y="715618"/>
                              </a:lnTo>
                              <a:lnTo>
                                <a:pt x="763325" y="1311966"/>
                              </a:lnTo>
                              <a:lnTo>
                                <a:pt x="874643" y="1033670"/>
                              </a:lnTo>
                              <a:lnTo>
                                <a:pt x="978010" y="652007"/>
                              </a:lnTo>
                              <a:lnTo>
                                <a:pt x="1033669" y="397566"/>
                              </a:lnTo>
                              <a:lnTo>
                                <a:pt x="540688" y="0"/>
                              </a:lnTo>
                              <a:close/>
                            </a:path>
                          </a:pathLst>
                        </a:custGeom>
                        <a:noFill/>
                        <a:ln w="28575">
                          <a:solidFill>
                            <a:srgbClr val="FF0000"/>
                          </a:solidFill>
                        </a:ln>
                      </wps:spPr>
                      <wps:style>
                        <a:lnRef idx="2">
                          <a:schemeClr val="accent1"/>
                        </a:lnRef>
                        <a:fillRef idx="1">
                          <a:schemeClr val="l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12" o:spid="_x0000_s1042" style="position:absolute;width:65.7pt;height:86.4pt;z-index:4;mso-wrap-distance-left:9pt;mso-wrap-distance-top:0pt;mso-wrap-distance-right:9pt;mso-wrap-distance-bottom:0pt;margin-left:169.3pt;margin-top:132.45pt;mso-position-horizontal:absolute;mso-position-horizontal-relative:text;mso-position-vertical:absolute;mso-position-vertical-relative:text;v-text-anchor:middle" o:allowincell="t" filled="f" strokecolor="#FF0000" strokeweight="2.25pt" stroked="t" coordsize="1314,1728" path="m540688,0l,715618,763325,1311966,874643,1033670,978010,652007,1033669,397566,540688,,xe">
                <v:textbox inset="3mm,1mm,3mm,1mm">
                  <w:txbxContent>
                    <w:p/>
                  </w:txbxContent>
                </v:textbox>
              </v:shape>
            </w:pict>
          </mc:Fallback>
        </mc:AlternateContent>
      </w:r>
      <w:r>
        <w:t>Västra delen av Hyvelspånet 3 omfattas av stadsplan 321</w:t>
      </w:r>
      <w:r>
        <w:rPr>
          <w:sz w:val="23"/>
        </w:rPr>
        <w:t>, Område norr om Skomakaregatan</w:t>
      </w:r>
      <w:r>
        <w:t>, 1988. Östra delen av fastigheten omfattas av detaljplan 457, Detaljplan för område vid Norra Kanalvägen, 1992.</w:t>
      </w:r>
    </w:p>
    <w:p>
      <w:r>
        <w:t>Stadsplan 321 omfattar kvarteren Stjärnhusen, Hyvlaren, Hyvelbänken samt Hyvelspånet med tillhörande gator. För kvarteret Hyvelspånet tillåts fristående (F) bostäder (B) om max två (II) våningar med maximal byggnadshöjd om 3,6 meter, två uthus med maximal byggnadshöjd om 3,0 meter. Byggnader får inte ligga närmare fastighetsgräns än 2 meter såvida de inte är sammanbyggda med grannfastighetens byggnad. Vidare tillåts exploateringsgraden till högst en femtedel, men ej mer än 180 kvadratmeter, av fastighetsytan. Varje huvudbyggnad får inte inrymma mer än två bostäder och uthus får ej inredas för bostadsändamål. Tak får ges en lutning mot horisontalplanet av högst 38 grader.</w:t>
      </w:r>
    </w:p>
    <w:p/>
    <w:p>
      <w:r>
        <w:t xml:space="preserve">Detaljplan 457 berör fastigheterna Hyvelspånet 1–3, en mindre del av lokalgatan Norra Kanalvägen samt ett mindre kanalområde. Kvartersmarken i detaljplanen tillåter bostäder (B) eller Kanalområde. Planområdet berörs endast av användningen bostäder, där marken helt belagd med prickmark och strandskydd. </w:t>
      </w:r>
    </w:p>
    <w:p/>
    <w:p>
      <w:r>
        <w:t>I samband med att det här planförslaget vinner laga kraft upphör tidigare detalj- och stadsplaner att gälla inom planområdesgränsen för detaljplan för Hyvelspånet 3.</w:t>
      </w:r>
    </w:p>
    <w:p>
      <w:pPr>
        <w:rPr>
          <w:noProof w:val="1"/>
          <w:lang w:eastAsia="sv-SE"/>
        </w:rPr>
      </w:pPr>
      <w:bookmarkEnd w:id="110"/>
      <w:bookmarkEnd w:id="111"/>
      <w:bookmarkEnd w:id="112"/>
      <w:bookmarkStart w:id="113" w:name="pf_områdesbestämmelser01"/>
    </w:p>
    <w:p>
      <w:pPr>
        <w:pStyle w:val="P3"/>
      </w:pPr>
      <w:bookmarkEnd w:id="113"/>
      <w:bookmarkStart w:id="114" w:name="_Toc89445997"/>
      <w:bookmarkStart w:id="115" w:name="_Toc101363501"/>
      <w:bookmarkStart w:id="116" w:name="_Toc174446974"/>
      <w:bookmarkStart w:id="117" w:name="pf_planbesked02"/>
      <w:bookmarkStart w:id="118" w:name="_Toc89445995"/>
      <w:bookmarkStart w:id="119" w:name="_Toc101363499"/>
      <w:r>
        <w:rPr>
          <w:rStyle w:val="C5"/>
          <w:b w:val="1"/>
          <w:caps w:val="1"/>
        </w:rPr>
        <w:t>P</w:t>
      </w:r>
      <w:bookmarkEnd w:id="114"/>
      <w:bookmarkEnd w:id="115"/>
      <w:r>
        <w:rPr>
          <w:rStyle w:val="C5"/>
          <w:b w:val="1"/>
          <w:caps w:val="1"/>
        </w:rPr>
        <w:t>lanbesked</w:t>
      </w:r>
      <w:bookmarkEnd w:id="116"/>
      <w:bookmarkStart w:id="120" w:name="pf_planbesked01"/>
    </w:p>
    <w:p>
      <w:pPr>
        <w:rPr>
          <w:noProof w:val="1"/>
          <w:lang w:eastAsia="sv-SE"/>
        </w:rPr>
      </w:pPr>
      <w:r>
        <w:rPr>
          <w:noProof w:val="1"/>
          <w:lang w:eastAsia="sv-SE"/>
        </w:rPr>
        <w:t>Fastighetsägare inkom 2022-09-13 till dåvarande Plan- och byggenheten med ansökan om planbesked för ny detaljplan för Hyvelspånet 3, Björkelund, Motala kommun..</w:t>
      </w:r>
    </w:p>
    <w:p>
      <w:pPr>
        <w:rPr>
          <w:noProof w:val="1"/>
          <w:lang w:eastAsia="sv-SE"/>
        </w:rPr>
      </w:pPr>
    </w:p>
    <w:p>
      <w:pPr>
        <w:rPr>
          <w:noProof w:val="1"/>
          <w:lang w:eastAsia="sv-SE"/>
        </w:rPr>
      </w:pPr>
      <w:r>
        <w:rPr>
          <w:noProof w:val="1"/>
          <w:lang w:eastAsia="sv-SE"/>
        </w:rPr>
        <w:t>Samhällsbyggnadsnämnden beslutade 2022-11-16 att ge ett positivt planbesked om att en ny detaljplan ska upprättas för att möjliggöra för likvärdig exploateringsgrad som andra fastigheter i närområdet.</w:t>
      </w:r>
    </w:p>
    <w:p>
      <w:pPr>
        <w:rPr>
          <w:b w:val="1"/>
          <w:noProof w:val="1"/>
          <w:lang w:eastAsia="sv-SE"/>
        </w:rPr>
      </w:pPr>
      <w:bookmarkEnd w:id="117"/>
    </w:p>
    <w:p>
      <w:pPr>
        <w:pStyle w:val="P3"/>
        <w:rPr>
          <w:rStyle w:val="C5"/>
          <w:b w:val="1"/>
          <w:caps w:val="1"/>
        </w:rPr>
      </w:pPr>
      <w:bookmarkStart w:id="121" w:name="_Toc174446975"/>
      <w:bookmarkStart w:id="122" w:name="pf_regionplan01"/>
      <w:r>
        <w:rPr>
          <w:rStyle w:val="C5"/>
          <w:b w:val="1"/>
          <w:caps w:val="1"/>
        </w:rPr>
        <w:t>Regionplan</w:t>
      </w:r>
      <w:bookmarkEnd w:id="121"/>
    </w:p>
    <w:p>
      <w:pPr>
        <w:rPr>
          <w:noProof w:val="1"/>
          <w:lang w:eastAsia="sv-SE"/>
        </w:rPr>
      </w:pPr>
      <w:r>
        <w:rPr>
          <w:noProof w:val="1"/>
          <w:lang w:eastAsia="sv-SE"/>
        </w:rPr>
        <w:t>Utvecklingsstrategi för Östergötland är framtagen av Region Östergötland och syftar till att vara regionens gemensamma målbild för hur regionen ska se ut och fungera år 2040. Detta förslag till detaljplan kan kopplas till utvecklingsstrategin och de prioriterade området 4. Skapa attraktiva livsmiljöer. Detta genom att säkerställa en god hushållning av mark och vatten där även gestaltningen är en faktor vid planeringen.</w:t>
      </w:r>
    </w:p>
    <w:p>
      <w:pPr>
        <w:rPr>
          <w:noProof w:val="1"/>
          <w:lang w:eastAsia="sv-SE"/>
        </w:rPr>
      </w:pPr>
      <w:bookmarkEnd w:id="118"/>
      <w:bookmarkEnd w:id="119"/>
      <w:bookmarkEnd w:id="120"/>
      <w:bookmarkEnd w:id="122"/>
      <w:bookmarkStart w:id="123" w:name="pf_regionala01"/>
    </w:p>
    <w:p>
      <w:pPr>
        <w:pStyle w:val="P2"/>
      </w:pPr>
      <w:bookmarkEnd w:id="123"/>
      <w:bookmarkStart w:id="124" w:name="_Toc89446002"/>
      <w:bookmarkStart w:id="125" w:name="_Toc101363506"/>
      <w:bookmarkStart w:id="126" w:name="_Toc174446976"/>
      <w:r>
        <w:t>R</w:t>
      </w:r>
      <w:bookmarkEnd w:id="124"/>
      <w:bookmarkEnd w:id="125"/>
      <w:r>
        <w:t>iksintressen</w:t>
      </w:r>
      <w:bookmarkEnd w:id="126"/>
      <w:bookmarkStart w:id="127" w:name="pf_naturvård01"/>
      <w:bookmarkStart w:id="128" w:name="pf_friluftsliv01"/>
    </w:p>
    <w:p>
      <w:pPr>
        <w:pStyle w:val="P3"/>
        <w:rPr>
          <w:lang w:val="en-US"/>
        </w:rPr>
      </w:pPr>
      <w:bookmarkEnd w:id="127"/>
      <w:bookmarkStart w:id="129" w:name="_Toc89446006"/>
      <w:bookmarkStart w:id="130" w:name="_Toc101363510"/>
      <w:bookmarkStart w:id="131" w:name="_Toc132627691"/>
      <w:bookmarkStart w:id="132" w:name="_Toc174446977"/>
      <w:bookmarkStart w:id="133" w:name="pf_friluftsliv02"/>
      <w:r>
        <w:t>F</w:t>
      </w:r>
      <w:bookmarkEnd w:id="129"/>
      <w:bookmarkEnd w:id="130"/>
      <w:r>
        <w:t>riluftsliv</w:t>
      </w:r>
      <w:bookmarkEnd w:id="131"/>
      <w:bookmarkEnd w:id="132"/>
    </w:p>
    <w:p>
      <w:pPr>
        <w:rPr>
          <w:noProof w:val="1"/>
          <w:lang w:eastAsia="sv-SE"/>
        </w:rPr>
      </w:pPr>
      <w:r>
        <w:rPr>
          <w:noProof w:val="1"/>
          <w:lang w:eastAsia="sv-SE"/>
        </w:rPr>
        <w:t>Riksintresse för friluftsliv – Göta kanals vattensystem (MB 3 kap. 6 §)</w:t>
      </w:r>
    </w:p>
    <w:p>
      <w:pPr>
        <w:rPr>
          <w:noProof w:val="1"/>
          <w:lang w:eastAsia="sv-SE"/>
        </w:rPr>
      </w:pPr>
    </w:p>
    <w:p>
      <w:pPr>
        <w:rPr>
          <w:noProof w:val="1"/>
          <w:lang w:eastAsia="sv-SE"/>
        </w:rPr>
      </w:pPr>
      <w:r>
        <w:t>Planområdet är i dag i sin helhet planlagd för kvartersmark, bostäder. Samma användning kommer tillåtas i den nya detaljplanen. Därför bedöms inte planen innebära någon påverkan avseende riksintresset för kulturmiljövård eller friluftsliv Göta kanal.</w:t>
      </w:r>
    </w:p>
    <w:p>
      <w:pPr>
        <w:rPr>
          <w:i w:val="1"/>
          <w:noProof w:val="1"/>
          <w:shd w:val="clear" w:color="auto" w:fill="FFFFFF"/>
          <w:lang w:eastAsia="sv-SE"/>
        </w:rPr>
      </w:pPr>
      <w:bookmarkEnd w:id="133"/>
    </w:p>
    <w:p>
      <w:pPr>
        <w:pStyle w:val="P3"/>
        <w:rPr>
          <w:lang w:val="en-US"/>
        </w:rPr>
      </w:pPr>
      <w:bookmarkEnd w:id="128"/>
      <w:bookmarkStart w:id="134" w:name="_Toc89446007"/>
      <w:bookmarkStart w:id="135" w:name="_Toc101363511"/>
      <w:bookmarkStart w:id="136" w:name="_Toc174446978"/>
      <w:bookmarkStart w:id="137" w:name="pf_kulturmiljövård02"/>
      <w:r>
        <w:t>K</w:t>
      </w:r>
      <w:bookmarkEnd w:id="134"/>
      <w:bookmarkEnd w:id="135"/>
      <w:r>
        <w:t>ulturmiljövård</w:t>
      </w:r>
      <w:bookmarkEnd w:id="136"/>
    </w:p>
    <w:p>
      <w:pPr>
        <w:rPr>
          <w:noProof w:val="1"/>
          <w:lang w:eastAsia="sv-SE"/>
        </w:rPr>
      </w:pPr>
      <w:bookmarkStart w:id="138" w:name="pf_kulturmiljövård01"/>
      <w:r>
        <w:rPr>
          <w:noProof w:val="1"/>
          <w:lang w:eastAsia="sv-SE"/>
        </w:rPr>
        <w:t>Riksintresse för kulturmiljövård – Göta kanal (MB 3 kap. 6 §)</w:t>
      </w:r>
    </w:p>
    <w:p>
      <w:pPr>
        <w:rPr>
          <w:noProof w:val="1"/>
          <w:lang w:eastAsia="sv-SE"/>
        </w:rPr>
      </w:pPr>
      <w:bookmarkEnd w:id="138"/>
      <w:bookmarkStart w:id="139" w:name="pf_trafikkommunikation01"/>
    </w:p>
    <w:p>
      <w:pPr>
        <w:rPr>
          <w:noProof w:val="1"/>
          <w:lang w:eastAsia="sv-SE"/>
        </w:rPr>
      </w:pPr>
      <w:r>
        <w:rPr>
          <w:noProof w:val="1"/>
          <w:lang w:eastAsia="sv-SE"/>
        </w:rPr>
        <w:t>Planområdet ligger i anslutning till Göta kanal, som riksintresset för kulturmiljö avser. Fastigheten är i dag bebyggd med bostadshus från 1960-talet med tillhörande komplementbyggnad. Att tillåta en ökning av byggrätten till en femtedel av fastighetens storlek bedöms påverka riksintresset på det sätt att de blir en något större byggnadsvolym inom fastigheten. Men då bostadshuset ligger en god bit in på fastigheten med en större gräsyta mellan byggnad och kanalområdet så bedöms upplevelsen av ändring i byggnadsvolymen som marginell.</w:t>
      </w:r>
    </w:p>
    <w:p>
      <w:pPr>
        <w:rPr>
          <w:noProof w:val="1"/>
          <w:lang w:eastAsia="sv-SE"/>
        </w:rPr>
      </w:pPr>
    </w:p>
    <w:p>
      <w:pPr>
        <w:rPr>
          <w:noProof w:val="1"/>
          <w:lang w:eastAsia="sv-SE"/>
        </w:rPr>
      </w:pPr>
      <w:r>
        <w:rPr>
          <w:noProof w:val="1"/>
          <w:lang w:eastAsia="sv-SE"/>
        </w:rPr>
        <w:t>Planområdet tillsammans med närområdet ingår i ett bebyggelseområde som är särskilt värdefull från historisk, kulturhistorisk, miljömässig eller konstnärlig synpunkt enligt Plan- och bygglagen kap. 8 § 13. Vid kommande bygglovsprövning gäller därför strängare förvanskning- och varsamhetsregler som även ska beakta riksintresset för kulturmiljövård för Göta kanal.</w:t>
      </w:r>
    </w:p>
    <w:p>
      <w:pPr>
        <w:rPr>
          <w:noProof w:val="1"/>
          <w:lang w:eastAsia="sv-SE"/>
        </w:rPr>
      </w:pPr>
    </w:p>
    <w:p>
      <w:pPr>
        <w:rPr>
          <w:noProof w:val="1"/>
          <w:lang w:eastAsia="sv-SE"/>
        </w:rPr>
      </w:pPr>
      <w:r>
        <w:rPr>
          <w:noProof w:val="1"/>
          <w:lang w:eastAsia="sv-SE"/>
        </w:rPr>
        <w:t>Planområdet är sedan tidigare planlagt för kvartersmark med användningen bostäder.</w:t>
      </w:r>
    </w:p>
    <w:p>
      <w:pPr>
        <w:rPr>
          <w:noProof w:val="1"/>
          <w:lang w:eastAsia="sv-SE"/>
        </w:rPr>
      </w:pPr>
      <w:bookmarkEnd w:id="137"/>
    </w:p>
    <w:p>
      <w:pPr>
        <w:pStyle w:val="P3"/>
        <w:rPr>
          <w:lang w:val="en-US"/>
        </w:rPr>
      </w:pPr>
      <w:bookmarkEnd w:id="139"/>
      <w:bookmarkStart w:id="140" w:name="_Toc89446016"/>
      <w:bookmarkStart w:id="141" w:name="_Toc101363520"/>
      <w:bookmarkStart w:id="142" w:name="_Toc174446979"/>
      <w:bookmarkStart w:id="143" w:name="pf_totalförsvar02"/>
      <w:r>
        <w:t>T</w:t>
      </w:r>
      <w:bookmarkEnd w:id="140"/>
      <w:bookmarkEnd w:id="141"/>
      <w:r>
        <w:t>otalförsvar</w:t>
      </w:r>
      <w:bookmarkEnd w:id="142"/>
    </w:p>
    <w:p>
      <w:pPr>
        <w:rPr>
          <w:noProof w:val="1"/>
          <w:lang w:eastAsia="sv-SE"/>
        </w:rPr>
      </w:pPr>
      <w:bookmarkStart w:id="144" w:name="pf_totalförsvar01"/>
      <w:r>
        <w:rPr>
          <w:noProof w:val="1"/>
          <w:lang w:eastAsia="sv-SE"/>
        </w:rPr>
        <w:t>Riksintresse för totalförsvaret – stoppområde för höga objekt, Malmens flygflottiljflygplats (MB 3 kap. 9 §)</w:t>
      </w:r>
    </w:p>
    <w:p>
      <w:pPr>
        <w:rPr>
          <w:noProof w:val="1"/>
          <w:lang w:eastAsia="sv-SE"/>
        </w:rPr>
      </w:pPr>
      <w:r>
        <w:rPr>
          <w:noProof w:val="1"/>
          <w:lang w:eastAsia="sv-SE"/>
        </w:rPr>
        <w:t>Riksintresse för totalförsvaret – MSA-område, Malmens flygflottiljflygplats (MB 3 kap. 9 §)</w:t>
      </w:r>
    </w:p>
    <w:p>
      <w:pPr>
        <w:rPr>
          <w:noProof w:val="1"/>
          <w:lang w:eastAsia="sv-SE"/>
        </w:rPr>
      </w:pPr>
      <w:r>
        <w:rPr>
          <w:noProof w:val="1"/>
          <w:lang w:eastAsia="sv-SE"/>
        </w:rPr>
        <w:t>Riksintresse för totalförsvaret – MSA-område, Karlsborgs övningsflygplats (MB 3 kap. 9 §)</w:t>
      </w:r>
    </w:p>
    <w:p>
      <w:pPr>
        <w:rPr>
          <w:noProof w:val="1"/>
          <w:lang w:eastAsia="sv-SE"/>
        </w:rPr>
      </w:pPr>
      <w:bookmarkStart w:id="145" w:name="pf_rörligtfriluftsliv01"/>
    </w:p>
    <w:p>
      <w:pPr>
        <w:spacing w:lineRule="auto" w:line="240" w:beforeAutospacing="0" w:afterAutospacing="0"/>
        <w:rPr>
          <w:rFonts w:cs="Garamond"/>
          <w:color w:val="000000"/>
          <w:sz w:val="23"/>
          <w:szCs w:val="23"/>
        </w:rPr>
      </w:pPr>
      <w:r>
        <w:rPr>
          <w:rFonts w:cs="Garamond"/>
          <w:color w:val="000000"/>
          <w:sz w:val="23"/>
          <w:szCs w:val="23"/>
        </w:rPr>
        <w:t xml:space="preserve">Detaljplanen möjliggör inte för bebyggelse över 45 meter och bedöms därför inte påverka riksintresset för stoppområde för höga objekt. </w:t>
      </w:r>
    </w:p>
    <w:p>
      <w:pPr>
        <w:spacing w:lineRule="auto" w:line="240" w:beforeAutospacing="0" w:afterAutospacing="0"/>
        <w:rPr>
          <w:rFonts w:cs="Garamond"/>
          <w:color w:val="000000"/>
          <w:sz w:val="23"/>
          <w:szCs w:val="23"/>
        </w:rPr>
      </w:pPr>
    </w:p>
    <w:p>
      <w:pPr>
        <w:rPr>
          <w:rFonts w:cs="Garamond"/>
          <w:color w:val="000000"/>
          <w:sz w:val="23"/>
          <w:szCs w:val="23"/>
        </w:rPr>
      </w:pPr>
      <w:r>
        <w:rPr>
          <w:rFonts w:cs="Garamond"/>
          <w:color w:val="000000"/>
          <w:sz w:val="23"/>
          <w:szCs w:val="23"/>
        </w:rPr>
        <w:t xml:space="preserve">Detaljplanen bedöms inte påverka riksintressen för Malmens flygflottiljflygplats eller Karlsborgs övningsflygplats. </w:t>
      </w:r>
    </w:p>
    <w:p>
      <w:pPr>
        <w:rPr>
          <w:noProof w:val="1"/>
          <w:lang w:eastAsia="sv-SE"/>
        </w:rPr>
      </w:pPr>
      <w:bookmarkEnd w:id="144"/>
      <w:bookmarkEnd w:id="145"/>
      <w:bookmarkStart w:id="146" w:name="pf_natura200001"/>
    </w:p>
    <w:p>
      <w:pPr>
        <w:pStyle w:val="P2"/>
      </w:pPr>
      <w:bookmarkEnd w:id="143"/>
      <w:bookmarkEnd w:id="146"/>
      <w:bookmarkStart w:id="147" w:name="_Toc89446030"/>
      <w:bookmarkStart w:id="148" w:name="_Toc101363534"/>
      <w:bookmarkStart w:id="149" w:name="_Toc174446980"/>
      <w:r>
        <w:t>M</w:t>
      </w:r>
      <w:bookmarkEnd w:id="147"/>
      <w:bookmarkEnd w:id="148"/>
      <w:r>
        <w:t>iljökvalitetsnormer</w:t>
      </w:r>
      <w:bookmarkEnd w:id="149"/>
    </w:p>
    <w:p>
      <w:pPr>
        <w:pStyle w:val="P3"/>
        <w:rPr>
          <w:caps w:val="0"/>
          <w:lang w:val="en-US"/>
        </w:rPr>
      </w:pPr>
      <w:bookmarkStart w:id="150" w:name="_Toc89446031"/>
      <w:bookmarkStart w:id="151" w:name="_Toc101363535"/>
      <w:bookmarkStart w:id="152" w:name="_Toc174446981"/>
      <w:bookmarkStart w:id="153" w:name="pf_luft02"/>
      <w:r>
        <w:t>L</w:t>
      </w:r>
      <w:bookmarkEnd w:id="150"/>
      <w:bookmarkEnd w:id="151"/>
      <w:r>
        <w:t>uft</w:t>
      </w:r>
      <w:bookmarkEnd w:id="152"/>
      <w:bookmarkStart w:id="154" w:name="pf_luft01"/>
    </w:p>
    <w:p>
      <w:pPr>
        <w:rPr>
          <w:noProof w:val="1"/>
          <w:lang w:eastAsia="sv-SE"/>
        </w:rPr>
      </w:pPr>
      <w:r>
        <w:rPr>
          <w:noProof w:val="1"/>
          <w:lang w:eastAsia="sv-SE"/>
        </w:rPr>
        <w:t>Miljökvalitetsnormer för utomhusluft syftar till att skydda miljön och människors hälsa, genom att sätt upp miljökvalitetsnormer för skadliga ämnen som exempelvis kvävedioxid (NO2), kväveoxider, svaveldioxider och partiklar (PM 10). Trafik är främst den källa som ger upphov till att miljökvalitetsnormer för utomhusluft inte följs, då trafiken medför hälsofarliga utsläpp i from av kvävedioxid (NO2), partiklar (PM 10) och lättflyktiga organiska ämnen (VOC).</w:t>
      </w:r>
    </w:p>
    <w:p>
      <w:pPr>
        <w:rPr>
          <w:noProof w:val="1"/>
          <w:lang w:eastAsia="sv-SE"/>
        </w:rPr>
      </w:pPr>
    </w:p>
    <w:p>
      <w:pPr>
        <w:rPr>
          <w:noProof w:val="1"/>
          <w:lang w:eastAsia="sv-SE"/>
        </w:rPr>
      </w:pPr>
      <w:r>
        <w:rPr>
          <w:noProof w:val="1"/>
          <w:lang w:eastAsia="sv-SE"/>
        </w:rPr>
        <w:t>Motala kommun genomförde hela 2019 mätningar utmed en av de mest trafikerade gatorna i staden. Resultatet visade att gatorna, med god marginal, klarade MKN för luft.</w:t>
      </w:r>
    </w:p>
    <w:p>
      <w:pPr>
        <w:rPr>
          <w:noProof w:val="1"/>
          <w:lang w:eastAsia="sv-SE"/>
        </w:rPr>
      </w:pPr>
    </w:p>
    <w:p>
      <w:pPr>
        <w:rPr>
          <w:noProof w:val="1"/>
          <w:lang w:eastAsia="sv-SE"/>
        </w:rPr>
      </w:pPr>
      <w:r>
        <w:rPr>
          <w:noProof w:val="1"/>
          <w:lang w:eastAsia="sv-SE"/>
        </w:rPr>
        <w:t>De senaste tre åren har Östra Sveriges Luftvårdsförbund presenterat årliga modelldata och objektiva skattningar för anslutna kommuner, däribland Motala kommun. 2022 gjordes mätningar i hela Östergötland (Rapportering av modelldata och objektiv skattning av luftkvalitet år 2021 för Östergötlands län, Östra Sveriges Luftsvårdsförbund, 2022-06-08) där sammantaget visar på att Motala kommun ligger under nedre utvärderingströskeln (NUT) på alla bedömningar, utom en. Undantaget är större partiklar (PM10) som bedöms överstiga NUT, samma sak gäller de flesta kommuner som deltar i rapporten. Följande ämnen är beräkningarna genomförda på: partiklar (PM2,5 och PM10), kvävedioxid (NO2), bensapyren (B(a)P), svaveldioxid (SO2) , arsenik (As), kadmium (Cd), nickel (Ni), Bly (Pb), Kolmonoxid (CO) och Bensen (C6H6).</w:t>
      </w:r>
    </w:p>
    <w:p>
      <w:pPr>
        <w:rPr>
          <w:noProof w:val="1"/>
          <w:lang w:eastAsia="sv-SE"/>
        </w:rPr>
      </w:pPr>
    </w:p>
    <w:p>
      <w:pPr>
        <w:rPr>
          <w:noProof w:val="1"/>
          <w:lang w:eastAsia="sv-SE"/>
        </w:rPr>
      </w:pPr>
      <w:r>
        <w:rPr>
          <w:noProof w:val="1"/>
          <w:lang w:eastAsia="sv-SE"/>
        </w:rPr>
        <w:t>Planområdet bedöms inte medföra försämring av miljökvalitetsnormerna för luft. Denna bedömning grundar sig på att planområdet inte är av betydande storlek för att påverka luftkvalitén på det sätt som de gator i staden med hög trafikbelastning gör.</w:t>
      </w:r>
    </w:p>
    <w:p>
      <w:pPr>
        <w:rPr>
          <w:noProof w:val="1"/>
          <w:lang w:eastAsia="sv-SE"/>
        </w:rPr>
      </w:pPr>
      <w:bookmarkEnd w:id="153"/>
    </w:p>
    <w:p>
      <w:pPr>
        <w:pStyle w:val="P3"/>
        <w:rPr>
          <w:lang w:val="en-US"/>
        </w:rPr>
      </w:pPr>
      <w:bookmarkEnd w:id="154"/>
      <w:bookmarkStart w:id="155" w:name="_Toc89446032"/>
      <w:bookmarkStart w:id="156" w:name="_Toc101363536"/>
      <w:bookmarkStart w:id="157" w:name="_Toc174446982"/>
      <w:bookmarkStart w:id="158" w:name="pf_vatten02"/>
      <w:r>
        <w:t>V</w:t>
      </w:r>
      <w:bookmarkEnd w:id="155"/>
      <w:bookmarkEnd w:id="156"/>
      <w:r>
        <w:t>atten</w:t>
      </w:r>
      <w:bookmarkEnd w:id="157"/>
      <w:bookmarkStart w:id="159" w:name="pf_vatten01"/>
    </w:p>
    <w:p>
      <w:pPr>
        <w:tabs>
          <w:tab w:val="left" w:pos="2717" w:leader="none"/>
        </w:tabs>
        <w:rPr>
          <w:noProof w:val="1"/>
          <w:lang w:eastAsia="sv-SE"/>
        </w:rPr>
      </w:pPr>
      <w:r>
        <w:rPr>
          <w:noProof w:val="1"/>
          <w:lang w:eastAsia="sv-SE"/>
        </w:rPr>
        <w:t xml:space="preserve">Det kommunala dagvattenledningsnätet avleder dagvatten från planområdet till vattenförekomsten Göta kanal (WA10695555) samt att det vid skyfall sker en avrinning av det ytliga vattnet på mark till kanalen. Göta kanal mynnar ut i sjön Boren (WA49976459) och ingår i huvudavrinningsområdet för Motala ström (SE67000) och planområdet ligger inom grundvattenförekomsten Motala- Klockrike (WA31160323). </w:t>
      </w:r>
    </w:p>
    <w:p>
      <w:pPr>
        <w:tabs>
          <w:tab w:val="left" w:pos="2717" w:leader="none"/>
        </w:tabs>
        <w:rPr>
          <w:noProof w:val="1"/>
          <w:lang w:eastAsia="sv-SE"/>
        </w:rPr>
      </w:pPr>
    </w:p>
    <w:p>
      <w:pPr>
        <w:tabs>
          <w:tab w:val="left" w:pos="2717" w:leader="none"/>
        </w:tabs>
        <w:rPr>
          <w:noProof w:val="1"/>
          <w:lang w:eastAsia="sv-SE"/>
        </w:rPr>
      </w:pPr>
      <w:r>
        <w:rPr>
          <w:noProof w:val="1"/>
          <w:lang w:eastAsia="sv-SE"/>
        </w:rPr>
        <w:t>Vattenförekomsten Göta kanal är klassad med en måttlig ekologisk status och den kemiska upp når ej en god status. De huvudsakliga miljöproblemen anses vara kopplade till näringsämnen, exempelvis i detta fall är det diffusa källor från urban markanvändning. En tidsfrist till 2027 är satt i vattenförvaltningscykeln för hantering av diffusa källor som urban markanvändning. Det anses av tekniska skäl orimligt att nå god status tidigare, då utsläppsbehandlande åtgärder är svåra att genomföra inom befintlig bebyggelse. Den kemiska statusen uppnår enligt Vatteninformationssystem Sverige, VISS, (2021) inte god status på grund av polybromerade difenyletrar (PBDE) och kvicksilver (Hg). PBDE och kvicksilver (Hg) finns i för höga halter i alla svenska vattendrag på grund av atmosfärisk deposition, vilket gör att dessa ämnen oftast är undantagna från miljökvalitetsnormerna då det inte är rimligt att genomföra renande åtgärder av dessa ämnen i dagsläget.</w:t>
      </w:r>
    </w:p>
    <w:p>
      <w:pPr>
        <w:tabs>
          <w:tab w:val="left" w:pos="2717" w:leader="none"/>
        </w:tabs>
        <w:rPr>
          <w:noProof w:val="1"/>
          <w:lang w:eastAsia="sv-SE"/>
        </w:rPr>
      </w:pPr>
    </w:p>
    <w:p>
      <w:pPr>
        <w:rPr>
          <w:noProof w:val="1"/>
          <w:lang w:eastAsia="sv-SE"/>
        </w:rPr>
      </w:pPr>
      <w:r>
        <w:rPr>
          <w:noProof w:val="1"/>
          <w:lang w:eastAsia="sv-SE"/>
        </w:rPr>
        <w:t xml:space="preserve">Berörd del av Motala Ström är i dagsläget klassad med otillfredsställande ekologisk status. De huvudsakliga miljöproblemen är vandringshinder och fysisk påverkan. Biologiska faktorer för fisk är måttlig, och IPS-index för kiselalger är god. Aktuell miljökvalitetsnorm är god ekologisk status med tidsfrist till 2027, med förslag på tidsfrist till år 2039. För att förbättra statusen behöver vandringshinder åtgärdas, liksom vattendragets form. Den kemiska statusen uppnår enligt Vatteninformationssystem Sverige, VISS, (2021) inte god status på grund av polybromerade difenyletrar (PBDE) och kvicksilver (Hg). PBDE och kvicksilver (Hg) finns i för höga halter i alla svenska vattendrag på grund av atmosfärisk deposition, vilket gör att dessa ämnen oftast är undantagna från miljökvalitetsnormerna då det inte är rimligt att genomföra renande åtgärder av dessa ämnen i dagsläget. Aktuell miljökvalitetsnorm är god kemisk ytvattenstatus med tidsfrist till 2027. </w:t>
      </w:r>
    </w:p>
    <w:p>
      <w:pPr>
        <w:pStyle w:val="P99"/>
        <w:rPr>
          <w:rFonts w:cstheme="minorBidi" w:eastAsiaTheme="minorHAnsi"/>
          <w:noProof w:val="1"/>
          <w:color w:val="auto"/>
          <w:szCs w:val="22"/>
          <w:lang w:eastAsia="sv-SE"/>
        </w:rPr>
      </w:pPr>
    </w:p>
    <w:p>
      <w:pPr>
        <w:spacing w:lineRule="auto" w:line="240" w:beforeAutospacing="0" w:afterAutospacing="0"/>
        <w:rPr>
          <w:noProof w:val="1"/>
          <w:lang w:eastAsia="sv-SE"/>
        </w:rPr>
      </w:pPr>
      <w:r>
        <w:rPr>
          <w:noProof w:val="1"/>
          <w:lang w:eastAsia="sv-SE"/>
        </w:rPr>
        <w:t xml:space="preserve">Kvaliten på grundvattenförekomsten är enligt VISS i alla avseende god. </w:t>
      </w:r>
    </w:p>
    <w:p>
      <w:pPr>
        <w:tabs>
          <w:tab w:val="left" w:pos="2717" w:leader="none"/>
        </w:tabs>
        <w:rPr>
          <w:noProof w:val="1"/>
          <w:lang w:eastAsia="sv-SE"/>
        </w:rPr>
      </w:pPr>
      <w:r>
        <w:rPr>
          <w:noProof w:val="1"/>
          <w:lang w:eastAsia="sv-SE"/>
        </w:rPr>
        <w:t>Området för detaljplan bedöms inte påverka MKN för vatten negativt. Bedömningen grundar sig på bestämmelsen om att minst 60% av fastighetsmarken ska vara genomsläpplig. Detta innebär att dagslägets genomsläpplighetsförhållande bibehålls, vilket gör att planen inte medför ytterligare avrinning eller belastning på vattenförekomsterna.</w:t>
      </w:r>
    </w:p>
    <w:p>
      <w:pPr>
        <w:tabs>
          <w:tab w:val="left" w:pos="2717" w:leader="none"/>
        </w:tabs>
        <w:rPr>
          <w:noProof w:val="1"/>
          <w:lang w:eastAsia="sv-SE"/>
        </w:rPr>
      </w:pPr>
      <w:bookmarkEnd w:id="158"/>
    </w:p>
    <w:p>
      <w:pPr>
        <w:pStyle w:val="P3"/>
        <w:rPr>
          <w:caps w:val="0"/>
          <w:lang w:val="en-US"/>
        </w:rPr>
      </w:pPr>
      <w:bookmarkEnd w:id="159"/>
      <w:bookmarkStart w:id="160" w:name="_Toc174446983"/>
      <w:bookmarkStart w:id="161" w:name="pf_buller02"/>
      <w:r>
        <w:t>Omgivningsbuller</w:t>
      </w:r>
      <w:bookmarkEnd w:id="160"/>
    </w:p>
    <w:p>
      <w:pPr>
        <w:rPr>
          <w:noProof w:val="1"/>
          <w:lang w:eastAsia="sv-SE"/>
        </w:rPr>
      </w:pPr>
      <w:bookmarkStart w:id="162" w:name="pf_buller01"/>
      <w:r>
        <w:rPr>
          <w:noProof w:val="1"/>
          <w:lang w:eastAsia="sv-SE"/>
        </w:rPr>
        <w:t>Miljökvalitetsnorm för omgivningsbuller gäller främst för större kommuner med över 100 000 invånare, eller större vägar med över 3 miljoner fordon/år. Motala är inte en större kommun med över 100 000 invånare. Det finns inte heller större vägar med över 3 miljoner fordon/år i närheten av planområdet. Därför bedöms inte detaljplanen varken beröra eller påverka miljökvalitetsnorm för omgivningsbuller.</w:t>
      </w:r>
    </w:p>
    <w:p>
      <w:pPr>
        <w:rPr>
          <w:noProof w:val="1"/>
          <w:lang w:eastAsia="sv-SE"/>
        </w:rPr>
      </w:pPr>
      <w:bookmarkEnd w:id="161"/>
    </w:p>
    <w:p>
      <w:pPr>
        <w:pStyle w:val="P2"/>
      </w:pPr>
      <w:bookmarkEnd w:id="162"/>
      <w:bookmarkStart w:id="163" w:name="_Toc89446038"/>
      <w:bookmarkStart w:id="164" w:name="_Toc101363542"/>
      <w:bookmarkStart w:id="165" w:name="_Toc174446984"/>
      <w:bookmarkStart w:id="166" w:name="_Toc89446034"/>
      <w:bookmarkStart w:id="167" w:name="_Toc101363538"/>
      <w:r>
        <w:t>Risker för människors hälsa och säkerhet</w:t>
      </w:r>
      <w:bookmarkEnd w:id="163"/>
      <w:bookmarkEnd w:id="164"/>
      <w:bookmarkEnd w:id="165"/>
    </w:p>
    <w:p>
      <w:pPr>
        <w:pStyle w:val="P3"/>
      </w:pPr>
      <w:bookmarkStart w:id="168" w:name="_Toc174446985"/>
      <w:bookmarkStart w:id="169" w:name="_Toc89446039"/>
      <w:bookmarkStart w:id="170" w:name="_Toc101363543"/>
      <w:bookmarkStart w:id="171" w:name="pf_föroreningar01"/>
      <w:r>
        <w:t>Föroreningar</w:t>
      </w:r>
      <w:bookmarkEnd w:id="168"/>
    </w:p>
    <w:p>
      <w:pPr>
        <w:rPr>
          <w:noProof w:val="1"/>
          <w:lang w:eastAsia="sv-SE"/>
        </w:rPr>
      </w:pPr>
      <w:bookmarkEnd w:id="169"/>
      <w:bookmarkEnd w:id="170"/>
      <w:bookmarkStart w:id="172" w:name="pf_riskföröversvämning01"/>
      <w:r>
        <w:rPr>
          <w:noProof w:val="1"/>
          <w:lang w:eastAsia="sv-SE"/>
        </w:rPr>
        <w:t>Enligt Länsstyrelsens register över potentiellt och konstaterade förorenade områden så finns inga kända föroreningar inom eller i närheten av planområdet.</w:t>
      </w:r>
    </w:p>
    <w:p>
      <w:pPr>
        <w:rPr>
          <w:noProof w:val="1"/>
          <w:lang w:eastAsia="sv-SE"/>
        </w:rPr>
      </w:pPr>
      <w:bookmarkEnd w:id="171"/>
    </w:p>
    <w:p>
      <w:pPr>
        <w:pStyle w:val="P3"/>
      </w:pPr>
      <w:bookmarkStart w:id="173" w:name="_Toc174446986"/>
      <w:bookmarkStart w:id="174" w:name="pf_riskförras01"/>
      <w:bookmarkStart w:id="175" w:name="pf_riskförskred02"/>
      <w:r>
        <w:t>Ras och skred</w:t>
      </w:r>
      <w:bookmarkEnd w:id="173"/>
    </w:p>
    <w:p>
      <w:pPr>
        <w:rPr>
          <w:noProof w:val="1"/>
          <w:lang w:eastAsia="sv-SE"/>
        </w:rPr>
      </w:pPr>
      <w:r>
        <w:rPr>
          <w:noProof w:val="1"/>
          <w:lang w:eastAsia="sv-SE"/>
        </w:rPr>
        <w:t>Myndigheten för samhällsskydd och beredskap (MSB) har genomfört en översiktlig stabilitetskartering för riskområden. Aktuellt planområde har bedömts som tillräckligt stabil för att inte behöva utredas vidare.</w:t>
      </w:r>
    </w:p>
    <w:p>
      <w:pPr>
        <w:rPr>
          <w:noProof w:val="1"/>
          <w:lang w:eastAsia="sv-SE"/>
        </w:rPr>
      </w:pPr>
    </w:p>
    <w:p>
      <w:pPr>
        <w:rPr>
          <w:noProof w:val="1"/>
          <w:lang w:eastAsia="sv-SE"/>
        </w:rPr>
      </w:pPr>
      <w:r>
        <w:rPr>
          <w:noProof w:val="1"/>
          <w:lang w:eastAsia="sv-SE"/>
        </w:rPr>
        <w:t>En stabilitetsberäkning för planområdet är gjord av Tyréns 2024. Bedömningen är att risk för ras och skred för planerad tillbyggnad är liten med hänsyn till att enbart friktionsjord har påträffats, relativt långa och flacka släntlutningar samt inga större tecken på pågående markrörelser/sprickor i marken.</w:t>
      </w:r>
    </w:p>
    <w:p>
      <w:pPr>
        <w:rPr>
          <w:noProof w:val="1"/>
          <w:lang w:eastAsia="sv-SE"/>
        </w:rPr>
      </w:pPr>
      <w:bookmarkEnd w:id="174"/>
      <w:bookmarkEnd w:id="175"/>
    </w:p>
    <w:p>
      <w:pPr>
        <w:pStyle w:val="P3"/>
        <w:rPr>
          <w:caps w:val="0"/>
          <w:lang w:val="en-US"/>
        </w:rPr>
      </w:pPr>
      <w:bookmarkEnd w:id="172"/>
      <w:bookmarkStart w:id="176" w:name="_Toc174446987"/>
      <w:bookmarkStart w:id="177" w:name="pf_riskförerosion01"/>
      <w:r>
        <w:t>Erosion</w:t>
      </w:r>
      <w:bookmarkEnd w:id="176"/>
    </w:p>
    <w:p>
      <w:pPr>
        <w:rPr>
          <w:noProof w:val="1"/>
          <w:lang w:eastAsia="sv-SE"/>
        </w:rPr>
      </w:pPr>
      <w:bookmarkStart w:id="178" w:name="pf_riskförskred01"/>
      <w:r>
        <w:rPr>
          <w:noProof w:val="1"/>
          <w:lang w:eastAsia="sv-SE"/>
        </w:rPr>
        <w:drawing>
          <wp:anchor xmlns:wp="http://schemas.openxmlformats.org/drawingml/2006/wordprocessingDrawing" distT="0" distB="0" distL="114300" distR="114300" simplePos="0" relativeHeight="7" behindDoc="0" locked="0" layoutInCell="1" allowOverlap="1">
            <wp:simplePos x="0" y="0"/>
            <wp:positionH relativeFrom="margin">
              <wp:posOffset>1040765</wp:posOffset>
            </wp:positionH>
            <wp:positionV relativeFrom="paragraph">
              <wp:posOffset>482600</wp:posOffset>
            </wp:positionV>
            <wp:extent cx="2958465" cy="3600450"/>
            <wp:effectExtent l="0" t="0" r="0" b="0"/>
            <wp:wrapTopAndBottom/>
            <wp:docPr id="3" name="Bildobjekt 3" descr="Göta kanals strandkant. Större stenkross strax under vattenytan och en bit upp på strandkanten. Går sedan över i gräsväxtlig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dpi="0">
                    <a:blip xmlns:r="http://schemas.openxmlformats.org/officeDocument/2006/relationships" r:embed="Relimage8"/>
                    <a:srcRect/>
                    <a:stretch>
                      <a:fillRect/>
                    </a:stretch>
                  </pic:blipFill>
                  <pic:spPr>
                    <a:xfrm>
                      <a:off x="0" y="0"/>
                      <a:ext cx="2958465" cy="3600450"/>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margin">
                  <wp:align>center</wp:align>
                </wp:positionH>
                <wp:positionV relativeFrom="paragraph">
                  <wp:posOffset>3911600</wp:posOffset>
                </wp:positionV>
                <wp:extent cx="3613785" cy="346075"/>
                <wp:effectExtent l="0" t="0" r="5715" b="0"/>
                <wp:wrapTopAndBottom/>
                <wp:docPr id="5" name="Textruta 5"/>
                <wp:cNvGraphicFramePr/>
                <a:graphic xmlns:a="http://schemas.openxmlformats.org/drawingml/2006/main">
                  <a:graphicData uri="http://schemas.microsoft.com/office/word/2010/wordprocessingShape">
                    <wps:wsp>
                      <wps:cNvSpPr txBox="1"/>
                      <wps:spPr>
                        <a:xfrm>
                          <a:off x="0" y="0"/>
                          <a:ext cx="3613990" cy="346496"/>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1"/>
                              <w:rPr>
                                <w:noProof w:val="1"/>
                              </w:rPr>
                            </w:pPr>
                            <w:r>
                              <w:t xml:space="preserve">Figur </w:t>
                            </w:r>
                            <w:r>
                              <w:fldChar w:fldCharType="begin"/>
                            </w:r>
                            <w:r>
                              <w:instrText xml:space="preserve"> SEQ Figur \* ARABIC </w:instrText>
                            </w:r>
                            <w:r>
                              <w:fldChar w:fldCharType="separate"/>
                            </w:r>
                            <w:r>
                              <w:rPr>
                                <w:noProof w:val="1"/>
                              </w:rPr>
                              <w:t>3</w:t>
                            </w:r>
                            <w:r>
                              <w:rPr>
                                <w:noProof w:val="1"/>
                              </w:rPr>
                              <w:fldChar w:fldCharType="end"/>
                            </w:r>
                            <w:r>
                              <w:t>. Erosionsskydd i strandkanten till Göta Kanal. Foto: Tyréns</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5" o:spid="_x0000_s1043" style="position:absolute;width:284.55pt;height:27.25pt;z-index:9;mso-wrap-distance-left:9pt;mso-wrap-distance-top:0pt;mso-wrap-distance-right:9pt;mso-wrap-distance-bottom:0pt;margin-left:0pt;margin-top:308pt;mso-position-horizontal:center;mso-position-horizontal-relative:margin;mso-position-vertical:absolute;mso-position-vertical-relative:text" o:allowincell="t" fillcolor="#FFFFFF" stroked="f">
                <v:textbox inset="0mm,0mm,0mm,0mm">
                  <w:txbxContent>
                    <w:p>
                      <w:pPr>
                        <w:pStyle w:val="P11"/>
                        <w:rPr>
                          <w:noProof w:val="1"/>
                        </w:rPr>
                      </w:pPr>
                      <w:r>
                        <w:t xml:space="preserve">Figur </w:t>
                      </w:r>
                      <w:r>
                        <w:fldChar w:fldCharType="begin"/>
                      </w:r>
                      <w:r>
                        <w:instrText xml:space="preserve"> SEQ Figur \* ARABIC </w:instrText>
                      </w:r>
                      <w:r>
                        <w:fldChar w:fldCharType="separate"/>
                      </w:r>
                      <w:r>
                        <w:rPr>
                          <w:noProof w:val="1"/>
                        </w:rPr>
                        <w:t>3</w:t>
                      </w:r>
                      <w:r>
                        <w:rPr>
                          <w:noProof w:val="1"/>
                        </w:rPr>
                        <w:fldChar w:fldCharType="end"/>
                      </w:r>
                      <w:r>
                        <w:t>. Erosionsskydd i strandkanten till Göta Kanal. Foto: Tyréns</w:t>
                      </w:r>
                    </w:p>
                  </w:txbxContent>
                </v:textbox>
                <w10:wrap type="topAndBottom"/>
              </v:shape>
            </w:pict>
          </mc:Fallback>
        </mc:AlternateContent>
      </w:r>
      <w:r>
        <w:rPr>
          <w:noProof w:val="1"/>
          <w:lang w:eastAsia="sv-SE"/>
        </w:rPr>
        <w:t xml:space="preserve">Utanför planområdet, längs Göta Kanal, finns erosionsskydd i form av sten finns  i slänten vid vattenbrynet. </w:t>
      </w:r>
    </w:p>
    <w:p>
      <w:pPr>
        <w:rPr>
          <w:noProof w:val="1"/>
          <w:lang w:eastAsia="sv-SE"/>
        </w:rPr>
      </w:pPr>
    </w:p>
    <w:p>
      <w:pPr>
        <w:pStyle w:val="P3"/>
        <w:rPr>
          <w:caps w:val="0"/>
          <w:lang w:val="en-US"/>
        </w:rPr>
      </w:pPr>
      <w:bookmarkEnd w:id="177"/>
      <w:bookmarkStart w:id="179" w:name="_Toc174446988"/>
      <w:bookmarkStart w:id="180" w:name="pf_riskföröversvämning02"/>
      <w:r>
        <w:t>Översvämning och skyfall</w:t>
      </w:r>
      <w:bookmarkEnd w:id="179"/>
    </w:p>
    <w:p>
      <w:pPr>
        <w:rPr>
          <w:noProof w:val="1"/>
          <w:lang w:eastAsia="sv-SE"/>
        </w:rPr>
      </w:pPr>
      <w:r>
        <w:rPr>
          <w:noProof w:val="1"/>
          <w:lang w:eastAsia="sv-SE"/>
        </w:rPr>
        <w:t>Fastigheten Hyvelspånet 3 sluttar mot Göta Kanal och saknar innestängda områden. Risk för översvämning på grund av innestängda områden bedöms därför låg. Fastighetens lutning mot Göta kanal bedöms som positiv i frågan om översvämningsrisk.</w:t>
      </w:r>
    </w:p>
    <w:p>
      <w:pPr>
        <w:rPr>
          <w:noProof w:val="1"/>
          <w:lang w:eastAsia="sv-SE"/>
        </w:rPr>
      </w:pPr>
    </w:p>
    <w:p>
      <w:pPr>
        <w:rPr>
          <w:noProof w:val="1"/>
          <w:lang w:eastAsia="sv-SE"/>
        </w:rPr>
      </w:pPr>
      <w:r>
        <w:rPr>
          <w:noProof w:val="1"/>
          <w:lang w:eastAsia="sv-SE"/>
        </w:rPr>
        <w:t>MSB har utfört en översvämningskartering utmed Motala ström som visar att planområdet inte ligger inom beräknade högsta flöde (BHF).</w:t>
      </w:r>
      <w:bookmarkEnd w:id="180"/>
    </w:p>
    <w:p>
      <w:pPr>
        <w:rPr>
          <w:noProof w:val="1"/>
          <w:lang w:eastAsia="sv-SE"/>
        </w:rPr>
      </w:pPr>
    </w:p>
    <w:p>
      <w:pPr>
        <w:pStyle w:val="P2"/>
      </w:pPr>
      <w:bookmarkEnd w:id="166"/>
      <w:bookmarkEnd w:id="167"/>
      <w:bookmarkEnd w:id="178"/>
      <w:bookmarkStart w:id="181" w:name="_Toc89446035"/>
      <w:bookmarkStart w:id="182" w:name="_Toc101363539"/>
      <w:bookmarkStart w:id="183" w:name="_Toc174446989"/>
      <w:r>
        <w:t>Natur och miljö</w:t>
      </w:r>
      <w:bookmarkEnd w:id="181"/>
      <w:bookmarkEnd w:id="182"/>
      <w:bookmarkEnd w:id="183"/>
      <w:bookmarkStart w:id="184" w:name="pf_miljö01"/>
    </w:p>
    <w:p>
      <w:pPr>
        <w:pStyle w:val="P3"/>
        <w:rPr>
          <w:lang w:val="en-US"/>
        </w:rPr>
      </w:pPr>
      <w:bookmarkStart w:id="185" w:name="_Toc174446990"/>
      <w:bookmarkStart w:id="186" w:name="pf_naturochvegetation01"/>
      <w:r>
        <w:t>Natur och vegetation</w:t>
      </w:r>
      <w:bookmarkEnd w:id="185"/>
      <w:r>
        <w:t xml:space="preserve"> </w:t>
      </w:r>
    </w:p>
    <w:p>
      <w:pPr>
        <w:rPr>
          <w:noProof w:val="1"/>
          <w:lang w:eastAsia="sv-SE"/>
        </w:rPr>
      </w:pPr>
      <w:r>
        <w:rPr>
          <w:noProof w:val="1"/>
          <w:lang w:eastAsia="sv-SE"/>
        </w:rPr>
        <w:t>Vegetationen inom området för detaljplanen består av privat trädgård med gräsmatta, rabatter och träd.</w:t>
      </w:r>
    </w:p>
    <w:p>
      <w:pPr>
        <w:rPr>
          <w:noProof w:val="1"/>
          <w:lang w:eastAsia="sv-SE"/>
        </w:rPr>
      </w:pPr>
    </w:p>
    <w:p>
      <w:pPr>
        <w:rPr>
          <w:noProof w:val="1"/>
          <w:lang w:eastAsia="sv-SE"/>
        </w:rPr>
      </w:pPr>
      <w:r>
        <w:rPr>
          <w:noProof w:val="1"/>
          <w:lang w:eastAsia="sv-SE"/>
        </w:rPr>
        <w:t xml:space="preserve">Inom planområdet har inga skyddade eller hotade arter identifierats eller observerats mellan åren 2013-2023. </w:t>
      </w:r>
    </w:p>
    <w:p>
      <w:pPr>
        <w:rPr>
          <w:noProof w:val="1"/>
          <w:lang w:eastAsia="sv-SE"/>
        </w:rPr>
      </w:pPr>
      <w:bookmarkEnd w:id="186"/>
    </w:p>
    <w:p>
      <w:pPr>
        <w:pStyle w:val="P3"/>
        <w:rPr>
          <w:caps w:val="0"/>
          <w:lang w:val="en-US"/>
        </w:rPr>
      </w:pPr>
      <w:bookmarkStart w:id="187" w:name="_Toc89446036"/>
      <w:bookmarkStart w:id="188" w:name="_Toc101363540"/>
      <w:bookmarkStart w:id="189" w:name="_Toc174446991"/>
      <w:bookmarkStart w:id="190" w:name="pf_strandskydd01"/>
      <w:r>
        <w:t>S</w:t>
      </w:r>
      <w:bookmarkEnd w:id="187"/>
      <w:bookmarkEnd w:id="188"/>
      <w:r>
        <w:t>trandskydd</w:t>
      </w:r>
      <w:bookmarkEnd w:id="189"/>
    </w:p>
    <w:p>
      <w:pPr>
        <w:rPr>
          <w:noProof w:val="1"/>
          <w:lang w:eastAsia="sv-SE"/>
        </w:rPr>
      </w:pPr>
      <w:r>
        <w:rPr>
          <w:noProof w:val="1"/>
          <w:lang w:eastAsia="sv-SE"/>
        </w:rPr>
        <w:t>Hela fastigheten, Hyvelspånet 3, ligger inom 100 meter från Göta kanal och omfattas därför av strandskydd.</w:t>
      </w:r>
    </w:p>
    <w:p>
      <w:pPr>
        <w:rPr>
          <w:noProof w:val="1"/>
          <w:lang w:eastAsia="sv-SE"/>
        </w:rPr>
      </w:pPr>
    </w:p>
    <w:p>
      <w:pPr>
        <w:rPr>
          <w:noProof w:val="1"/>
          <w:lang w:eastAsia="sv-SE"/>
        </w:rPr>
      </w:pPr>
      <w:r>
        <w:rPr>
          <w:noProof w:val="1"/>
          <w:lang w:eastAsia="sv-SE"/>
        </w:rPr>
        <w:t xml:space="preserve">I och med antagandet av stadsplan 321 upphävdes strandskyddet för den del av fastigheten som ligger inom stadsplanen. Den del av Hyvelspånet 3, tidigare del av Kanaljorden 3:70,  som ingår i detaljplan 457 är strandskyddet gällande. </w:t>
      </w:r>
    </w:p>
    <w:p>
      <w:pPr>
        <w:rPr>
          <w:noProof w:val="1"/>
          <w:lang w:eastAsia="sv-SE"/>
        </w:rPr>
      </w:pPr>
      <w:r>
        <w:rPr>
          <w:noProof w:val="1"/>
          <w:lang w:eastAsia="sv-SE"/>
        </w:rPr>
        <w:t xml:space="preserve">När en ny detaljplan tas fram återinträder strandskyddet. Eftersom att fastigheten Hyvelspånet 3 är större än när stadsplanen togs fram avser kommunen att upphäva strandskyddet inom hela planområdet. </w:t>
      </w:r>
    </w:p>
    <w:p>
      <w:pPr>
        <w:rPr>
          <w:noProof w:val="1"/>
          <w:lang w:eastAsia="sv-SE"/>
        </w:rPr>
      </w:pPr>
      <w:r>
        <w:rPr>
          <w:noProof w:val="1"/>
        </w:rPr>
        <mc:AlternateContent>
          <mc:Choice Requires="wps">
            <w:drawing>
              <wp:anchor xmlns:wp="http://schemas.openxmlformats.org/drawingml/2006/wordprocessingDrawing" distT="0" distB="0" distL="114300" distR="114300" simplePos="0" relativeHeight="22" behindDoc="0" locked="0" layoutInCell="1" allowOverlap="1">
                <wp:simplePos x="0" y="0"/>
                <wp:positionH relativeFrom="margin">
                  <wp:align>center</wp:align>
                </wp:positionH>
                <wp:positionV relativeFrom="paragraph">
                  <wp:posOffset>2573655</wp:posOffset>
                </wp:positionV>
                <wp:extent cx="4181475" cy="635"/>
                <wp:effectExtent l="0" t="0" r="9525" b="0"/>
                <wp:wrapTopAndBottom/>
                <wp:docPr id="6" name="Textruta 6"/>
                <wp:cNvGraphicFramePr/>
                <a:graphic xmlns:a="http://schemas.openxmlformats.org/drawingml/2006/main">
                  <a:graphicData uri="http://schemas.microsoft.com/office/word/2010/wordprocessingShape">
                    <wps:wsp>
                      <wps:cNvSpPr txBox="1"/>
                      <wps:spPr>
                        <a:xfrm>
                          <a:off x="0" y="0"/>
                          <a:ext cx="418147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3"/>
                              <w:rPr>
                                <w:noProof w:val="1"/>
                              </w:rPr>
                            </w:pPr>
                            <w:r>
                              <w:t xml:space="preserve">Figur </w:t>
                            </w:r>
                            <w:r>
                              <w:fldChar w:fldCharType="begin"/>
                            </w:r>
                            <w:r>
                              <w:instrText xml:space="preserve"> SEQ Figur \* ARABIC </w:instrText>
                            </w:r>
                            <w:r>
                              <w:fldChar w:fldCharType="separate"/>
                            </w:r>
                            <w:r>
                              <w:rPr>
                                <w:noProof w:val="1"/>
                              </w:rPr>
                              <w:t>4</w:t>
                            </w:r>
                            <w:r>
                              <w:rPr>
                                <w:noProof w:val="1"/>
                              </w:rPr>
                              <w:fldChar w:fldCharType="end"/>
                            </w:r>
                            <w:r>
                              <w:rPr>
                                <w:noProof w:val="1"/>
                              </w:rPr>
                              <w:t>. Bild över planområdet där den västra delen av planområdet, i rött, tillhör Sp 321. Den korsskuggade delen tillhör Dp 457, där strandskyddet inte upphävdes. Källa Motala kommun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6" o:spid="_x0000_s1044" style="position:absolute;width:329.25pt;height:0.05pt;z-index:22;mso-wrap-distance-left:9pt;mso-wrap-distance-top:0pt;mso-wrap-distance-right:9pt;mso-wrap-distance-bottom:0pt;margin-left:0pt;margin-top:202.65pt;mso-position-horizontal:center;mso-position-horizontal-relative:margin;mso-position-vertical:absolute;mso-position-vertical-relative:text" o:allowincell="t" fillcolor="#FFFFFF" stroked="f">
                <v:textbox style="mso-fit-shape-to-text:t" inset="0mm,0mm,0mm,0mm">
                  <w:txbxContent>
                    <w:p>
                      <w:pPr>
                        <w:pStyle w:val="P23"/>
                        <w:rPr>
                          <w:noProof w:val="1"/>
                        </w:rPr>
                      </w:pPr>
                      <w:r>
                        <w:t xml:space="preserve">Figur </w:t>
                      </w:r>
                      <w:r>
                        <w:fldChar w:fldCharType="begin"/>
                      </w:r>
                      <w:r>
                        <w:instrText xml:space="preserve"> SEQ Figur \* ARABIC </w:instrText>
                      </w:r>
                      <w:r>
                        <w:fldChar w:fldCharType="separate"/>
                      </w:r>
                      <w:r>
                        <w:rPr>
                          <w:noProof w:val="1"/>
                        </w:rPr>
                        <w:t>4</w:t>
                      </w:r>
                      <w:r>
                        <w:rPr>
                          <w:noProof w:val="1"/>
                        </w:rPr>
                        <w:fldChar w:fldCharType="end"/>
                      </w:r>
                      <w:r>
                        <w:rPr>
                          <w:noProof w:val="1"/>
                        </w:rPr>
                        <w:t>. Bild över planområdet där den västra delen av planområdet, i rött, tillhör Sp 321. Den korsskuggade delen tillhör Dp 457, där strandskyddet inte upphävdes. Källa Motala kommun</w:t>
                      </w:r>
                    </w:p>
                  </w:txbxContent>
                </v:textbox>
                <w10:wrap type="topAndBottom"/>
              </v:shape>
            </w:pict>
          </mc:Fallback>
        </mc:AlternateContent>
      </w:r>
      <w:r>
        <w:rPr>
          <w:noProof w:val="1"/>
          <w:lang w:eastAsia="sv-SE"/>
        </w:rPr>
        <w:drawing>
          <wp:anchor xmlns:wp="http://schemas.openxmlformats.org/drawingml/2006/wordprocessingDrawing" distT="0" distB="0" distL="114300" distR="114300" simplePos="0" relativeHeight="21" behindDoc="0" locked="0" layoutInCell="1" allowOverlap="1">
            <wp:simplePos x="0" y="0"/>
            <wp:positionH relativeFrom="margin">
              <wp:posOffset>937260</wp:posOffset>
            </wp:positionH>
            <wp:positionV relativeFrom="paragraph">
              <wp:posOffset>0</wp:posOffset>
            </wp:positionV>
            <wp:extent cx="2480310" cy="2567305"/>
            <wp:effectExtent l="0" t="0" r="0" b="4445"/>
            <wp:wrapTopAndBottom/>
            <wp:docPr id="4" name="Bildobjekt 4" descr="Bilden visar planområdet där östra delen är skuggad för att visa vart strandskyddet inte tidigare har upphäv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pic:cNvPicPr/>
                  </pic:nvPicPr>
                  <pic:blipFill dpi="0">
                    <a:blip xmlns:r="http://schemas.openxmlformats.org/officeDocument/2006/relationships" r:embed="Relimage9"/>
                    <a:srcRect/>
                    <a:stretch>
                      <a:fillRect/>
                    </a:stretch>
                  </pic:blipFill>
                  <pic:spPr>
                    <a:xfrm>
                      <a:off x="0" y="0"/>
                      <a:ext cx="2480310" cy="2567305"/>
                    </a:xfrm>
                    <a:prstGeom prst="rect"/>
                  </pic:spPr>
                </pic:pic>
              </a:graphicData>
            </a:graphic>
          </wp:anchor>
        </w:drawing>
      </w:r>
      <w:r>
        <w:rPr>
          <w:noProof w:val="1"/>
          <w:lang w:eastAsia="sv-SE"/>
        </w:rPr>
        <w:t>Plan- och bygglagen anger i 4 kap 17 § att kommunen har rätt att upphäva strandskyddet om stöd finns i Miljöbalkens 7 kap 18 §. Miljöbalkens 7 kap 18 § 1 c anger att kommunen har rätt att upphäva strandskyddet om området redan tagits i anspråk på ett sätt som gör att det saknas betydelse för strandskyddets syften. För Hyvelspånet 3 bedöms villkoret om markens ianspråkstagande vara uppfyllt.</w:t>
      </w:r>
    </w:p>
    <w:p>
      <w:pPr>
        <w:rPr>
          <w:noProof w:val="1"/>
          <w:lang w:eastAsia="sv-SE"/>
        </w:rPr>
      </w:pPr>
      <w:bookmarkEnd w:id="190"/>
    </w:p>
    <w:p>
      <w:pPr>
        <w:pStyle w:val="P3"/>
        <w:rPr>
          <w:lang w:val="en-US"/>
        </w:rPr>
      </w:pPr>
      <w:bookmarkStart w:id="191" w:name="_Toc89446045"/>
      <w:bookmarkStart w:id="192" w:name="_Toc101363549"/>
      <w:bookmarkStart w:id="193" w:name="_Toc174446992"/>
      <w:bookmarkStart w:id="194" w:name="pf_geotekniskaförhållanden02"/>
      <w:r>
        <w:t>G</w:t>
      </w:r>
      <w:bookmarkEnd w:id="191"/>
      <w:bookmarkEnd w:id="192"/>
      <w:r>
        <w:t>eoteknik</w:t>
      </w:r>
      <w:bookmarkEnd w:id="193"/>
    </w:p>
    <w:p>
      <w:pPr>
        <w:rPr>
          <w:noProof w:val="1"/>
          <w:lang w:eastAsia="sv-SE"/>
        </w:rPr>
      </w:pPr>
      <w:bookmarkStart w:id="195" w:name="pf_geotekniskaförhållanden01"/>
      <w:r>
        <w:rPr>
          <w:noProof w:val="1"/>
          <w:lang w:eastAsia="sv-SE"/>
        </w:rPr>
        <w:t>Översta jordlagret bedöms främst bestå av sandig morän. Morän är vår vanligaste jordart och är för det mesta fast. Sandig morän kan vara känslig för skred om jordarten är vattenmättad.</w:t>
      </w:r>
    </w:p>
    <w:p>
      <w:pPr>
        <w:rPr>
          <w:noProof w:val="1"/>
          <w:lang w:eastAsia="sv-SE"/>
        </w:rPr>
      </w:pPr>
    </w:p>
    <w:p>
      <w:pPr>
        <w:rPr>
          <w:noProof w:val="1"/>
          <w:lang w:eastAsia="sv-SE"/>
        </w:rPr>
      </w:pPr>
      <w:r>
        <w:rPr>
          <w:noProof w:val="1"/>
          <w:lang w:eastAsia="sv-SE"/>
        </w:rPr>
        <w:t>Tyréns har genomfört en stabilitetsbedömning på fastigheten och bedömmer att stabiliteten är tillfredställande för aktuellt område och en utbyggnad av fastigheten inte kommer påverka totalstabiliteten för området, så länge som framtida tillbyggnad inte placeras närmre strandkanten än vad befintlig bebyggelse idag befinner sig samt att inga markhöjningar utförs.</w:t>
      </w:r>
    </w:p>
    <w:p>
      <w:pPr>
        <w:rPr>
          <w:noProof w:val="1"/>
          <w:lang w:eastAsia="sv-SE"/>
        </w:rPr>
      </w:pPr>
      <w:bookmarkEnd w:id="194"/>
    </w:p>
    <w:p>
      <w:pPr>
        <w:pStyle w:val="P3"/>
        <w:rPr>
          <w:lang w:val="en-US"/>
        </w:rPr>
      </w:pPr>
      <w:bookmarkStart w:id="196" w:name="_Toc174446993"/>
      <w:bookmarkStart w:id="197" w:name="pf_radon01"/>
      <w:r>
        <w:t>Radon</w:t>
      </w:r>
      <w:bookmarkEnd w:id="196"/>
    </w:p>
    <w:p>
      <w:pPr>
        <w:rPr>
          <w:noProof w:val="1"/>
          <w:lang w:eastAsia="sv-SE"/>
        </w:rPr>
      </w:pPr>
      <w:bookmarkEnd w:id="184"/>
      <w:bookmarkEnd w:id="195"/>
      <w:bookmarkStart w:id="198" w:name="pf_dagvatten01"/>
      <w:r>
        <w:rPr>
          <w:noProof w:val="1"/>
          <w:lang w:eastAsia="sv-SE"/>
        </w:rPr>
        <w:t xml:space="preserve">Planområdet är enligt SGU’s radonkartläggning belägen inom eventuellt högriskområde 2 på grund av alunskiffer i jordarterna. Verifiering av radonhalter i jordluft vid nya byggnaders läge rekommenderas i projekteringsskedet, för att bedöma behov av eventuella radonskyddande åtgärder. </w:t>
      </w:r>
    </w:p>
    <w:p>
      <w:pPr>
        <w:rPr>
          <w:noProof w:val="1"/>
          <w:lang w:eastAsia="sv-SE"/>
        </w:rPr>
      </w:pPr>
    </w:p>
    <w:p>
      <w:pPr>
        <w:pStyle w:val="P3"/>
        <w:rPr>
          <w:caps w:val="0"/>
          <w:lang w:val="en-US"/>
        </w:rPr>
      </w:pPr>
      <w:bookmarkEnd w:id="197"/>
      <w:bookmarkStart w:id="199" w:name="_Toc89446037"/>
      <w:bookmarkStart w:id="200" w:name="_Toc101363541"/>
      <w:bookmarkStart w:id="201" w:name="_Toc174446994"/>
      <w:bookmarkStart w:id="202" w:name="pf_dagvatten02"/>
      <w:r>
        <w:t>D</w:t>
      </w:r>
      <w:bookmarkEnd w:id="199"/>
      <w:bookmarkEnd w:id="200"/>
      <w:r>
        <w:t>agvatten</w:t>
      </w:r>
      <w:bookmarkEnd w:id="201"/>
    </w:p>
    <w:p>
      <w:pPr>
        <w:rPr>
          <w:noProof w:val="1"/>
          <w:lang w:eastAsia="sv-SE"/>
        </w:rPr>
      </w:pPr>
      <w:r>
        <w:rPr>
          <w:noProof w:val="1"/>
          <w:lang w:eastAsia="sv-SE"/>
        </w:rPr>
        <w:t>I och med att användningen fortsatt kommer att vara den samma, bostad, och att exploateringsgraden inte är högre än en femtedel av fastigheten (20%) samt att 60% av fastighetsstorleken ska vara genomsläpplig, bedöms inte detaljplanen påverka dagvattenhanteringen i området</w:t>
      </w:r>
    </w:p>
    <w:p>
      <w:pPr>
        <w:rPr>
          <w:noProof w:val="1"/>
          <w:lang w:eastAsia="sv-SE"/>
        </w:rPr>
      </w:pPr>
    </w:p>
    <w:p>
      <w:pPr>
        <w:rPr>
          <w:noProof w:val="1"/>
          <w:lang w:eastAsia="sv-SE"/>
        </w:rPr>
      </w:pPr>
      <w:r>
        <w:rPr>
          <w:noProof w:val="1"/>
          <w:lang w:eastAsia="sv-SE"/>
        </w:rPr>
        <w:t>Befintlig avvattning av området sker via kommunala dagvattenledningsnätet till Göta kanal. Dessutom sker den ytliga avrinningen vid skyfall till Göta kanal.</w:t>
      </w:r>
      <w:r>
        <w:rPr>
          <w:noProof w:val="1"/>
          <w:lang w:eastAsia="sv-SE"/>
        </w:rPr>
        <w:t xml:space="preserve"> </w:t>
      </w:r>
    </w:p>
    <w:p>
      <w:pPr>
        <w:rPr>
          <w:noProof w:val="1"/>
          <w:lang w:eastAsia="sv-SE"/>
        </w:rPr>
      </w:pPr>
      <w:bookmarkEnd w:id="202"/>
    </w:p>
    <w:p>
      <w:pPr>
        <w:pStyle w:val="P2"/>
      </w:pPr>
      <w:bookmarkEnd w:id="198"/>
      <w:bookmarkStart w:id="203" w:name="_Toc89446047"/>
      <w:bookmarkStart w:id="204" w:name="_Toc101363551"/>
      <w:bookmarkStart w:id="205" w:name="_Toc174446995"/>
      <w:r>
        <w:t>K</w:t>
      </w:r>
      <w:bookmarkEnd w:id="203"/>
      <w:bookmarkEnd w:id="204"/>
      <w:r>
        <w:t>ulturmiljö</w:t>
      </w:r>
      <w:bookmarkEnd w:id="205"/>
      <w:bookmarkStart w:id="206" w:name="pf_kulturmiljö01"/>
    </w:p>
    <w:p>
      <w:pPr>
        <w:pStyle w:val="P3"/>
        <w:rPr>
          <w:caps w:val="0"/>
          <w:lang w:val="en-US"/>
        </w:rPr>
      </w:pPr>
      <w:bookmarkEnd w:id="206"/>
      <w:bookmarkStart w:id="207" w:name="_Toc174446996"/>
      <w:bookmarkStart w:id="208" w:name="pf_kulturhistoriskbebyggelsemiljö01"/>
      <w:bookmarkStart w:id="209" w:name="_Hlk104907367"/>
      <w:r>
        <w:t>Kulturhistorisk bebyggelsemiljö</w:t>
      </w:r>
      <w:bookmarkEnd w:id="207"/>
    </w:p>
    <w:p>
      <w:r>
        <w:t xml:space="preserve">Planområdet ligger mellan Skomakaregatan och Snickaregatan längs Norra Kanalvägen ett par kvarter nordost om Dockområdet. </w:t>
      </w:r>
    </w:p>
    <w:p/>
    <w:p>
      <w:r>
        <w:t>Området mellan Norra Kanalvägen och Borensvägen tillhör de äldsta delarna som tidigare tillhörde Motala Verkstad. Innan Göta Kanal anlades tillhörde området Duvedals herrgård, men i samband med att kanalen skulle grävs fram köptes området upp av Göta kanalbolag. När Motala verkstad startade fick området ett tydligt samband till verkstaden i och med närheten och möjlighet till bostadsbebyggelse.</w:t>
      </w:r>
    </w:p>
    <w:p/>
    <w:p>
      <w:r>
        <w:t xml:space="preserve">Enstaka fastigheter inom de närmsta kvarteren från planområdet har fortfarande äldre bebyggelse bevarad som, i Tyréns kulturmiljöinventering från 2018, har kulturhistoriska värden i fråga om volym, placering och karaktärsdrag. </w:t>
      </w:r>
    </w:p>
    <w:p/>
    <w:p>
      <w:r>
        <w:t>Hela planområdet ligger inom riksintresset Göta kanal (delen Motala och Brunneby socknar). Uttrycket för riksintresset lyder: ”</w:t>
      </w:r>
      <w:r>
        <w:rPr>
          <w:i w:val="1"/>
          <w:iCs w:val="1"/>
        </w:rPr>
        <w:t>Kanalmiljön genom Motala kommun med omgivande landskap och bebyggelse. Motala hamn med hamnmagasin och stenkajer. Göta Kanalbolagets huvudkontor och slussvaktar-boställen. Storbron från 1783 över Strömmen. I parkanläggningen utmed kanalen finns Baltzar von Platens grav. Motala verkstad, som anlades för kanalens behov, är ett minnesmärke över industrialismens införande i Sverige. Industribyggnader från 1800- och 1900-talen, äldre arbetarbostäder, bla ”Långa raden”, Bolagshuset, Föreningshuset, Värdshuset och Folkets hus. Torrdockan med omgivande byggnader. Borenshults sluss-trappa med fem sammanbyggda slussar”</w:t>
      </w:r>
      <w:r>
        <w:t xml:space="preserve">. </w:t>
      </w:r>
    </w:p>
    <w:p/>
    <w:p>
      <w:r>
        <w:t>Inget av den tidigare nämnda bebyggelsen ligger inom planområdet men eftersom att planområdet ligger inom riksintresset för kulturmiljövård så ingår det i ett bebyggelseområde som är särskilt värdefullt utifrån historisk, kulturhistorisk, miljömässig eller konstnärlig synpunkt enligt Plan- och bygglagen kap. 8 § 13 och får därför inte förvanskas. Utveckling av bebyggelse får ske inom området för riksintresset, så länge riksintresset inte förvanskas, vilket planförslaget inte bedöms göra. Att så även sker i fortsättningen hanteras och säkerställs i bygglovsskedet.</w:t>
      </w:r>
    </w:p>
    <w:p>
      <w:pPr>
        <w:rPr>
          <w:noProof w:val="1"/>
          <w:lang w:eastAsia="sv-SE"/>
        </w:rPr>
      </w:pPr>
      <w:bookmarkEnd w:id="208"/>
    </w:p>
    <w:p>
      <w:pPr>
        <w:pStyle w:val="P2"/>
        <w:rPr>
          <w:lang w:val="en-US"/>
        </w:rPr>
      </w:pPr>
      <w:bookmarkEnd w:id="209"/>
      <w:bookmarkStart w:id="210" w:name="_Toc89446051"/>
      <w:bookmarkStart w:id="211" w:name="_Toc101363555"/>
      <w:bookmarkStart w:id="212" w:name="_Toc174446997"/>
      <w:r>
        <w:t>F</w:t>
      </w:r>
      <w:bookmarkEnd w:id="210"/>
      <w:bookmarkEnd w:id="211"/>
      <w:r>
        <w:t>ysisk miljö</w:t>
      </w:r>
      <w:bookmarkEnd w:id="212"/>
      <w:bookmarkStart w:id="213" w:name="pf_fysiskmiljö01"/>
    </w:p>
    <w:p>
      <w:pPr>
        <w:pStyle w:val="P3"/>
        <w:rPr>
          <w:caps w:val="0"/>
          <w:lang w:val="en-US"/>
        </w:rPr>
      </w:pPr>
      <w:bookmarkStart w:id="214" w:name="_Toc174446998"/>
      <w:bookmarkStart w:id="215" w:name="pf_stadsochlandskapsbild01"/>
      <w:r>
        <w:t>Stads- och landskapsbild</w:t>
      </w:r>
      <w:bookmarkEnd w:id="214"/>
      <w:r>
        <w:t xml:space="preserve"> </w:t>
      </w:r>
    </w:p>
    <w:p>
      <w:pPr>
        <w:rPr>
          <w:noProof w:val="1"/>
          <w:lang w:eastAsia="sv-SE"/>
        </w:rPr>
      </w:pPr>
      <w:r>
        <w:rPr>
          <w:noProof w:val="1"/>
          <w:shd w:val="clear" w:color="auto" w:fill="FFFFFF"/>
          <w:lang w:eastAsia="sv-SE"/>
        </w:rPr>
        <w:t>Stadsbilden i området etablerades på 1860-talet i och med Motala verkstads verksamhet och behovet av småhustomter ökade. I dag består området uteslutande av fristående bebyggelse från</w:t>
      </w:r>
      <w:r>
        <w:rPr>
          <w:noProof w:val="1"/>
          <w:lang w:eastAsia="sv-SE"/>
        </w:rPr>
        <w:t xml:space="preserve"> olika årtal. Det äldsta huset inom kvarteret Hyvelspånet och kringliggande kvarter är från 1860-talet, men majoriteten av bostäderna inom kvarteren är byggda runt 1950-talet eller senare.</w:t>
      </w:r>
    </w:p>
    <w:p>
      <w:pPr>
        <w:rPr>
          <w:noProof w:val="1"/>
          <w:lang w:eastAsia="sv-SE"/>
        </w:rPr>
      </w:pPr>
    </w:p>
    <w:p>
      <w:pPr>
        <w:rPr>
          <w:noProof w:val="1"/>
          <w:shd w:val="clear" w:color="auto" w:fill="FFFFFF"/>
          <w:lang w:eastAsia="sv-SE"/>
        </w:rPr>
      </w:pPr>
      <w:r>
        <w:rPr>
          <w:noProof w:val="1"/>
          <w:shd w:val="clear" w:color="auto" w:fill="FFFFFF"/>
          <w:lang w:eastAsia="sv-SE"/>
        </w:rPr>
        <w:t>Den äldre bebyggelsemiljöns hus mot Göta kanal har stora tomter där husen har en mer centrerad placering på fastigheten, jämfört med de mindre bostäderna, som har husen i framkant direkt mot gatan.</w:t>
      </w:r>
    </w:p>
    <w:p>
      <w:pPr>
        <w:rPr>
          <w:noProof w:val="1"/>
          <w:shd w:val="clear" w:color="auto" w:fill="FFFFFF"/>
          <w:lang w:eastAsia="sv-SE"/>
        </w:rPr>
      </w:pPr>
    </w:p>
    <w:p>
      <w:pPr>
        <w:rPr>
          <w:szCs w:val="24"/>
        </w:rPr>
      </w:pPr>
      <w:r>
        <w:rPr>
          <w:szCs w:val="24"/>
        </w:rPr>
        <w:t>Planområdet ligger på västra sidan av Göra kanal norr om Dockområdet, inom avgränsningen för riksintresset för kulturmiljövård kanalmiljö. Kvarteret består av åtta fastigheter varav tre pekats ut i den kulturmiljöinventering som Tyréns gjort 2018. De flesta ligger redan i dag dolda från kanalen av andra, yngre, bostadshus. Befintlig bostadsbyggnad på fastigheten byggdes 1964.</w:t>
      </w:r>
    </w:p>
    <w:p>
      <w:pPr>
        <w:rPr>
          <w:szCs w:val="24"/>
        </w:rPr>
      </w:pPr>
      <w:bookmarkEnd w:id="215"/>
    </w:p>
    <w:p>
      <w:pPr>
        <w:pStyle w:val="P3"/>
        <w:rPr>
          <w:caps w:val="0"/>
          <w:lang w:val="en-US"/>
        </w:rPr>
      </w:pPr>
      <w:bookmarkStart w:id="216" w:name="_Toc174446999"/>
      <w:bookmarkStart w:id="217" w:name="pf_gestaltning01"/>
      <w:r>
        <w:t>Gestaltning</w:t>
      </w:r>
      <w:bookmarkEnd w:id="216"/>
      <w:r>
        <w:t xml:space="preserve"> </w:t>
      </w:r>
    </w:p>
    <w:p>
      <w:pPr>
        <w:rPr>
          <w:szCs w:val="24"/>
        </w:rPr>
      </w:pPr>
      <w:bookmarkStart w:id="218" w:name="_Hlk163143071"/>
      <w:r>
        <w:rPr>
          <w:szCs w:val="24"/>
        </w:rPr>
        <w:t>Fastigheten Hyvelspånet 3 är i dag bebyggd med bostadshus från 1960-talet med tillhörande komplementbyggnad. Att tillåta en ökning av byggrätten till en femtedel av fastighetens storlek bedöms påverka riksintresset på det sätt att de blir en något större byggnadsvolym inom fastigheten. Men då bostadshuset ligger en god bit in på fastigheten med en större gräsyta mellan byggnaden och kanalområdet så bedöms upplevelsen av ändring i byggnadsvolymen som marginell.</w:t>
      </w:r>
    </w:p>
    <w:p>
      <w:pPr>
        <w:rPr>
          <w:noProof w:val="1"/>
          <w:shd w:val="clear" w:color="auto" w:fill="FFFFFF"/>
          <w:lang w:eastAsia="sv-SE"/>
        </w:rPr>
      </w:pPr>
      <w:bookmarkEnd w:id="217"/>
      <w:bookmarkEnd w:id="218"/>
    </w:p>
    <w:p>
      <w:pPr>
        <w:pStyle w:val="P2"/>
        <w:rPr>
          <w:lang w:val="en-US"/>
        </w:rPr>
      </w:pPr>
      <w:bookmarkEnd w:id="213"/>
      <w:bookmarkStart w:id="219" w:name="_Toc89446054"/>
      <w:bookmarkStart w:id="220" w:name="_Toc101363558"/>
      <w:bookmarkStart w:id="221" w:name="_Toc174447000"/>
      <w:bookmarkStart w:id="222" w:name="_Toc89446053"/>
      <w:bookmarkStart w:id="223" w:name="_Toc101363557"/>
      <w:r>
        <w:t>S</w:t>
      </w:r>
      <w:bookmarkEnd w:id="219"/>
      <w:bookmarkEnd w:id="220"/>
      <w:r>
        <w:t>ervice</w:t>
      </w:r>
      <w:bookmarkEnd w:id="221"/>
      <w:bookmarkStart w:id="224" w:name="pf_service01"/>
    </w:p>
    <w:p>
      <w:pPr>
        <w:pStyle w:val="P3"/>
        <w:rPr>
          <w:caps w:val="0"/>
          <w:lang w:val="en-US"/>
        </w:rPr>
      </w:pPr>
      <w:bookmarkStart w:id="225" w:name="_Toc174447001"/>
      <w:bookmarkStart w:id="226" w:name="pf_skola01"/>
      <w:r>
        <w:t>Skola</w:t>
      </w:r>
      <w:bookmarkEnd w:id="225"/>
    </w:p>
    <w:p>
      <w:pPr>
        <w:rPr>
          <w:noProof w:val="1"/>
          <w:shd w:val="clear" w:color="auto" w:fill="FFFFFF"/>
          <w:lang w:eastAsia="sv-SE"/>
        </w:rPr>
      </w:pPr>
      <w:r>
        <w:rPr>
          <w:noProof w:val="1"/>
          <w:shd w:val="clear" w:color="auto" w:fill="FFFFFF"/>
          <w:lang w:eastAsia="sv-SE"/>
        </w:rPr>
        <w:t>Närmsta förskola, Förskolan Björkelund, ligger inom 500 meter från planområdet. Även de kommunala grundskolorna, Ekenässkolan respektive Skolgårda skola, ligger inom 500 meter från planområdet.</w:t>
      </w:r>
    </w:p>
    <w:p>
      <w:pPr>
        <w:rPr>
          <w:noProof w:val="1"/>
          <w:shd w:val="clear" w:color="auto" w:fill="FFFFFF"/>
          <w:lang w:eastAsia="sv-SE"/>
        </w:rPr>
      </w:pPr>
      <w:bookmarkEnd w:id="226"/>
    </w:p>
    <w:p>
      <w:pPr>
        <w:pStyle w:val="P3"/>
        <w:rPr>
          <w:caps w:val="0"/>
          <w:lang w:val="en-US"/>
        </w:rPr>
      </w:pPr>
      <w:bookmarkStart w:id="227" w:name="_Toc174447002"/>
      <w:bookmarkStart w:id="228" w:name="pf_vård01"/>
      <w:r>
        <w:t>Vård</w:t>
      </w:r>
      <w:bookmarkEnd w:id="227"/>
    </w:p>
    <w:p>
      <w:pPr>
        <w:rPr>
          <w:noProof w:val="1"/>
          <w:lang w:eastAsia="sv-SE"/>
        </w:rPr>
      </w:pPr>
      <w:r>
        <w:rPr>
          <w:noProof w:val="1"/>
          <w:lang w:eastAsia="sv-SE"/>
        </w:rPr>
        <w:t>Närmsta vårdcentraler, Vårdcentralen Brinken och Vårdcentralorna Lyckorna, finns cirka 2,5 kilometer från planområdet</w:t>
      </w:r>
    </w:p>
    <w:p>
      <w:pPr>
        <w:pStyle w:val="P3"/>
        <w:rPr>
          <w:caps w:val="0"/>
          <w:lang w:val="en-US"/>
        </w:rPr>
      </w:pPr>
      <w:bookmarkEnd w:id="228"/>
      <w:bookmarkStart w:id="229" w:name="_Toc174447003"/>
      <w:bookmarkStart w:id="230" w:name="pf_kommersiellservice01"/>
      <w:r>
        <w:t>Kommersiell service</w:t>
      </w:r>
      <w:bookmarkEnd w:id="229"/>
    </w:p>
    <w:p>
      <w:pPr>
        <w:rPr>
          <w:noProof w:val="1"/>
          <w:shd w:val="clear" w:color="auto" w:fill="FFFFFF"/>
          <w:lang w:eastAsia="sv-SE"/>
        </w:rPr>
      </w:pPr>
      <w:r>
        <w:rPr>
          <w:noProof w:val="1"/>
          <w:shd w:val="clear" w:color="auto" w:fill="FFFFFF"/>
          <w:lang w:eastAsia="sv-SE"/>
        </w:rPr>
        <w:t>Kommersiell service finns i anslutning till Verkstadstorget cirka 700 meter från planområdet.</w:t>
      </w:r>
    </w:p>
    <w:p>
      <w:pPr>
        <w:rPr>
          <w:noProof w:val="1"/>
          <w:shd w:val="clear" w:color="auto" w:fill="FFFFFF"/>
          <w:lang w:eastAsia="sv-SE"/>
        </w:rPr>
      </w:pPr>
      <w:bookmarkEnd w:id="230"/>
    </w:p>
    <w:p>
      <w:pPr>
        <w:pStyle w:val="P2"/>
        <w:rPr>
          <w:lang w:val="en-US"/>
        </w:rPr>
      </w:pPr>
      <w:bookmarkEnd w:id="224"/>
      <w:bookmarkStart w:id="231" w:name="_Toc89446055"/>
      <w:bookmarkStart w:id="232" w:name="_Toc101363559"/>
      <w:bookmarkStart w:id="233" w:name="_Toc174447004"/>
      <w:r>
        <w:t>T</w:t>
      </w:r>
      <w:bookmarkEnd w:id="231"/>
      <w:bookmarkEnd w:id="232"/>
      <w:r>
        <w:t>rafik</w:t>
      </w:r>
      <w:bookmarkEnd w:id="233"/>
      <w:bookmarkStart w:id="234" w:name="pf_trafik01"/>
    </w:p>
    <w:p>
      <w:pPr>
        <w:pStyle w:val="P3"/>
        <w:rPr>
          <w:caps w:val="0"/>
          <w:lang w:val="en-US"/>
        </w:rPr>
      </w:pPr>
      <w:bookmarkStart w:id="235" w:name="_Toc174447005"/>
      <w:bookmarkStart w:id="236" w:name="pf_motortrafik01"/>
      <w:r>
        <w:t>Motortrafik</w:t>
      </w:r>
      <w:bookmarkEnd w:id="235"/>
      <w:r>
        <w:t xml:space="preserve"> </w:t>
      </w:r>
    </w:p>
    <w:p>
      <w:pPr>
        <w:rPr>
          <w:noProof w:val="1"/>
          <w:lang w:eastAsia="sv-SE"/>
        </w:rPr>
      </w:pPr>
      <w:r>
        <w:rPr>
          <w:noProof w:val="1"/>
          <w:lang w:eastAsia="sv-SE"/>
        </w:rPr>
        <w:t xml:space="preserve">Planområdet gränsar till Norra Kanalvägen, hastighetsgränsen på gatan är 30 kilometer i timmen och i anslutning till infarten till planområdet övergår gatan till gång- och cykelväg. </w:t>
      </w:r>
    </w:p>
    <w:p>
      <w:pPr>
        <w:rPr>
          <w:noProof w:val="1"/>
          <w:lang w:eastAsia="sv-SE"/>
        </w:rPr>
      </w:pPr>
    </w:p>
    <w:p>
      <w:pPr>
        <w:rPr>
          <w:noProof w:val="1"/>
          <w:lang w:eastAsia="sv-SE"/>
        </w:rPr>
      </w:pPr>
      <w:r>
        <w:rPr>
          <w:noProof w:val="1"/>
          <w:lang w:eastAsia="sv-SE"/>
        </w:rPr>
        <w:t>Norra Kanalvägen har tidigare sträckt sig längs Göta kanal från Borensvägen och Borenshult i norr och sedan kopplat på Varvsgatan i söder. Numera avslutas gatan i båda ändar av vändzoner för bilar och att vägen övergår till väg för gång- och cykeltrafik.</w:t>
      </w:r>
    </w:p>
    <w:p>
      <w:pPr>
        <w:rPr>
          <w:noProof w:val="1"/>
          <w:lang w:eastAsia="sv-SE"/>
        </w:rPr>
      </w:pPr>
      <w:bookmarkEnd w:id="236"/>
    </w:p>
    <w:p>
      <w:pPr>
        <w:pStyle w:val="P3"/>
        <w:rPr>
          <w:caps w:val="0"/>
          <w:lang w:val="en-US"/>
        </w:rPr>
      </w:pPr>
      <w:bookmarkStart w:id="237" w:name="_Toc174447006"/>
      <w:bookmarkStart w:id="238" w:name="pf_gångochcykeltrafik01"/>
      <w:r>
        <w:t>Gång- och cykeltrafik</w:t>
      </w:r>
      <w:bookmarkEnd w:id="237"/>
      <w:r>
        <w:t xml:space="preserve"> </w:t>
      </w:r>
    </w:p>
    <w:p>
      <w:pPr>
        <w:rPr>
          <w:noProof w:val="1"/>
          <w:lang w:eastAsia="sv-SE"/>
        </w:rPr>
      </w:pPr>
      <w:r>
        <w:rPr>
          <w:noProof w:val="1"/>
          <w:lang w:eastAsia="sv-SE"/>
        </w:rPr>
        <w:t xml:space="preserve">I direkt anslutning till planområdet övergår Norra Kanalvägen i gång- och cykelväg som ingår i kanalstråket som finns längs med Göta kanal. Övriga gator i området saknar helt eller delvis trottoar. </w:t>
      </w:r>
    </w:p>
    <w:p>
      <w:pPr>
        <w:rPr>
          <w:noProof w:val="1"/>
          <w:lang w:eastAsia="sv-SE"/>
        </w:rPr>
      </w:pPr>
      <w:bookmarkEnd w:id="238"/>
    </w:p>
    <w:p>
      <w:pPr>
        <w:pStyle w:val="P3"/>
        <w:rPr>
          <w:caps w:val="0"/>
          <w:lang w:val="en-US"/>
        </w:rPr>
      </w:pPr>
      <w:bookmarkStart w:id="239" w:name="_Toc174447007"/>
      <w:bookmarkStart w:id="240" w:name="pf_kollektivtrafik01"/>
      <w:r>
        <w:t>Kollektivtrafik</w:t>
      </w:r>
      <w:bookmarkEnd w:id="239"/>
      <w:r>
        <w:t xml:space="preserve"> </w:t>
      </w:r>
    </w:p>
    <w:p>
      <w:pPr>
        <w:rPr>
          <w:noProof w:val="1"/>
          <w:lang w:eastAsia="sv-SE"/>
        </w:rPr>
      </w:pPr>
      <w:r>
        <w:rPr>
          <w:noProof w:val="1"/>
          <w:lang w:eastAsia="sv-SE"/>
        </w:rPr>
        <w:t>Anslutning till kollektivtrafik inom tätorten finns på cirka 500 meters avstånd: Lernia eller Borenshult. Avståndet till Motala Central är cirka 2 kilometer. Från busshållplatserna Verkstadstorget och Myntgatan, cirka 600 meter från planområdet, trafikerar även landsortsbussar mot Borensberg och Linköping</w:t>
      </w:r>
    </w:p>
    <w:p>
      <w:pPr>
        <w:rPr>
          <w:noProof w:val="1"/>
          <w:lang w:eastAsia="sv-SE"/>
        </w:rPr>
      </w:pPr>
      <w:bookmarkEnd w:id="240"/>
    </w:p>
    <w:p>
      <w:pPr>
        <w:pStyle w:val="P3"/>
        <w:rPr>
          <w:caps w:val="0"/>
          <w:lang w:val="en-US"/>
        </w:rPr>
      </w:pPr>
      <w:bookmarkStart w:id="241" w:name="_Toc174447008"/>
      <w:bookmarkStart w:id="242" w:name="pf_utryckningstrafik01"/>
      <w:r>
        <w:t>Utryckningstrafik</w:t>
      </w:r>
      <w:bookmarkEnd w:id="241"/>
    </w:p>
    <w:p>
      <w:pPr>
        <w:rPr>
          <w:noProof w:val="1"/>
          <w:lang w:eastAsia="sv-SE"/>
        </w:rPr>
      </w:pPr>
      <w:r>
        <w:rPr>
          <w:noProof w:val="1"/>
          <w:lang w:eastAsia="sv-SE"/>
        </w:rPr>
        <w:t>Utryckningstrafik har tillgång till planområdet via infarten från Norra Kanalvägen.</w:t>
      </w:r>
    </w:p>
    <w:p>
      <w:pPr>
        <w:rPr>
          <w:noProof w:val="1"/>
          <w:lang w:eastAsia="sv-SE"/>
        </w:rPr>
      </w:pPr>
      <w:bookmarkEnd w:id="242"/>
    </w:p>
    <w:p>
      <w:pPr>
        <w:pStyle w:val="P3"/>
        <w:rPr>
          <w:caps w:val="0"/>
          <w:lang w:val="en-US"/>
        </w:rPr>
      </w:pPr>
      <w:bookmarkStart w:id="243" w:name="_Toc174447009"/>
      <w:r>
        <w:t>P</w:t>
      </w:r>
      <w:bookmarkStart w:id="244" w:name="pf_parkering01"/>
      <w:r>
        <w:t>arkering</w:t>
      </w:r>
      <w:bookmarkEnd w:id="243"/>
      <w:r>
        <w:t xml:space="preserve"> </w:t>
      </w:r>
    </w:p>
    <w:p>
      <w:pPr>
        <w:rPr>
          <w:noProof w:val="1"/>
          <w:lang w:eastAsia="sv-SE"/>
        </w:rPr>
      </w:pPr>
      <w:r>
        <w:rPr>
          <w:noProof w:val="1"/>
          <w:lang w:eastAsia="sv-SE"/>
        </w:rPr>
        <w:t>Parkering ska ske inom fastigheten Hyvelspånet 3.</w:t>
      </w:r>
    </w:p>
    <w:p>
      <w:pPr>
        <w:rPr>
          <w:noProof w:val="1"/>
          <w:lang w:eastAsia="sv-SE"/>
        </w:rPr>
      </w:pPr>
      <w:bookmarkEnd w:id="244"/>
    </w:p>
    <w:p>
      <w:pPr>
        <w:pStyle w:val="P3"/>
        <w:rPr>
          <w:caps w:val="0"/>
          <w:lang w:val="en-US"/>
        </w:rPr>
      </w:pPr>
      <w:bookmarkStart w:id="245" w:name="_Toc174447010"/>
      <w:bookmarkStart w:id="246" w:name="pf_utfarter01"/>
      <w:r>
        <w:t>Utfarter</w:t>
      </w:r>
      <w:bookmarkEnd w:id="245"/>
      <w:r>
        <w:t xml:space="preserve"> </w:t>
      </w:r>
    </w:p>
    <w:p>
      <w:pPr>
        <w:rPr>
          <w:noProof w:val="1"/>
          <w:color w:val="000000"/>
          <w:lang w:eastAsia="sv-SE"/>
        </w:rPr>
      </w:pPr>
      <w:r>
        <w:rPr>
          <w:noProof w:val="1"/>
          <w:color w:val="000000"/>
          <w:lang w:eastAsia="sv-SE"/>
        </w:rPr>
        <w:t>Fastighetens utfart kommer även i fortsättningen att vara mot Norra Kanalvägen.</w:t>
      </w:r>
    </w:p>
    <w:p>
      <w:pPr>
        <w:rPr>
          <w:noProof w:val="1"/>
          <w:color w:val="000000"/>
          <w:lang w:eastAsia="sv-SE"/>
        </w:rPr>
      </w:pPr>
      <w:bookmarkEnd w:id="246"/>
    </w:p>
    <w:p>
      <w:pPr>
        <w:pStyle w:val="P2"/>
        <w:rPr>
          <w:lang w:val="en-US"/>
        </w:rPr>
      </w:pPr>
      <w:bookmarkEnd w:id="234"/>
      <w:bookmarkStart w:id="247" w:name="_Toc174447011"/>
      <w:r>
        <w:t>T</w:t>
      </w:r>
      <w:bookmarkEnd w:id="222"/>
      <w:bookmarkEnd w:id="223"/>
      <w:r>
        <w:t>eknisk försörjning</w:t>
      </w:r>
      <w:bookmarkEnd w:id="247"/>
      <w:bookmarkStart w:id="248" w:name="pf_teknik01"/>
    </w:p>
    <w:p>
      <w:pPr>
        <w:pStyle w:val="P3"/>
        <w:rPr>
          <w:caps w:val="0"/>
          <w:lang w:val="en-US"/>
        </w:rPr>
      </w:pPr>
      <w:bookmarkEnd w:id="248"/>
      <w:bookmarkStart w:id="249" w:name="_Toc174447012"/>
      <w:bookmarkStart w:id="250" w:name="pf_vattenochspillvattennät01"/>
      <w:bookmarkStart w:id="251" w:name="_Toc89446052"/>
      <w:bookmarkStart w:id="252" w:name="_Toc101363560"/>
      <w:bookmarkStart w:id="253" w:name="_Toc101363556"/>
      <w:bookmarkStart w:id="254" w:name="_Toc89446056"/>
      <w:r>
        <w:t>Vatten- och spillvattennät</w:t>
      </w:r>
      <w:bookmarkEnd w:id="249"/>
      <w:r>
        <w:t xml:space="preserve"> </w:t>
      </w:r>
    </w:p>
    <w:p>
      <w:pPr>
        <w:rPr>
          <w:noProof w:val="1"/>
          <w:lang w:eastAsia="sv-SE"/>
        </w:rPr>
      </w:pPr>
      <w:r>
        <w:rPr>
          <w:noProof w:val="1"/>
          <w:lang w:eastAsia="sv-SE"/>
        </w:rPr>
        <w:t xml:space="preserve">Motala kommun är huvudman för det kommunala vatten- och spillvattennätet (va-nätet) inom planområdet. </w:t>
      </w:r>
    </w:p>
    <w:p>
      <w:pPr>
        <w:rPr>
          <w:noProof w:val="1"/>
          <w:lang w:eastAsia="sv-SE"/>
        </w:rPr>
      </w:pPr>
    </w:p>
    <w:p>
      <w:pPr>
        <w:rPr>
          <w:noProof w:val="1"/>
          <w:lang w:eastAsia="sv-SE"/>
        </w:rPr>
      </w:pPr>
      <w:r>
        <w:rPr>
          <w:noProof w:val="1"/>
          <w:lang w:eastAsia="sv-SE"/>
        </w:rPr>
        <w:t>Fastigheten har befintlig anslutning till kommunala ledningarna för vatten och spillvatten i Carlsundsgatan. Befintliga privata servisledningarna korsar idag fastigheten Hyvelspånet 8 och servitut finns upprättat mellan fastighetsägare. Önskar fastighetsägare att ny anslutning upprättas till kommunens ledningsnät som inte korsar annan fastighet, bekostas detta av fastighetsägare. Vid ny anslutning för spillvatten kan det eventuellt krävas pump på fastigheten som fastighetsägaren i så fall bekostar.</w:t>
      </w:r>
    </w:p>
    <w:p>
      <w:pPr>
        <w:rPr>
          <w:noProof w:val="1"/>
          <w:lang w:eastAsia="sv-SE"/>
        </w:rPr>
      </w:pPr>
      <w:bookmarkEnd w:id="250"/>
    </w:p>
    <w:p>
      <w:pPr>
        <w:pStyle w:val="P3"/>
        <w:rPr>
          <w:caps w:val="0"/>
          <w:lang w:val="en-US"/>
        </w:rPr>
      </w:pPr>
      <w:bookmarkStart w:id="255" w:name="_Toc174447013"/>
      <w:bookmarkStart w:id="256" w:name="pf_dagvattennät01"/>
      <w:r>
        <w:t>Dagvattennät</w:t>
      </w:r>
      <w:bookmarkEnd w:id="255"/>
      <w:r>
        <w:t xml:space="preserve">  </w:t>
      </w:r>
    </w:p>
    <w:p>
      <w:pPr>
        <w:rPr>
          <w:noProof w:val="1"/>
          <w:lang w:eastAsia="sv-SE"/>
        </w:rPr>
      </w:pPr>
      <w:r>
        <w:rPr>
          <w:noProof w:val="1"/>
          <w:lang w:eastAsia="sv-SE"/>
        </w:rPr>
        <w:t xml:space="preserve">Motala kommun är huvudman för det kommunala dagvattennätet inom planområdet. </w:t>
      </w:r>
    </w:p>
    <w:p>
      <w:pPr>
        <w:rPr>
          <w:noProof w:val="1"/>
          <w:lang w:eastAsia="sv-SE"/>
        </w:rPr>
      </w:pPr>
    </w:p>
    <w:p>
      <w:pPr>
        <w:rPr>
          <w:noProof w:val="1"/>
          <w:lang w:eastAsia="sv-SE"/>
        </w:rPr>
      </w:pPr>
      <w:r>
        <w:rPr>
          <w:noProof w:val="1"/>
          <w:lang w:eastAsia="sv-SE"/>
        </w:rPr>
        <w:t>Motala kommuns policy för hållbar dagvattenhantering (antagen 2022-03- 14) beskriver hur dagvatten ska tas omhand i både ny och befintlig miljö. Till policyn finns Riktvärden för utsläpp av dagvatten som beslutades 2022 beskriver vilken bedömning som ska göras för att säkerställa behovet av att rena dagvatten. Policyn rekommenderar att en regnvolym på 10 mm ska kunna fördröjas inom kvartersmark. Detta säkerställs i plankartan genom att minst 60 % av fastigheten ska vara genomsläpplig. Fastighetsägare ansvarar för hantering av dagvatten inom sin fastighet. Val av teknik och utformning för hantering av dagvatten inom fastigheten styrs inte genom planbestämmelser, men avsättning av yta till ändamålet är tillgodosett. Lösningar för hantering av dagvatten för att fördröja vattnet innan det avleds vidare till kommunal anläggning kan handla om att samordna flera lösningar som att leda dagvatten till stenkista, ut på grönyta, svackdiken eller spara för att använda till vattning i trädgård.</w:t>
      </w:r>
    </w:p>
    <w:p>
      <w:pPr>
        <w:rPr>
          <w:noProof w:val="1"/>
          <w:lang w:eastAsia="sv-SE"/>
        </w:rPr>
      </w:pPr>
      <w:bookmarkEnd w:id="256"/>
    </w:p>
    <w:p>
      <w:pPr>
        <w:pStyle w:val="P3"/>
        <w:rPr>
          <w:caps w:val="0"/>
          <w:lang w:val="en-US"/>
        </w:rPr>
      </w:pPr>
      <w:bookmarkStart w:id="257" w:name="_Toc174447014"/>
      <w:bookmarkStart w:id="258" w:name="pf_brandvattenförsörjning01"/>
      <w:r>
        <w:t>Brandvattenförsörjning</w:t>
      </w:r>
      <w:bookmarkEnd w:id="257"/>
      <w:r>
        <w:t xml:space="preserve">  </w:t>
      </w:r>
    </w:p>
    <w:p>
      <w:pPr>
        <w:rPr>
          <w:noProof w:val="1"/>
          <w:lang w:eastAsia="sv-SE"/>
        </w:rPr>
      </w:pPr>
      <w:r>
        <w:rPr>
          <w:noProof w:val="1"/>
          <w:lang w:eastAsia="sv-SE"/>
        </w:rPr>
        <w:t>Närmsta brandpost ligger cirka 100 meter sydväst om planområdet, nära korsningen Carlsundsgatan och Skomakaregatan.</w:t>
      </w:r>
    </w:p>
    <w:p>
      <w:pPr>
        <w:rPr>
          <w:noProof w:val="1"/>
          <w:lang w:eastAsia="sv-SE"/>
        </w:rPr>
      </w:pPr>
      <w:bookmarkEnd w:id="258"/>
    </w:p>
    <w:p>
      <w:pPr>
        <w:pStyle w:val="P3"/>
        <w:rPr>
          <w:caps w:val="0"/>
          <w:lang w:val="en-US"/>
        </w:rPr>
      </w:pPr>
      <w:bookmarkStart w:id="259" w:name="_Toc174447015"/>
      <w:bookmarkStart w:id="260" w:name="pf_fjärrvärmenät01"/>
      <w:r>
        <w:t>Fjärrvärmenät</w:t>
      </w:r>
      <w:bookmarkEnd w:id="259"/>
      <w:r>
        <w:t xml:space="preserve">  </w:t>
      </w:r>
    </w:p>
    <w:p>
      <w:pPr>
        <w:rPr>
          <w:noProof w:val="1"/>
          <w:lang w:eastAsia="sv-SE"/>
        </w:rPr>
      </w:pPr>
      <w:r>
        <w:rPr>
          <w:noProof w:val="1"/>
          <w:lang w:eastAsia="sv-SE"/>
        </w:rPr>
        <w:t>Inget fjärrvärmenät finns inom planområdet. Ingen möjlighet finns att ansluta till fjärrvärmenät.</w:t>
      </w:r>
    </w:p>
    <w:p>
      <w:pPr>
        <w:rPr>
          <w:noProof w:val="1"/>
          <w:lang w:eastAsia="sv-SE"/>
        </w:rPr>
      </w:pPr>
      <w:bookmarkEnd w:id="260"/>
    </w:p>
    <w:p>
      <w:pPr>
        <w:pStyle w:val="P3"/>
        <w:rPr>
          <w:caps w:val="0"/>
          <w:lang w:val="en-US"/>
        </w:rPr>
      </w:pPr>
      <w:bookmarkStart w:id="261" w:name="_Toc174447016"/>
      <w:bookmarkStart w:id="262" w:name="pf_elnät01"/>
      <w:r>
        <w:t>Elnät</w:t>
      </w:r>
      <w:bookmarkEnd w:id="261"/>
      <w:r>
        <w:t xml:space="preserve"> </w:t>
      </w:r>
    </w:p>
    <w:p>
      <w:pPr>
        <w:rPr>
          <w:noProof w:val="1"/>
          <w:lang w:eastAsia="sv-SE"/>
        </w:rPr>
      </w:pPr>
      <w:r>
        <w:rPr>
          <w:noProof w:val="1"/>
          <w:lang w:eastAsia="sv-SE"/>
        </w:rPr>
        <w:t xml:space="preserve">Vattenfall Eldistrubition AB är huvudman för elnätet inom planområdet. Fastigheten är sedan tidigare ansluten till elnät. </w:t>
      </w:r>
    </w:p>
    <w:p>
      <w:pPr>
        <w:rPr>
          <w:noProof w:val="1"/>
          <w:lang w:eastAsia="sv-SE"/>
        </w:rPr>
      </w:pPr>
      <w:bookmarkEnd w:id="262"/>
    </w:p>
    <w:p>
      <w:pPr>
        <w:pStyle w:val="P3"/>
        <w:rPr>
          <w:caps w:val="0"/>
          <w:lang w:val="en-US"/>
        </w:rPr>
      </w:pPr>
      <w:bookmarkStart w:id="263" w:name="_Toc174447017"/>
      <w:bookmarkStart w:id="264" w:name="pf_fibernät01"/>
      <w:r>
        <w:t>Fibernät</w:t>
      </w:r>
      <w:bookmarkEnd w:id="263"/>
      <w:r>
        <w:t xml:space="preserve"> </w:t>
      </w:r>
    </w:p>
    <w:p>
      <w:pPr>
        <w:rPr>
          <w:noProof w:val="1"/>
          <w:lang w:eastAsia="sv-SE"/>
        </w:rPr>
      </w:pPr>
      <w:bookmarkStart w:id="265" w:name="_Hlk104911032"/>
      <w:r>
        <w:rPr>
          <w:noProof w:val="1"/>
          <w:lang w:eastAsia="sv-SE"/>
        </w:rPr>
        <w:t>Skanova är huvudman för fibernätet inom planområdet. Möjlighet finns att ansluta till det befintligt tele- och fibernät.</w:t>
      </w:r>
    </w:p>
    <w:p>
      <w:pPr>
        <w:rPr>
          <w:noProof w:val="1"/>
          <w:lang w:eastAsia="sv-SE"/>
        </w:rPr>
      </w:pPr>
      <w:bookmarkEnd w:id="264"/>
    </w:p>
    <w:p>
      <w:pPr>
        <w:pStyle w:val="P3"/>
        <w:rPr>
          <w:caps w:val="0"/>
          <w:lang w:val="en-US"/>
        </w:rPr>
      </w:pPr>
      <w:bookmarkEnd w:id="265"/>
      <w:bookmarkStart w:id="266" w:name="_Toc174447018"/>
      <w:bookmarkStart w:id="267" w:name="pf_avfall01"/>
      <w:r>
        <w:t>Avfall</w:t>
      </w:r>
      <w:bookmarkEnd w:id="266"/>
      <w:r>
        <w:t xml:space="preserve"> </w:t>
      </w:r>
    </w:p>
    <w:p>
      <w:pPr>
        <w:rPr>
          <w:noProof w:val="1"/>
          <w:lang w:eastAsia="sv-SE"/>
        </w:rPr>
      </w:pPr>
      <w:r>
        <w:rPr>
          <w:noProof w:val="1"/>
          <w:lang w:eastAsia="sv-SE"/>
        </w:rPr>
        <w:t>Motala kommun ansvarar för att hantera kommunalt avfall från hushåll</w:t>
      </w:r>
    </w:p>
    <w:p>
      <w:pPr>
        <w:rPr>
          <w:noProof w:val="1"/>
          <w:lang w:eastAsia="sv-SE"/>
        </w:rPr>
      </w:pPr>
      <w:r>
        <w:rPr>
          <w:noProof w:val="1"/>
          <w:lang w:eastAsia="sv-SE"/>
        </w:rPr>
        <w:t>och sådant avfall från verksamheter som till sin art och samansättning liknar avfall från hushåll i enlighet med 15 kap. 3 § miljöbalken. I begreppet kommunalt avfall ingår returpapper enligt 1 kap. 10 § avfallsförordningen (2020:614). Med avfall som kommuner ansvarar för avses kommunalt avfall och annat avfall som kommunen ansvarar för enligt 6 kap. 2 och 6 §§ förordningen (2022:1274) om producentansvar för förpackningar. Borttransport av detta avfall sker av avfallsorganisationen eller dess utförare. För vissa avfall (tex livsmedels- eller köksavfall, restavfall, samt förpackningsavfall) ska insamling och borttransport ske i anslutning till bostaden, så kallad fastighetsnära insamling. För detaljer kring avfallshantering hänvisas till gällande lokala avfallföreskrifter Motala kommun.</w:t>
      </w:r>
    </w:p>
    <w:p>
      <w:pPr>
        <w:rPr>
          <w:noProof w:val="1"/>
          <w:lang w:eastAsia="sv-SE"/>
        </w:rPr>
      </w:pPr>
      <w:r>
        <w:rPr>
          <w:noProof w:val="1"/>
          <w:lang w:eastAsia="sv-SE"/>
        </w:rPr>
        <w:t>Borttransport och behandling av avfall under kommunens ansvar sker i enlighet Motala kommuns avfallstaxa.</w:t>
      </w:r>
    </w:p>
    <w:p>
      <w:pPr>
        <w:rPr>
          <w:noProof w:val="1"/>
          <w:lang w:eastAsia="sv-SE"/>
        </w:rPr>
      </w:pPr>
      <w:bookmarkEnd w:id="267"/>
    </w:p>
    <w:p>
      <w:pPr>
        <w:rPr>
          <w:szCs w:val="24"/>
        </w:rPr>
      </w:pPr>
      <w:bookmarkEnd w:id="251"/>
      <w:bookmarkEnd w:id="252"/>
      <w:bookmarkEnd w:id="253"/>
      <w:bookmarkEnd w:id="254"/>
      <w:r>
        <w:rPr>
          <w:rFonts w:ascii="Arial" w:hAnsi="Arial" w:cs="Arial" w:eastAsia="Arial"/>
          <w:noProof w:val="1"/>
          <w:color w:val="000000"/>
          <w:lang w:eastAsia="sv-SE"/>
        </w:rPr>
        <w:br w:type="page"/>
      </w:r>
    </w:p>
    <w:p>
      <w:pPr>
        <w:pStyle w:val="P1"/>
      </w:pPr>
      <w:bookmarkStart w:id="268" w:name="_Toc89446079"/>
      <w:bookmarkStart w:id="269" w:name="_Toc101363586"/>
      <w:bookmarkStart w:id="270" w:name="_Toc174447019"/>
      <w:r>
        <w:t>K</w:t>
      </w:r>
      <w:bookmarkEnd w:id="268"/>
      <w:bookmarkEnd w:id="269"/>
      <w:r>
        <w:t>onsekvenser</w:t>
      </w:r>
      <w:bookmarkEnd w:id="270"/>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w:t>
            </w:r>
            <w:r>
              <w:rPr>
                <w:noProof w:val="1"/>
                <w:lang w:eastAsia="sv-SE"/>
              </w:rPr>
              <w:t xml:space="preserve">planen </w:t>
            </w:r>
            <w:r>
              <w:rPr>
                <w:lang w:eastAsia="sv-SE"/>
              </w:rPr>
              <w:t xml:space="preserve">ska kommunen redovisa de konsekvenser som </w:t>
            </w:r>
            <w:r>
              <w:rPr>
                <w:noProof w:val="1"/>
                <w:lang w:eastAsia="sv-SE"/>
              </w:rPr>
              <w:t xml:space="preserve">planens </w:t>
            </w:r>
            <w:r>
              <w:rPr>
                <w:lang w:eastAsia="sv-SE"/>
              </w:rPr>
              <w:t>genomförande kan medföra. P</w:t>
            </w:r>
            <w:r>
              <w:rPr>
                <w:noProof w:val="1"/>
                <w:lang w:eastAsia="sv-SE"/>
              </w:rPr>
              <w:t xml:space="preserve">lanens </w:t>
            </w:r>
            <w:r>
              <w:rPr>
                <w:lang w:eastAsia="sv-SE"/>
              </w:rPr>
              <w:t xml:space="preserve">konsekvenser redovisas i sin helhet i planhandlingen </w:t>
            </w:r>
            <w:r>
              <w:rPr>
                <w:i w:val="1"/>
                <w:lang w:eastAsia="sv-SE"/>
              </w:rPr>
              <w:t>Undersökning om betydande miljöpåverkan</w:t>
            </w:r>
            <w:r>
              <w:rPr>
                <w:lang w:eastAsia="sv-SE"/>
              </w:rPr>
              <w:t>. I planbeskrivningen redovisar kommunen sitt ställningstagande och sin bedömning om huruvida planen kan antas medföra betydande påverkan samt planens totala påverkanseffekt. I undantagsfall kan även vissa frågor redovisas i egna avsnitt nedan.</w:t>
            </w:r>
          </w:p>
        </w:tc>
      </w:tr>
    </w:tbl>
    <w:p>
      <w:pPr>
        <w:rPr>
          <w:lang w:eastAsia="sv-SE"/>
        </w:rPr>
      </w:pPr>
    </w:p>
    <w:p>
      <w:pPr>
        <w:pStyle w:val="P2"/>
      </w:pPr>
      <w:bookmarkStart w:id="271" w:name="_Toc174447020"/>
      <w:r>
        <w:t>Kommunala planeringsunderlag</w:t>
      </w:r>
      <w:bookmarkEnd w:id="271"/>
    </w:p>
    <w:p>
      <w:pPr>
        <w:pStyle w:val="P3"/>
        <w:rPr>
          <w:caps w:val="0"/>
        </w:rPr>
      </w:pPr>
      <w:bookmarkStart w:id="272" w:name="_Toc89446088"/>
      <w:bookmarkStart w:id="273" w:name="_Toc101363595"/>
      <w:bookmarkStart w:id="274" w:name="_Toc174447021"/>
      <w:bookmarkStart w:id="275" w:name="ko_ställningstagande4kap33b_pbl01"/>
      <w:bookmarkStart w:id="276" w:name="_Toc89446086"/>
      <w:bookmarkStart w:id="277" w:name="_Toc101363593"/>
      <w:r>
        <w:t>Ställningstagande om betydande miljöpåverkan</w:t>
      </w:r>
      <w:bookmarkEnd w:id="272"/>
      <w:bookmarkEnd w:id="273"/>
      <w:bookmarkEnd w:id="274"/>
    </w:p>
    <w:p>
      <w:pPr>
        <w:rPr>
          <w:lang w:eastAsia="sv-SE"/>
        </w:rPr>
      </w:pPr>
      <w:r>
        <w:rPr>
          <w:lang w:eastAsia="sv-SE"/>
        </w:rPr>
        <w:t xml:space="preserve">En undersökning om betydande miljöpåverkan har genomförts i enlighet med Miljöbalken (1998:808) 6 kap. 5 §. Underökningen i sin helhet kan tas del av i planhandlingen Undersökning om betydande miljöpåverkan. </w:t>
      </w:r>
    </w:p>
    <w:p>
      <w:pPr>
        <w:rPr>
          <w:lang w:eastAsia="sv-SE"/>
        </w:rPr>
      </w:pPr>
    </w:p>
    <w:p>
      <w:r>
        <w:t xml:space="preserve">Planen antas inte medföra betydande miljöpåverkan på något av kulturvärdena, naturvärdena, de sociala eller materiella värdena och inte heller antas planen medföra betydande risker för människors hälsa eller miljön. </w:t>
      </w:r>
    </w:p>
    <w:p/>
    <w:p>
      <w:r>
        <w:t>Planen antas inte medföra påverkan på kulturvärdena.</w:t>
      </w:r>
    </w:p>
    <w:p/>
    <w:p>
      <w:r>
        <w:t xml:space="preserve">Planen antas inte medföra påverkan på naturvärdena, de sociala värden eller de materiella värdena. </w:t>
      </w:r>
    </w:p>
    <w:p/>
    <w:p>
      <w:r>
        <w:t xml:space="preserve">Planen antas inte medföra några ökade risker för människors hälsa och säkerhet. </w:t>
      </w:r>
    </w:p>
    <w:p/>
    <w:p>
      <w:r>
        <w:t xml:space="preserve">Planen antas inte medföra påverkan på riksintressen kopplade till Göta kanal. </w:t>
      </w:r>
    </w:p>
    <w:p/>
    <w:p>
      <w:r>
        <w:t>Sammantaget bedöms inte den sammanlagda påverkan på de naturvärdena kunna medföra betydande miljöpåverkan och föranleder därmed inte ett framtagande av en miljökonsekvensbeskrivning.</w:t>
      </w:r>
    </w:p>
    <w:p>
      <w:pPr>
        <w:rPr>
          <w:lang w:eastAsia="sv-SE"/>
        </w:rPr>
      </w:pPr>
      <w:bookmarkEnd w:id="275"/>
    </w:p>
    <w:p>
      <w:pPr>
        <w:pStyle w:val="P3"/>
        <w:rPr>
          <w:lang w:val="en-US"/>
        </w:rPr>
      </w:pPr>
      <w:bookmarkStart w:id="278" w:name="_Toc89446087"/>
      <w:bookmarkStart w:id="279" w:name="_Toc101363594"/>
      <w:bookmarkStart w:id="280" w:name="_Toc174447022"/>
      <w:bookmarkStart w:id="281" w:name="ko_miljöbedömning01"/>
      <w:r>
        <w:t>Undersökning om betydande miljöpåverkan</w:t>
      </w:r>
      <w:bookmarkEnd w:id="278"/>
      <w:bookmarkEnd w:id="279"/>
      <w:bookmarkEnd w:id="280"/>
    </w:p>
    <w:p>
      <w:pPr>
        <w:rPr>
          <w:lang w:eastAsia="sv-SE"/>
        </w:rPr>
      </w:pPr>
      <w:r>
        <w:rPr>
          <w:lang w:eastAsia="sv-SE"/>
        </w:rPr>
        <w:t>Konsekvenserna av detaljplanens genomförande redovisas i sin helhet i planhandlingen Undersökning om betydande miljöpåverkan.</w:t>
      </w:r>
    </w:p>
    <w:p>
      <w:pPr>
        <w:rPr>
          <w:lang w:eastAsia="sv-SE"/>
        </w:rPr>
      </w:pPr>
    </w:p>
    <w:p>
      <w:pPr>
        <w:rPr>
          <w:color w:val="FF0000"/>
        </w:rPr>
      </w:pPr>
      <w:r>
        <w:t xml:space="preserve">I undersökningen bedöms planförslaget beröra kulturvärden kopplade till </w:t>
      </w:r>
      <w:r>
        <w:rPr>
          <w:i w:val="1"/>
        </w:rPr>
        <w:t>karaktärsdrag i landskap och bebyggelse och</w:t>
      </w:r>
      <w:r>
        <w:t xml:space="preserve"> </w:t>
      </w:r>
      <w:r>
        <w:rPr>
          <w:i w:val="1"/>
        </w:rPr>
        <w:t>värdefulla bebyggelsemiljöer</w:t>
      </w:r>
      <w:r>
        <w:t xml:space="preserve">. Kulturvärdena bedöms förändra karaktärsdraget något inom den specifika fastigheten, men inte på den nivå att det kan ses som påverkan eller en förvanskning av riksintresset för kulturmiljövård. </w:t>
      </w:r>
    </w:p>
    <w:p/>
    <w:p>
      <w:pPr>
        <w:rPr>
          <w:color w:val="000000" w:themeColor="text1"/>
        </w:rPr>
      </w:pPr>
      <w:r>
        <w:rPr>
          <w:color w:val="000000" w:themeColor="text1"/>
        </w:rPr>
        <w:t>I undersökningen bedöms planförslaget inte beröra några naturvärden då marken inom planområdet består av trädgårdsmark med gräsmatta, rabatter och enstaka träd och buskar.</w:t>
      </w:r>
    </w:p>
    <w:p/>
    <w:p>
      <w:r>
        <w:t xml:space="preserve">I undersökningen bedöms planförslaget inte beröra sociala värden kopplade till </w:t>
      </w:r>
      <w:r>
        <w:rPr>
          <w:i w:val="1"/>
        </w:rPr>
        <w:t>friyta för lek</w:t>
      </w:r>
      <w:r>
        <w:t xml:space="preserve"> och </w:t>
      </w:r>
      <w:r>
        <w:rPr>
          <w:i w:val="1"/>
        </w:rPr>
        <w:t>mötesplatser</w:t>
      </w:r>
      <w:r>
        <w:t>. De sociala värdena bedöms inte påverkas negativt eftersom att planen saknar allmän platsmark och hela fastigheten ingår i fastighetsägarens hemfridszon</w:t>
      </w:r>
      <w:r>
        <w:rPr>
          <w:color w:val="FF0000"/>
        </w:rPr>
        <w:t>.</w:t>
      </w:r>
    </w:p>
    <w:p/>
    <w:p>
      <w:r>
        <w:t xml:space="preserve">I undersökningen bedöms planförslaget inte beröra materiella värden. </w:t>
      </w:r>
      <w:r>
        <w:rPr>
          <w:szCs w:val="24"/>
        </w:rPr>
        <w:t>Detaljplanen möjliggör inte för bebyggelse över 45 meter och bedöms därför inte påverka riksintresset för stoppområde för höga objekt. Detaljplanen bedöms inte påverka riksintressen för Malmens flygflottiljflygplats och Karlsborgs övningsflygplats.</w:t>
      </w:r>
    </w:p>
    <w:p/>
    <w:p>
      <w:pPr>
        <w:rPr>
          <w:color w:val="000000" w:themeColor="text1"/>
        </w:rPr>
      </w:pPr>
      <w:r>
        <w:t xml:space="preserve">I undersökningen bedöms planförslaget inte beröras av risker för människors hälsa och säkerhet kopplade till </w:t>
      </w:r>
      <w:r>
        <w:rPr>
          <w:i w:val="1"/>
        </w:rPr>
        <w:t>inomhusmiljö</w:t>
      </w:r>
      <w:r>
        <w:t xml:space="preserve">, </w:t>
      </w:r>
      <w:r>
        <w:rPr>
          <w:i w:val="1"/>
        </w:rPr>
        <w:t>utomhusmiljö</w:t>
      </w:r>
      <w:r>
        <w:t xml:space="preserve"> och </w:t>
      </w:r>
      <w:r>
        <w:rPr>
          <w:i w:val="1"/>
        </w:rPr>
        <w:t>miljökvalitetsnormer för grund- och ytvatten</w:t>
      </w:r>
      <w:r>
        <w:t xml:space="preserve">. </w:t>
      </w:r>
      <w:r>
        <w:rPr>
          <w:color w:val="000000" w:themeColor="text1"/>
        </w:rPr>
        <w:t>Detaljplanen bedöms inte medföra en försämring för människors hälsa eller säkerhet vad gäller risk för översvämning, olyckor, verksamheter eller störningar som medför risk för omgivningen (markförorening), verksamheter eller störningar som medför risk för omgivningen (trafikbuller), radon, miljökvalitetsnormer för luft, miljökvalitetsnormer för buller, miljökvalitetsnormer för grundvatten och ytvatten.</w:t>
      </w:r>
    </w:p>
    <w:p>
      <w:bookmarkEnd w:id="281"/>
    </w:p>
    <w:p>
      <w:pPr>
        <w:pStyle w:val="P3"/>
        <w:rPr>
          <w:caps w:val="0"/>
          <w:lang w:val="en-US"/>
        </w:rPr>
      </w:pPr>
      <w:bookmarkStart w:id="282" w:name="_Toc174447023"/>
      <w:bookmarkStart w:id="283" w:name="ko_miljökonsekvensbeskrivning02"/>
      <w:r>
        <w:t>Miljökonsekvensbeskrivning</w:t>
      </w:r>
      <w:bookmarkEnd w:id="276"/>
      <w:bookmarkEnd w:id="277"/>
      <w:bookmarkEnd w:id="282"/>
    </w:p>
    <w:p>
      <w:pPr>
        <w:rPr>
          <w:noProof w:val="1"/>
          <w:color w:val="000000"/>
          <w:lang w:eastAsia="sv-SE"/>
        </w:rPr>
      </w:pPr>
      <w:bookmarkStart w:id="284" w:name="ko_miljökonsekvensbeskrivning01"/>
      <w:r>
        <w:rPr>
          <w:noProof w:val="1"/>
          <w:color w:val="000000"/>
          <w:lang w:eastAsia="sv-SE"/>
        </w:rPr>
        <w:t>En miljökonsekvensbeskrivning har inte upprättats eftersom en undersökning om betydande miljöpåverkan har genomförts som visar på att detaljplanen inte kan antas medföra betydande miljöpåverkan.</w:t>
      </w:r>
      <w:bookmarkEnd w:id="284"/>
      <w:bookmarkStart w:id="285" w:name="ko_annat01"/>
    </w:p>
    <w:p>
      <w:pPr>
        <w:rPr>
          <w:noProof w:val="1"/>
          <w:color w:val="000000"/>
          <w:lang w:eastAsia="sv-SE"/>
        </w:rPr>
      </w:pPr>
      <w:bookmarkEnd w:id="283"/>
    </w:p>
    <w:p>
      <w:pPr>
        <w:spacing w:lineRule="auto" w:line="240" w:beforeAutospacing="0" w:afterAutospacing="0"/>
        <w:rPr>
          <w:rFonts w:ascii="Barlow Semi Condensed SemiBold" w:hAnsi="Barlow Semi Condensed SemiBold" w:cstheme="majorBidi" w:eastAsia="Arial"/>
          <w:caps w:val="1"/>
          <w:noProof w:val="1"/>
          <w:sz w:val="44"/>
          <w:szCs w:val="32"/>
          <w:lang w:eastAsia="sv-SE"/>
        </w:rPr>
      </w:pPr>
      <w:bookmarkEnd w:id="285"/>
      <w:bookmarkStart w:id="286" w:name="_Toc89446138"/>
      <w:bookmarkStart w:id="287" w:name="_Toc101363645"/>
      <w:r>
        <w:br w:type="page"/>
      </w:r>
    </w:p>
    <w:p>
      <w:pPr>
        <w:pStyle w:val="P1"/>
      </w:pPr>
      <w:bookmarkStart w:id="288" w:name="_Toc174447024"/>
      <w:r>
        <w:t>Genomförandefrågor</w:t>
      </w:r>
      <w:bookmarkEnd w:id="286"/>
      <w:bookmarkEnd w:id="287"/>
      <w:bookmarkEnd w:id="288"/>
      <w:bookmarkStart w:id="289" w:name="_Toc89446161"/>
      <w:bookmarkStart w:id="290" w:name="_Toc101363668"/>
      <w:bookmarkStart w:id="291" w:name="_Toc89446139"/>
      <w:bookmarkStart w:id="292" w:name="_Toc101363646"/>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de organisatoriska, tekniska, ekonomiska och fastighetsrättsliga åtgärder som behövs för att </w:t>
            </w:r>
            <w:r>
              <w:rPr>
                <w:noProof w:val="1"/>
                <w:lang w:eastAsia="sv-SE"/>
              </w:rPr>
              <w:t xml:space="preserve">planen </w:t>
            </w:r>
            <w:r>
              <w:rPr>
                <w:lang w:eastAsia="sv-SE"/>
              </w:rPr>
              <w:t xml:space="preserve">ska kunna genomföras på ett samordnat och ändamålsenligt sätt. Det ska framgå vilka konsekvenser som </w:t>
            </w:r>
            <w:r>
              <w:rPr>
                <w:noProof w:val="1"/>
                <w:lang w:eastAsia="sv-SE"/>
              </w:rPr>
              <w:t xml:space="preserve">planens </w:t>
            </w:r>
            <w:r>
              <w:rPr>
                <w:lang w:eastAsia="sv-SE"/>
              </w:rPr>
              <w:t>genomförande medför för de berörda fastighetsägarna och andra som berörs av planen.</w:t>
            </w:r>
            <w:r>
              <w:rPr>
                <w:noProof w:val="1"/>
                <w:lang w:eastAsia="sv-SE"/>
              </w:rPr>
              <w:t xml:space="preserve"> Även prövningar enligt annan lagstiftning som genomförts under planprocessen ska redovisas.</w:t>
            </w:r>
          </w:p>
        </w:tc>
      </w:tr>
    </w:tbl>
    <w:p>
      <w:pPr>
        <w:rPr>
          <w:lang w:eastAsia="sv-SE"/>
        </w:rPr>
      </w:pPr>
    </w:p>
    <w:p>
      <w:pPr>
        <w:pStyle w:val="P2"/>
      </w:pPr>
      <w:bookmarkStart w:id="293" w:name="_Toc174447025"/>
      <w:r>
        <w:t>Organisatoriska frågor</w:t>
      </w:r>
      <w:bookmarkEnd w:id="289"/>
      <w:bookmarkEnd w:id="290"/>
      <w:bookmarkEnd w:id="293"/>
      <w:bookmarkStart w:id="294" w:name="gf_organisatoriskafrågor01"/>
    </w:p>
    <w:p>
      <w:pPr>
        <w:pStyle w:val="P3"/>
      </w:pPr>
      <w:bookmarkStart w:id="295" w:name="_Toc174447026"/>
      <w:r>
        <w:t>A</w:t>
      </w:r>
      <w:bookmarkStart w:id="296" w:name="gf_ansvarsfördelning01"/>
      <w:r>
        <w:t>nsvarsfördelning</w:t>
      </w:r>
      <w:bookmarkEnd w:id="295"/>
    </w:p>
    <w:p>
      <w:pPr>
        <w:rPr>
          <w:noProof w:val="1"/>
          <w:lang w:eastAsia="sv-SE"/>
        </w:rPr>
      </w:pPr>
      <w:r>
        <w:rPr>
          <w:noProof w:val="1"/>
          <w:lang w:eastAsia="sv-SE"/>
        </w:rPr>
        <w:t>Ägaren till fastigeten Hyvelspånet 3 och ansvarar för och bekostar genomförandet av detaljplanen på kvartersmark inom fastigheten.</w:t>
      </w:r>
    </w:p>
    <w:p>
      <w:pPr>
        <w:rPr>
          <w:noProof w:val="1"/>
          <w:color w:val="007FA3" w:themeColor="accent1"/>
          <w:lang w:eastAsia="sv-SE"/>
        </w:rPr>
      </w:pPr>
      <w:bookmarkEnd w:id="291"/>
      <w:bookmarkEnd w:id="292"/>
      <w:bookmarkEnd w:id="294"/>
      <w:bookmarkEnd w:id="296"/>
      <w:bookmarkStart w:id="297" w:name="gf_fastighetsrättsligafrågor01"/>
    </w:p>
    <w:p>
      <w:pPr>
        <w:pStyle w:val="P2"/>
      </w:pPr>
      <w:bookmarkStart w:id="298" w:name="_Toc89446144"/>
      <w:bookmarkStart w:id="299" w:name="_Toc101363651"/>
      <w:bookmarkStart w:id="300" w:name="_Toc174447027"/>
      <w:r>
        <w:t>Fastighetsrättsliga frågor</w:t>
      </w:r>
      <w:bookmarkEnd w:id="298"/>
      <w:bookmarkEnd w:id="299"/>
      <w:bookmarkEnd w:id="300"/>
    </w:p>
    <w:p>
      <w:pPr>
        <w:pStyle w:val="P3"/>
      </w:pPr>
      <w:bookmarkEnd w:id="297"/>
      <w:bookmarkStart w:id="301" w:name="_Toc174447028"/>
      <w:bookmarkStart w:id="302" w:name="_Toc89446145"/>
      <w:bookmarkStart w:id="303" w:name="_Toc101363652"/>
      <w:bookmarkStart w:id="304" w:name="gf_fastighetsägare01"/>
      <w:r>
        <w:t>Fastighetsägare</w:t>
      </w:r>
      <w:bookmarkEnd w:id="301"/>
    </w:p>
    <w:p>
      <w:r>
        <w:t>Hyvelspånet 3 – Privat fastighetsägare</w:t>
      </w:r>
    </w:p>
    <w:p>
      <w:pPr>
        <w:rPr>
          <w:noProof w:val="1"/>
          <w:lang w:eastAsia="sv-SE"/>
        </w:rPr>
      </w:pPr>
      <w:bookmarkEnd w:id="302"/>
      <w:bookmarkEnd w:id="303"/>
      <w:bookmarkEnd w:id="304"/>
      <w:bookmarkStart w:id="305" w:name="gf_rättigheter01"/>
    </w:p>
    <w:p>
      <w:pPr>
        <w:pStyle w:val="P2"/>
      </w:pPr>
      <w:bookmarkEnd w:id="305"/>
      <w:bookmarkStart w:id="306" w:name="_Toc89446152"/>
      <w:bookmarkStart w:id="307" w:name="_Toc101363659"/>
      <w:bookmarkStart w:id="308" w:name="_Toc174447029"/>
      <w:r>
        <w:t>Ekonomiska frågor</w:t>
      </w:r>
      <w:bookmarkEnd w:id="306"/>
      <w:bookmarkEnd w:id="307"/>
      <w:bookmarkEnd w:id="308"/>
      <w:bookmarkStart w:id="309" w:name="gf_ekonomiskafrågor01"/>
    </w:p>
    <w:p>
      <w:pPr>
        <w:pStyle w:val="P3"/>
        <w:rPr>
          <w:lang w:val="en-US"/>
        </w:rPr>
      </w:pPr>
      <w:bookmarkEnd w:id="309"/>
      <w:bookmarkStart w:id="310" w:name="_Toc89446153"/>
      <w:bookmarkStart w:id="311" w:name="_Toc101363660"/>
      <w:bookmarkStart w:id="312" w:name="_Toc174447030"/>
      <w:bookmarkStart w:id="313" w:name="gf_planekonomiskbedömning02"/>
      <w:r>
        <w:t>Planekonomisk bedömning</w:t>
      </w:r>
      <w:bookmarkEnd w:id="310"/>
      <w:bookmarkEnd w:id="311"/>
      <w:bookmarkEnd w:id="312"/>
    </w:p>
    <w:p>
      <w:pPr>
        <w:rPr>
          <w:noProof w:val="1"/>
          <w:color w:val="000000" w:themeColor="text1"/>
          <w:lang w:eastAsia="sv-SE"/>
        </w:rPr>
      </w:pPr>
      <w:bookmarkStart w:id="314" w:name="gf_planekonomiskbedömning01"/>
      <w:r>
        <w:rPr>
          <w:noProof w:val="1"/>
          <w:color w:val="000000" w:themeColor="text1"/>
          <w:lang w:eastAsia="sv-SE"/>
        </w:rPr>
        <w:t>Detaljplanen finansieras av fastighetsägare till Hyvelspånet 3. Genomförandet av detaljplanen kan innebära kostnader enligt kommunens Plan- och byggtaxa för bland annat bygglovsprövningen.</w:t>
      </w:r>
    </w:p>
    <w:p>
      <w:pPr>
        <w:rPr>
          <w:noProof w:val="1"/>
          <w:lang w:eastAsia="sv-SE"/>
        </w:rPr>
      </w:pPr>
      <w:bookmarkEnd w:id="313"/>
    </w:p>
    <w:p>
      <w:pPr>
        <w:pStyle w:val="P3"/>
      </w:pPr>
      <w:bookmarkStart w:id="315" w:name="_Toc174447031"/>
      <w:bookmarkStart w:id="316" w:name="gf_plankostnadsavtal01"/>
      <w:r>
        <w:t>Plankostnadsavtal</w:t>
      </w:r>
      <w:bookmarkEnd w:id="315"/>
    </w:p>
    <w:p>
      <w:pPr>
        <w:rPr>
          <w:noProof w:val="1"/>
          <w:lang w:eastAsia="sv-SE"/>
        </w:rPr>
      </w:pPr>
      <w:r>
        <w:rPr>
          <w:noProof w:val="1"/>
          <w:lang w:eastAsia="sv-SE"/>
        </w:rPr>
        <w:t>Plankostnadsavtal tecknades i samband med att arbetet med detaljplanen startade mellan Motala kommun och fastighetsägare till Hyvelspånet 3.</w:t>
      </w:r>
    </w:p>
    <w:p>
      <w:pPr>
        <w:rPr>
          <w:noProof w:val="1"/>
          <w:lang w:eastAsia="sv-SE"/>
        </w:rPr>
      </w:pPr>
      <w:bookmarkEnd w:id="316"/>
    </w:p>
    <w:p>
      <w:pPr>
        <w:pStyle w:val="P3"/>
        <w:rPr>
          <w:lang w:val="en-US"/>
        </w:rPr>
      </w:pPr>
      <w:bookmarkEnd w:id="314"/>
      <w:bookmarkStart w:id="317" w:name="_Toc89446154"/>
      <w:bookmarkStart w:id="318" w:name="_Toc101363661"/>
      <w:bookmarkStart w:id="319" w:name="_Toc174447032"/>
      <w:bookmarkStart w:id="320" w:name="gf_planavgift02"/>
      <w:r>
        <w:t>Planavgift</w:t>
      </w:r>
      <w:bookmarkEnd w:id="317"/>
      <w:bookmarkEnd w:id="318"/>
      <w:bookmarkEnd w:id="319"/>
    </w:p>
    <w:p>
      <w:pPr>
        <w:rPr>
          <w:noProof w:val="1"/>
          <w:lang w:eastAsia="sv-SE"/>
        </w:rPr>
      </w:pPr>
      <w:bookmarkStart w:id="321" w:name="gf_planavgift01"/>
      <w:r>
        <w:rPr>
          <w:noProof w:val="1"/>
          <w:lang w:eastAsia="sv-SE"/>
        </w:rPr>
        <w:t>Kommunen avser inte ta ut planavgift i samband med bygglov.</w:t>
      </w:r>
      <w:bookmarkEnd w:id="321"/>
      <w:bookmarkStart w:id="322" w:name="gf_inlösen01"/>
    </w:p>
    <w:p>
      <w:pPr>
        <w:rPr>
          <w:noProof w:val="1"/>
          <w:lang w:eastAsia="sv-SE"/>
        </w:rPr>
      </w:pPr>
      <w:bookmarkEnd w:id="320"/>
    </w:p>
    <w:p>
      <w:pPr>
        <w:pStyle w:val="P3"/>
        <w:rPr>
          <w:lang w:val="en-US"/>
        </w:rPr>
      </w:pPr>
      <w:bookmarkEnd w:id="322"/>
      <w:bookmarkStart w:id="323" w:name="_Toc89446159"/>
      <w:bookmarkStart w:id="324" w:name="_Toc101363666"/>
      <w:bookmarkStart w:id="325" w:name="_Toc174447033"/>
      <w:bookmarkStart w:id="326" w:name="gf_driftvattenochavlopp02"/>
      <w:r>
        <w:t>Drift vatten och avlopp</w:t>
      </w:r>
      <w:bookmarkEnd w:id="323"/>
      <w:bookmarkEnd w:id="324"/>
      <w:bookmarkEnd w:id="325"/>
    </w:p>
    <w:p>
      <w:pPr>
        <w:rPr>
          <w:noProof w:val="1"/>
          <w:lang w:eastAsia="sv-SE"/>
        </w:rPr>
      </w:pPr>
      <w:bookmarkStart w:id="327" w:name="gf_driftvattenochavlopp01"/>
      <w:r>
        <w:rPr>
          <w:noProof w:val="1"/>
          <w:lang w:eastAsia="sv-SE"/>
        </w:rPr>
        <w:t>Motala kommun är huvudman för det allmänna vatten- och avloppsnätet i planområdet och i omgivande områden. VA-huvudmannen ansvarar därmed för ledningsnätet fram till anvisad förbindelsepunkt.</w:t>
      </w:r>
    </w:p>
    <w:p>
      <w:pPr>
        <w:rPr>
          <w:noProof w:val="1"/>
          <w:lang w:eastAsia="sv-SE"/>
        </w:rPr>
      </w:pPr>
    </w:p>
    <w:p>
      <w:pPr>
        <w:rPr>
          <w:noProof w:val="1"/>
          <w:lang w:eastAsia="sv-SE"/>
        </w:rPr>
      </w:pPr>
      <w:r>
        <w:rPr>
          <w:noProof w:val="1"/>
          <w:lang w:eastAsia="sv-SE"/>
        </w:rPr>
        <w:t>Vid förändring av byggnation på befintlig fastighet med VA-anslutning kommer extra anslutningsavgift tas ut enligt aktuell taxa. Fastighetsägare står för kostnader som uppkommer vid önskemål om förändring av anslutning i förbindelsepunkt.</w:t>
      </w:r>
    </w:p>
    <w:p>
      <w:pPr>
        <w:rPr>
          <w:noProof w:val="1"/>
          <w:lang w:eastAsia="sv-SE"/>
        </w:rPr>
      </w:pPr>
    </w:p>
    <w:p>
      <w:pPr>
        <w:rPr>
          <w:noProof w:val="1"/>
          <w:lang w:eastAsia="sv-SE"/>
        </w:rPr>
      </w:pPr>
      <w:r>
        <w:rPr>
          <w:noProof w:val="1"/>
          <w:lang w:eastAsia="sv-SE"/>
        </w:rPr>
        <w:t>Fastighetsägaren ansvarar för och bekostar interna ledningar inom kvartersmark.</w:t>
      </w:r>
    </w:p>
    <w:p>
      <w:pPr>
        <w:rPr>
          <w:noProof w:val="1"/>
          <w:lang w:eastAsia="sv-SE"/>
        </w:rPr>
      </w:pPr>
      <w:bookmarkEnd w:id="326"/>
      <w:bookmarkEnd w:id="327"/>
      <w:bookmarkStart w:id="328" w:name="gf_tidplan01"/>
    </w:p>
    <w:p>
      <w:pPr>
        <w:pStyle w:val="P2"/>
      </w:pPr>
      <w:bookmarkEnd w:id="328"/>
      <w:bookmarkStart w:id="329" w:name="_Toc89446148"/>
      <w:bookmarkStart w:id="330" w:name="_Toc101363655"/>
      <w:bookmarkStart w:id="331" w:name="_Toc174447034"/>
      <w:bookmarkStart w:id="332" w:name="_Toc89446169"/>
      <w:bookmarkStart w:id="333" w:name="_Toc101363676"/>
      <w:r>
        <w:t>Tekniska frågor</w:t>
      </w:r>
      <w:bookmarkEnd w:id="329"/>
      <w:bookmarkEnd w:id="330"/>
      <w:bookmarkEnd w:id="331"/>
      <w:bookmarkStart w:id="334" w:name="gf_tekniskaåtgärder01"/>
    </w:p>
    <w:p>
      <w:pPr>
        <w:pStyle w:val="P3"/>
        <w:rPr>
          <w:lang w:val="en-US"/>
        </w:rPr>
      </w:pPr>
      <w:bookmarkEnd w:id="334"/>
      <w:bookmarkStart w:id="335" w:name="_Toc89446151"/>
      <w:bookmarkStart w:id="336" w:name="_Toc101363658"/>
      <w:bookmarkStart w:id="337" w:name="_Toc174447035"/>
      <w:bookmarkStart w:id="338" w:name="gf_utbyggnadvattenochavlopp02"/>
      <w:r>
        <w:t>Utbyggnad vatten och avlopp</w:t>
      </w:r>
      <w:bookmarkEnd w:id="335"/>
      <w:bookmarkEnd w:id="336"/>
      <w:bookmarkEnd w:id="337"/>
    </w:p>
    <w:p>
      <w:pPr>
        <w:rPr>
          <w:noProof w:val="1"/>
          <w:lang w:eastAsia="sv-SE"/>
        </w:rPr>
      </w:pPr>
      <w:bookmarkStart w:id="339" w:name="gf_utbyggnadvattenochavlopp01"/>
      <w:r>
        <w:rPr>
          <w:noProof w:val="1"/>
          <w:lang w:eastAsia="sv-SE"/>
        </w:rPr>
        <w:t>Kommunen som VA-huvudman ansvarar för det allmänna vatten- och spillvattenledningsnätet, både inom detaljplanen och i omgivande områden, enligt Lagen om allmänna vattentjänster (LAV, 2006:412) och är därmed ansvarig för utbyggnad, drift och underhåll av ledningsnät fram till anvisad förbindelsepunkt. Fastighetsägare ansvarar för hantering av dagvatten inom egen fastighet.</w:t>
      </w:r>
    </w:p>
    <w:p>
      <w:pPr>
        <w:rPr>
          <w:noProof w:val="1"/>
          <w:lang w:eastAsia="sv-SE"/>
        </w:rPr>
      </w:pPr>
      <w:bookmarkEnd w:id="338"/>
    </w:p>
    <w:p>
      <w:pPr>
        <w:pStyle w:val="P2"/>
      </w:pPr>
      <w:bookmarkEnd w:id="339"/>
      <w:bookmarkStart w:id="340" w:name="_Toc89446168"/>
      <w:bookmarkStart w:id="341" w:name="_Toc101363675"/>
      <w:bookmarkStart w:id="342" w:name="_Toc174447036"/>
      <w:bookmarkStart w:id="343" w:name="gf_prövningenlannanlagstiftning01"/>
      <w:r>
        <w:t>Prövning enligt annan lagstiftning</w:t>
      </w:r>
      <w:bookmarkEnd w:id="340"/>
      <w:bookmarkEnd w:id="341"/>
      <w:bookmarkEnd w:id="342"/>
    </w:p>
    <w:p>
      <w:pPr>
        <w:rPr>
          <w:noProof w:val="1"/>
          <w:shd w:val="clear" w:color="auto" w:fill="FFFFFF"/>
          <w:lang w:eastAsia="sv-SE"/>
        </w:rPr>
      </w:pPr>
      <w:r>
        <w:rPr>
          <w:noProof w:val="1"/>
          <w:lang w:eastAsia="sv-SE"/>
        </w:rPr>
        <w:t>Detaljplanen bedöms ej föranleda prövning enligt annan lagstiftning.</w:t>
      </w:r>
      <w:bookmarkEnd w:id="332"/>
      <w:bookmarkEnd w:id="333"/>
      <w:bookmarkEnd w:id="343"/>
      <w:bookmarkStart w:id="344" w:name="gf_annat01"/>
      <w:r>
        <w:rPr>
          <w:rFonts w:ascii="Arial" w:hAnsi="Arial" w:cs="Arial" w:eastAsia="Arial"/>
          <w:noProof w:val="1"/>
          <w:color w:val="000000"/>
          <w:lang w:eastAsia="sv-SE"/>
        </w:rPr>
        <w:br w:type="page"/>
      </w:r>
    </w:p>
    <w:p>
      <w:pPr>
        <w:pStyle w:val="P1"/>
      </w:pPr>
      <w:bookmarkStart w:id="345" w:name="_Toc89446057"/>
      <w:bookmarkStart w:id="346" w:name="_Toc101363561"/>
      <w:bookmarkStart w:id="347" w:name="_Toc174447037"/>
      <w:r>
        <w:t>P</w:t>
      </w:r>
      <w:bookmarkEnd w:id="345"/>
      <w:bookmarkEnd w:id="346"/>
      <w:r>
        <w:t>laneringsunderlag</w:t>
      </w:r>
      <w:bookmarkEnd w:id="347"/>
      <w:bookmarkStart w:id="348" w:name="_Toc89446058"/>
      <w:bookmarkStart w:id="349" w:name="_Toc101363562"/>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en sammanställning av de planeringsunderlag som legat till grund för planen. </w:t>
            </w:r>
          </w:p>
        </w:tc>
      </w:tr>
    </w:tbl>
    <w:p/>
    <w:p>
      <w:pPr>
        <w:pStyle w:val="P2"/>
      </w:pPr>
      <w:bookmarkStart w:id="350" w:name="_Toc174447038"/>
      <w:r>
        <w:t>K</w:t>
      </w:r>
      <w:bookmarkEnd w:id="348"/>
      <w:bookmarkEnd w:id="349"/>
      <w:r>
        <w:t>ommunala planeringsunderlag</w:t>
      </w:r>
      <w:bookmarkEnd w:id="350"/>
      <w:bookmarkStart w:id="351" w:name="pu_kommunala01"/>
    </w:p>
    <w:p>
      <w:r>
        <w:t>Till detaljplanen hör följande handlingar:</w:t>
      </w:r>
    </w:p>
    <w:p>
      <w:pPr>
        <w:numPr>
          <w:ilvl w:val="0"/>
          <w:numId w:val="14"/>
        </w:numPr>
        <w:spacing w:lineRule="auto" w:line="240" w:beforeAutospacing="0" w:afterAutospacing="0"/>
        <w:ind w:hanging="284" w:left="426"/>
      </w:pPr>
      <w:r>
        <w:t>Plankarta, Motala kommun, 2024-11-14</w:t>
      </w:r>
    </w:p>
    <w:p>
      <w:pPr>
        <w:numPr>
          <w:ilvl w:val="0"/>
          <w:numId w:val="14"/>
        </w:numPr>
        <w:spacing w:lineRule="auto" w:line="240" w:beforeAutospacing="0" w:afterAutospacing="0"/>
        <w:ind w:hanging="284" w:left="426"/>
      </w:pPr>
      <w:r>
        <w:t>Planbeskrivning, Motala kommun, 2024-11-14</w:t>
      </w:r>
    </w:p>
    <w:p>
      <w:pPr>
        <w:numPr>
          <w:ilvl w:val="0"/>
          <w:numId w:val="14"/>
        </w:numPr>
        <w:spacing w:lineRule="auto" w:line="240" w:beforeAutospacing="0" w:afterAutospacing="0"/>
        <w:ind w:hanging="284" w:left="426"/>
      </w:pPr>
      <w:bookmarkStart w:id="352" w:name="pu_undersökningenl6kap6_mb01"/>
      <w:r>
        <w:t>Undersökning om betydande miljöpåverkan, Motala kommun, 2024-09-03</w:t>
      </w:r>
    </w:p>
    <w:p>
      <w:pPr>
        <w:numPr>
          <w:ilvl w:val="0"/>
          <w:numId w:val="14"/>
        </w:numPr>
        <w:spacing w:lineRule="auto" w:line="240" w:beforeAutospacing="0" w:afterAutospacing="0"/>
        <w:ind w:hanging="284" w:left="426"/>
      </w:pPr>
      <w:bookmarkEnd w:id="352"/>
      <w:bookmarkStart w:id="353" w:name="pu_särskiltbeslutombetydandemiljöpåver02"/>
      <w:r>
        <w:t>Samhällsbyggnadsnämndens beslut om betydande miljöpåverkan, Motala kommun, 2024-04-17</w:t>
      </w:r>
    </w:p>
    <w:p>
      <w:pPr>
        <w:numPr>
          <w:ilvl w:val="0"/>
          <w:numId w:val="14"/>
        </w:numPr>
        <w:spacing w:lineRule="auto" w:line="240" w:beforeAutospacing="0" w:afterAutospacing="0"/>
        <w:ind w:hanging="284" w:left="426"/>
      </w:pPr>
      <w:bookmarkEnd w:id="353"/>
      <w:bookmarkStart w:id="354" w:name="pu_grundkarta01"/>
      <w:r>
        <w:t>Grundkarta, Motala kommun, 2024-09-12</w:t>
      </w:r>
    </w:p>
    <w:p>
      <w:pPr>
        <w:numPr>
          <w:ilvl w:val="0"/>
          <w:numId w:val="14"/>
        </w:numPr>
        <w:spacing w:lineRule="auto" w:line="240" w:beforeAutospacing="0" w:afterAutospacing="0"/>
        <w:ind w:hanging="284" w:left="426"/>
      </w:pPr>
      <w:bookmarkEnd w:id="354"/>
      <w:r>
        <w:t>Fastighetsförteckning, Motala kommun, 2024-10-02</w:t>
      </w:r>
    </w:p>
    <w:p/>
    <w:p>
      <w:pPr>
        <w:spacing w:lineRule="auto" w:line="240" w:beforeAutospacing="0" w:afterAutospacing="0"/>
      </w:pPr>
      <w:r>
        <w:t>I detaljplanen har följande kommunala planeringsunderlag refererats till i planhandlingarna:</w:t>
      </w:r>
    </w:p>
    <w:p>
      <w:pPr>
        <w:numPr>
          <w:ilvl w:val="0"/>
          <w:numId w:val="14"/>
        </w:numPr>
        <w:spacing w:lineRule="auto" w:line="240" w:beforeAutospacing="0" w:afterAutospacing="0"/>
        <w:ind w:hanging="284" w:left="426"/>
      </w:pPr>
      <w:bookmarkStart w:id="355" w:name="pu_översiktsplan01"/>
      <w:r>
        <w:t>Översiktsplan 2040, Motala kommun, 2022-06-07</w:t>
      </w:r>
    </w:p>
    <w:p>
      <w:pPr>
        <w:numPr>
          <w:ilvl w:val="0"/>
          <w:numId w:val="14"/>
        </w:numPr>
        <w:spacing w:lineRule="auto" w:line="240" w:beforeAutospacing="0" w:afterAutospacing="0"/>
        <w:ind w:hanging="284" w:left="426"/>
      </w:pPr>
      <w:bookmarkEnd w:id="355"/>
      <w:bookmarkStart w:id="356" w:name="pu_detaljplan01"/>
      <w:r>
        <w:t>Stadsplan 321 för Område norr om Skomakaregatan, Motala kommun, 1987-04-08, aktnummer: 0583K-5258</w:t>
      </w:r>
    </w:p>
    <w:p>
      <w:pPr>
        <w:numPr>
          <w:ilvl w:val="0"/>
          <w:numId w:val="14"/>
        </w:numPr>
        <w:spacing w:lineRule="auto" w:line="240" w:beforeAutospacing="0" w:afterAutospacing="0"/>
        <w:ind w:hanging="284" w:left="426"/>
      </w:pPr>
      <w:r>
        <w:t>Detaljplan 457 för område vid Norra kanalvägen, Motala kommun, 1992-08-19, aktnummer: 0583-P92/14</w:t>
      </w:r>
    </w:p>
    <w:p>
      <w:pPr>
        <w:spacing w:lineRule="auto" w:line="240" w:beforeAutospacing="0" w:afterAutospacing="0"/>
        <w:ind w:left="426"/>
      </w:pPr>
      <w:bookmarkEnd w:id="356"/>
    </w:p>
    <w:p>
      <w:pPr>
        <w:pStyle w:val="P2"/>
        <w:ind w:hanging="576" w:left="576"/>
      </w:pPr>
      <w:bookmarkEnd w:id="351"/>
      <w:bookmarkStart w:id="357" w:name="_Toc101363583"/>
      <w:bookmarkStart w:id="358" w:name="_Toc158787540"/>
      <w:bookmarkStart w:id="359" w:name="_Toc174447039"/>
      <w:bookmarkStart w:id="360" w:name="pu_särskiltbeslutombetydandemiljöpåver01"/>
      <w:r>
        <w:t>Regionala</w:t>
      </w:r>
      <w:bookmarkEnd w:id="357"/>
      <w:r>
        <w:t xml:space="preserve"> planeringsunderlag</w:t>
      </w:r>
      <w:bookmarkEnd w:id="358"/>
      <w:bookmarkEnd w:id="359"/>
    </w:p>
    <w:p>
      <w:pPr>
        <w:spacing w:lineRule="auto" w:line="240" w:beforeAutospacing="0" w:afterAutospacing="0"/>
      </w:pPr>
      <w:r>
        <w:t>I detaljplanen har följande regionala planeringsunderlag refererats till i planhandlingarna:</w:t>
      </w:r>
    </w:p>
    <w:p>
      <w:pPr>
        <w:numPr>
          <w:ilvl w:val="0"/>
          <w:numId w:val="14"/>
        </w:numPr>
        <w:spacing w:lineRule="auto" w:line="240" w:beforeAutospacing="0" w:afterAutospacing="0"/>
        <w:ind w:hanging="284" w:left="426"/>
      </w:pPr>
      <w:bookmarkStart w:id="361" w:name="pu_regionplan01"/>
      <w:r>
        <w:t>Utvecklingsstrategi för Östergötland, Region Östergötland, 2021</w:t>
      </w:r>
    </w:p>
    <w:p>
      <w:pPr>
        <w:numPr>
          <w:ilvl w:val="0"/>
          <w:numId w:val="14"/>
        </w:numPr>
        <w:spacing w:lineRule="auto" w:line="240" w:beforeAutospacing="0" w:afterAutospacing="0"/>
        <w:ind w:hanging="284" w:left="426"/>
      </w:pPr>
      <w:bookmarkEnd w:id="361"/>
      <w:r>
        <w:t>Rapportering av modelldata och objektiv skattning av luftkvalitet år 2022 för Östergötlands län, Östra Sveriges Luftvårdsförbund, 2023-06-15</w:t>
      </w:r>
    </w:p>
    <w:p>
      <w:pPr>
        <w:rPr>
          <w:noProof w:val="1"/>
          <w:lang w:eastAsia="sv-SE"/>
        </w:rPr>
      </w:pPr>
    </w:p>
    <w:p>
      <w:pPr>
        <w:pStyle w:val="P2"/>
      </w:pPr>
      <w:bookmarkEnd w:id="360"/>
      <w:bookmarkStart w:id="362" w:name="_Toc174447040"/>
      <w:r>
        <w:t>Utredningar</w:t>
      </w:r>
      <w:bookmarkEnd w:id="362"/>
    </w:p>
    <w:p>
      <w:r>
        <w:t>Till detaljplanen hör följande utredningar:</w:t>
      </w:r>
    </w:p>
    <w:p>
      <w:pPr>
        <w:pStyle w:val="P16"/>
        <w:numPr>
          <w:ilvl w:val="0"/>
          <w:numId w:val="14"/>
        </w:numPr>
      </w:pPr>
      <w:bookmarkStart w:id="363" w:name="pu_geotekniskutredning01"/>
      <w:r>
        <w:t>Stabilitetsbedömning Hyvelspånet 3, Tyréns Sverige AB, 2024-08-30</w:t>
      </w:r>
    </w:p>
    <w:p>
      <w:bookmarkEnd w:id="363"/>
    </w:p>
    <w:p>
      <w:pPr>
        <w:spacing w:lineRule="auto" w:line="240" w:beforeAutospacing="0" w:afterAutospacing="0"/>
        <w:rPr>
          <w:rFonts w:asciiTheme="majorHAnsi" w:hAnsiTheme="majorHAnsi"/>
          <w:sz w:val="28"/>
        </w:rPr>
      </w:pPr>
    </w:p>
    <w:p>
      <w:pPr>
        <w:spacing w:lineRule="auto" w:line="240" w:beforeAutospacing="0" w:afterAutospacing="0"/>
        <w:rPr>
          <w:rFonts w:asciiTheme="majorHAnsi" w:hAnsiTheme="majorHAnsi"/>
          <w:sz w:val="28"/>
        </w:rPr>
      </w:pPr>
      <w:r>
        <w:rPr>
          <w:rFonts w:asciiTheme="majorHAnsi" w:hAnsiTheme="majorHAnsi"/>
          <w:sz w:val="28"/>
        </w:rPr>
        <w:br w:type="page"/>
      </w:r>
    </w:p>
    <w:p>
      <w:pPr>
        <w:spacing w:lineRule="auto" w:line="240" w:beforeAutospacing="0" w:afterAutospacing="0"/>
        <w:rPr>
          <w:rFonts w:asciiTheme="majorHAnsi" w:hAnsiTheme="majorHAnsi"/>
          <w:sz w:val="28"/>
        </w:rPr>
      </w:pPr>
      <w:r>
        <w:rPr>
          <w:rFonts w:asciiTheme="majorHAnsi" w:hAnsiTheme="majorHAnsi"/>
          <w:sz w:val="28"/>
        </w:rPr>
        <w:t>Medverkande tjänstemän</w:t>
      </w:r>
    </w:p>
    <w:p>
      <w:r>
        <w:t xml:space="preserve">Planbeskrivningen har upprättats av Gemensam ledningsförvaltning, Motala kommun genom </w:t>
      </w:r>
      <w:r>
        <w:rPr>
          <w:szCs w:val="24"/>
        </w:rPr>
        <w:t xml:space="preserve">Sanna Pyhäsalmi, planarkitekt </w:t>
      </w:r>
      <w:r>
        <w:t>samt övriga berörda tjänstemän inom kommunen.</w:t>
      </w:r>
    </w:p>
    <w:p/>
    <w:p/>
    <w:p/>
    <w:p/>
    <w:p/>
    <w:tbl>
      <w:tblPr>
        <w:tblStyle w:val="T2"/>
        <w:tblW w:w="5000" w:type="pct"/>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trHeight w:hRule="atLeast" w:val="321"/>
        </w:trPr>
        <w:tc>
          <w:tcPr>
            <w:tcW w:w="2500" w:type="pct"/>
          </w:tcPr>
          <w:p>
            <w:pPr>
              <w:rPr>
                <w:rFonts w:asciiTheme="minorHAnsi" w:hAnsiTheme="minorHAnsi"/>
                <w:sz w:val="22"/>
              </w:rPr>
            </w:pPr>
            <w:r>
              <w:rPr>
                <w:rFonts w:asciiTheme="minorHAnsi" w:hAnsiTheme="minorHAnsi"/>
                <w:sz w:val="22"/>
              </w:rPr>
              <w:t>Sanna Pyhäsalmi</w:t>
            </w:r>
          </w:p>
        </w:tc>
        <w:tc>
          <w:tcPr>
            <w:tcW w:w="2500" w:type="pct"/>
          </w:tcPr>
          <w:p>
            <w:pPr>
              <w:pStyle w:val="P24"/>
              <w:spacing w:after="0" w:beforeAutospacing="0" w:afterAutospacing="0"/>
              <w:rPr>
                <w:szCs w:val="24"/>
              </w:rPr>
            </w:pPr>
          </w:p>
        </w:tc>
      </w:tr>
      <w:tr>
        <w:tc>
          <w:tcPr>
            <w:tcW w:w="2500" w:type="pct"/>
          </w:tcPr>
          <w:p>
            <w:pPr>
              <w:rPr>
                <w:szCs w:val="24"/>
              </w:rPr>
            </w:pPr>
            <w:r>
              <w:rPr>
                <w:rFonts w:asciiTheme="minorHAnsi" w:hAnsiTheme="minorHAnsi"/>
                <w:sz w:val="22"/>
              </w:rPr>
              <w:t>Planarkitekt</w:t>
            </w:r>
          </w:p>
        </w:tc>
        <w:tc>
          <w:tcPr>
            <w:tcW w:w="2500" w:type="pct"/>
          </w:tcPr>
          <w:p>
            <w:pPr>
              <w:pStyle w:val="P24"/>
              <w:spacing w:after="0" w:beforeAutospacing="0" w:afterAutospacing="0"/>
              <w:rPr>
                <w:szCs w:val="24"/>
              </w:rPr>
            </w:pPr>
          </w:p>
        </w:tc>
      </w:tr>
    </w:tbl>
    <w:p>
      <w:pPr>
        <w:spacing w:lineRule="auto" w:line="240" w:beforeAutospacing="0" w:afterAutospacing="0"/>
        <w:rPr>
          <w:rFonts w:ascii="Arial" w:hAnsi="Arial" w:cs="Arial" w:eastAsia="Arial"/>
          <w:noProof w:val="1"/>
          <w:color w:val="000000"/>
          <w:sz w:val="40"/>
          <w:lang w:eastAsia="sv-SE"/>
        </w:rPr>
      </w:pPr>
      <w:bookmarkEnd w:id="344"/>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r>
        <w:rPr>
          <w:noProof w:val="1"/>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1492885</wp:posOffset>
            </wp:positionH>
            <wp:positionV relativeFrom="paragraph">
              <wp:posOffset>93980</wp:posOffset>
            </wp:positionV>
            <wp:extent cx="2232660" cy="1219835"/>
            <wp:effectExtent l="0" t="0" r="0" b="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tala_kommun_logo_blacd9c9e2f.png"/>
                    <pic:cNvPicPr/>
                  </pic:nvPicPr>
                  <pic:blipFill dpi="0">
                    <a:blip xmlns:r="http://schemas.openxmlformats.org/officeDocument/2006/relationships" r:embed="Relimage10" cstate="print"/>
                    <a:srcRect/>
                    <a:stretch>
                      <a:fillRect/>
                    </a:stretch>
                  </pic:blipFill>
                  <pic:spPr>
                    <a:xfrm>
                      <a:off x="0" y="0"/>
                      <a:ext cx="2232838" cy="1220241"/>
                    </a:xfrm>
                    <a:prstGeom prst="rect"/>
                  </pic:spPr>
                </pic:pic>
              </a:graphicData>
            </a:graphic>
          </wp:anchor>
        </w:drawing>
      </w: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spacing w:lineRule="auto" w:line="259" w:after="55" w:beforeAutospacing="0" w:afterAutospacing="0"/>
        <w:ind w:right="7"/>
        <w:jc w:val="center"/>
        <w:rPr>
          <w:rFonts w:asciiTheme="majorHAnsi" w:hAnsiTheme="majorHAnsi" w:cs="Arial" w:eastAsia="Arial"/>
          <w:noProof w:val="1"/>
          <w:color w:val="000000"/>
          <w:lang w:eastAsia="sv-SE"/>
        </w:rPr>
      </w:pPr>
      <w:r>
        <w:rPr>
          <w:rFonts w:asciiTheme="majorHAnsi" w:hAnsiTheme="majorHAnsi" w:cs="Arial" w:eastAsia="Arial"/>
          <w:noProof w:val="1"/>
          <w:color w:val="000000"/>
          <w:lang w:eastAsia="sv-SE"/>
        </w:rPr>
        <w:t>PLANENHETEN, GEMENSAM LEDNINGSFÖRVALTNING</w:t>
      </w:r>
    </w:p>
    <w:p>
      <w:pPr>
        <w:spacing w:lineRule="auto" w:line="264" w:after="3" w:beforeAutospacing="0" w:afterAutospacing="0"/>
        <w:jc w:val="center"/>
        <w:rPr>
          <w:rFonts w:asciiTheme="minorHAnsi" w:hAnsiTheme="minorHAnsi" w:cs="Arial" w:eastAsia="Arial"/>
          <w:noProof w:val="1"/>
          <w:color w:val="000000"/>
          <w:lang w:eastAsia="sv-SE"/>
        </w:rPr>
      </w:pPr>
      <w:r>
        <w:rPr>
          <w:rFonts w:asciiTheme="minorHAnsi" w:hAnsiTheme="minorHAnsi" w:cs="Arial" w:eastAsia="Arial"/>
          <w:noProof w:val="1"/>
          <w:color w:val="7B7B7A"/>
          <w:sz w:val="18"/>
          <w:lang w:eastAsia="sv-SE"/>
        </w:rPr>
        <w:t>POSTADRESS</w:t>
      </w:r>
      <w:r>
        <w:rPr>
          <w:rFonts w:ascii="Arial" w:hAnsi="Arial" w:cs="Arial" w:eastAsia="Arial"/>
          <w:noProof w:val="1"/>
          <w:color w:val="000000"/>
          <w:sz w:val="18"/>
          <w:lang w:eastAsia="sv-SE"/>
        </w:rPr>
        <w:t xml:space="preserve"> </w:t>
      </w:r>
      <w:r>
        <w:rPr>
          <w:rFonts w:asciiTheme="minorHAnsi" w:hAnsiTheme="minorHAnsi" w:cs="Arial" w:eastAsia="Arial"/>
          <w:noProof w:val="1"/>
          <w:color w:val="000000"/>
          <w:sz w:val="20"/>
          <w:lang w:eastAsia="sv-SE"/>
        </w:rPr>
        <w:t>Planenheten, Motala kommun, 591 86 Motala</w:t>
      </w:r>
    </w:p>
    <w:p>
      <w:pPr>
        <w:spacing w:lineRule="auto" w:line="264" w:after="3" w:beforeAutospacing="0" w:afterAutospacing="0"/>
        <w:jc w:val="center"/>
        <w:rPr>
          <w:rFonts w:ascii="Arial" w:hAnsi="Arial" w:cs="Arial" w:eastAsia="Arial"/>
          <w:noProof w:val="1"/>
          <w:color w:val="000000"/>
          <w:lang w:eastAsia="sv-SE"/>
        </w:rPr>
      </w:pPr>
      <w:r>
        <w:rPr>
          <w:rFonts w:asciiTheme="minorHAnsi" w:hAnsiTheme="minorHAnsi" w:cs="Arial" w:eastAsia="Arial"/>
          <w:noProof w:val="1"/>
          <w:color w:val="7B7B7A"/>
          <w:sz w:val="18"/>
          <w:lang w:eastAsia="sv-SE"/>
        </w:rPr>
        <w:t>BESÖKSADRESS</w:t>
      </w:r>
      <w:r>
        <w:rPr>
          <w:rFonts w:ascii="Arial" w:hAnsi="Arial" w:cs="Arial" w:eastAsia="Arial"/>
          <w:noProof w:val="1"/>
          <w:color w:val="7B7B7A"/>
          <w:sz w:val="18"/>
          <w:lang w:eastAsia="sv-SE"/>
        </w:rPr>
        <w:t xml:space="preserve"> </w:t>
      </w:r>
      <w:r>
        <w:rPr>
          <w:rFonts w:asciiTheme="minorHAnsi" w:hAnsiTheme="minorHAnsi" w:cs="Arial" w:eastAsia="Arial"/>
          <w:noProof w:val="1"/>
          <w:color w:val="000000"/>
          <w:sz w:val="20"/>
          <w:lang w:eastAsia="sv-SE"/>
        </w:rPr>
        <w:t>Drottninggatan 2, Motala</w:t>
      </w:r>
      <w:r>
        <w:rPr>
          <w:rFonts w:ascii="Arial" w:hAnsi="Arial" w:cs="Arial" w:eastAsia="Arial"/>
          <w:noProof w:val="1"/>
          <w:color w:val="000000"/>
          <w:sz w:val="20"/>
          <w:lang w:eastAsia="sv-SE"/>
        </w:rPr>
        <w:t xml:space="preserve"> </w:t>
      </w:r>
      <w:r>
        <w:rPr>
          <w:rFonts w:asciiTheme="minorHAnsi" w:hAnsiTheme="minorHAnsi" w:cs="Arial" w:eastAsia="Arial"/>
          <w:noProof w:val="1"/>
          <w:color w:val="7B7B7A"/>
          <w:sz w:val="18"/>
          <w:lang w:eastAsia="sv-SE"/>
        </w:rPr>
        <w:t>TELEFON</w:t>
      </w:r>
      <w:r>
        <w:rPr>
          <w:rFonts w:ascii="Arial" w:hAnsi="Arial" w:cs="Arial" w:eastAsia="Arial"/>
          <w:noProof w:val="1"/>
          <w:color w:val="7B7B7A"/>
          <w:sz w:val="20"/>
          <w:lang w:eastAsia="sv-SE"/>
        </w:rPr>
        <w:t xml:space="preserve"> </w:t>
      </w:r>
      <w:r>
        <w:rPr>
          <w:rFonts w:asciiTheme="minorHAnsi" w:hAnsiTheme="minorHAnsi" w:cs="Arial" w:eastAsia="Arial"/>
          <w:noProof w:val="1"/>
          <w:color w:val="000000"/>
          <w:sz w:val="20"/>
          <w:lang w:eastAsia="sv-SE"/>
        </w:rPr>
        <w:t>0141-22 50 00</w:t>
      </w:r>
    </w:p>
    <w:p>
      <w:pPr>
        <w:spacing w:lineRule="auto" w:line="264" w:after="3" w:beforeAutospacing="0" w:afterAutospacing="0"/>
        <w:jc w:val="center"/>
        <w:rPr>
          <w:rFonts w:ascii="Arial" w:hAnsi="Arial" w:cs="Arial" w:eastAsia="Arial"/>
          <w:noProof w:val="1"/>
          <w:color w:val="000000"/>
          <w:sz w:val="20"/>
          <w:lang w:eastAsia="sv-SE"/>
        </w:rPr>
      </w:pPr>
      <w:r>
        <w:rPr>
          <w:rFonts w:asciiTheme="minorHAnsi" w:hAnsiTheme="minorHAnsi" w:cs="Arial" w:eastAsia="Arial"/>
          <w:noProof w:val="1"/>
          <w:color w:val="7B7B7A"/>
          <w:sz w:val="18"/>
          <w:lang w:eastAsia="sv-SE"/>
        </w:rPr>
        <w:t>E-POST</w:t>
      </w:r>
      <w:r>
        <w:rPr>
          <w:rFonts w:ascii="Arial" w:hAnsi="Arial" w:cs="Arial" w:eastAsia="Arial"/>
          <w:noProof w:val="1"/>
          <w:color w:val="7B7B7A"/>
          <w:sz w:val="20"/>
          <w:lang w:eastAsia="sv-SE"/>
        </w:rPr>
        <w:t xml:space="preserve"> </w:t>
      </w:r>
      <w:r>
        <w:rPr>
          <w:rFonts w:asciiTheme="minorHAnsi" w:hAnsiTheme="minorHAnsi" w:cs="Arial" w:eastAsia="Arial"/>
          <w:noProof w:val="1"/>
          <w:color w:val="000000"/>
          <w:sz w:val="20"/>
          <w:lang w:eastAsia="sv-SE"/>
        </w:rPr>
        <w:t>samhallsbyggnad@motala.se</w:t>
      </w:r>
    </w:p>
    <w:p>
      <w:pPr>
        <w:spacing w:lineRule="auto" w:line="264" w:after="3" w:beforeAutospacing="0" w:afterAutospacing="0"/>
        <w:jc w:val="center"/>
      </w:pPr>
      <w:r>
        <w:rPr>
          <w:rFonts w:asciiTheme="minorHAnsi" w:hAnsiTheme="minorHAnsi" w:cs="Arial" w:eastAsia="Arial"/>
          <w:noProof w:val="1"/>
          <w:color w:val="7B7B7A"/>
          <w:sz w:val="18"/>
          <w:lang w:eastAsia="sv-SE"/>
        </w:rPr>
        <w:t>WEBBPLATS</w:t>
      </w:r>
      <w:r>
        <w:rPr>
          <w:rFonts w:ascii="Arial" w:hAnsi="Arial" w:cs="Arial" w:eastAsia="Arial"/>
          <w:noProof w:val="1"/>
          <w:color w:val="000000"/>
          <w:sz w:val="20"/>
          <w:lang w:eastAsia="sv-SE"/>
        </w:rPr>
        <w:t xml:space="preserve"> </w:t>
      </w:r>
      <w:r>
        <w:rPr>
          <w:rFonts w:asciiTheme="minorHAnsi" w:hAnsiTheme="minorHAnsi" w:cs="Arial" w:eastAsia="Arial"/>
          <w:noProof w:val="1"/>
          <w:color w:val="000000"/>
          <w:sz w:val="20"/>
          <w:lang w:eastAsia="sv-SE"/>
        </w:rPr>
        <w:t>motala.se/kommun</w:t>
      </w:r>
    </w:p>
    <w:sectPr>
      <w:footnotePr/>
      <w:endnotePr/>
      <w:type w:val="nextPage"/>
      <w:pgSz w:w="11906" w:h="16838" w:code="0"/>
      <w:pgMar w:left="1985" w:right="1985" w:top="1985" w:bottom="1985" w:header="737" w:footer="227" w:gutter="0"/>
      <w:cols w:equalWidth="1" w:space="720"/>
      <w:noEndnote/>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r>
      <w:rPr>
        <w:noProof w:val="1"/>
        <w:lang w:eastAsia="sv-SE"/>
      </w:rPr>
      <mc:AlternateContent>
        <mc:Choice Requires="wps">
          <w:drawing>
            <wp:anchor xmlns:wp="http://schemas.openxmlformats.org/drawingml/2006/wordprocessingDrawing" distT="45720" distB="45720" distL="114300" distR="114300" simplePos="0" relativeHeight="12" behindDoc="0" locked="0" layoutInCell="1" allowOverlap="1">
              <wp:simplePos x="0" y="0"/>
              <wp:positionH relativeFrom="margin">
                <wp:posOffset>4330700</wp:posOffset>
              </wp:positionH>
              <wp:positionV relativeFrom="paragraph">
                <wp:posOffset>3280410</wp:posOffset>
              </wp:positionV>
              <wp:extent cx="2363470" cy="281940"/>
              <wp:effectExtent l="0" t="0" r="0" b="0"/>
              <wp:wrapSquare wrapText="bothSides"/>
              <wp:docPr id="119" name="Textruta 119"/>
              <wp:cNvGraphicFramePr/>
              <a:graphic xmlns:a="http://schemas.openxmlformats.org/drawingml/2006/main">
                <a:graphicData uri="http://schemas.microsoft.com/office/word/2010/wordprocessingShape">
                  <wps:wsp>
                    <wps:cNvSpPr txBox="1">
                      <a:spLocks noChangeArrowheads="1"/>
                    </wps:cNvSpPr>
                    <wps:spPr bwMode="auto">
                      <a:xfrm>
                        <a:off x="0" y="0"/>
                        <a:ext cx="2363470" cy="28194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19" o:spid="_x0000_s1029" style="position:absolute;width:186.1pt;height:22.2pt;z-index:12;mso-wrap-distance-left:9pt;mso-wrap-distance-top:3.6pt;mso-wrap-distance-right:9pt;mso-wrap-distance-bottom:3.6pt;margin-left:341pt;margin-top:258.3pt;mso-position-horizontal:absolute;mso-position-horizontal-relative:margin;mso-position-vertical:absolute;mso-position-vertical-relative:text;mso-height-relative:margin;mso-height-percent:200" o:allowincell="t" filled="f" strokeweight="0.75pt" stroked="f">
              <v:textbox style="mso-fit-shape-to-text:t" inset="3mm,1mm,3mm,1mm">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v:textbox>
              <w10:wrap type="square"/>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margin">
                <wp:posOffset>-557530</wp:posOffset>
              </wp:positionH>
              <wp:positionV relativeFrom="paragraph">
                <wp:posOffset>6350</wp:posOffset>
              </wp:positionV>
              <wp:extent cx="6524625" cy="0"/>
              <wp:effectExtent l="0" t="0" r="0" b="0"/>
              <wp:wrapNone/>
              <wp:docPr id="111" name="Rak koppling 111"/>
              <wp:cNvGraphicFramePr/>
              <a:graphic xmlns:a="http://schemas.openxmlformats.org/drawingml/2006/main">
                <a:graphicData uri="http://schemas.microsoft.com/office/word/2010/wordprocessingShape">
                  <wps:wsp>
                    <wps:cNvCnPr>
                      <a:stCxn id="0" idx="0"/>
                      <a:endCxn id="0" idx="0"/>
                    </wps:cNvCnPr>
                    <wps:spPr>
                      <a:xfrm>
                        <a:off x="0" y="0"/>
                        <a:ext cx="6524625" cy="0"/>
                      </a:xfrm>
                      <a:prstGeom prst="line"/>
                      <a:ln w="63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11" o:spid="_x0000_s1030" style="position:absolute;z-index:10;mso-wrap-distance-left:9pt;mso-wrap-distance-top:0pt;mso-wrap-distance-right:9pt;mso-wrap-distance-bottom:0pt;mso-position-horizontal:absolute;mso-position-horizontal-relative:margin;mso-position-vertical:absolute;mso-position-vertical-relative:text" strokecolor="#000000" strokeweight="0.5pt" stroked="t" o:allowincell="t" from="-43.9pt,0.5pt" to="469.85pt,0.5pt"/>
          </w:pict>
        </mc:Fallback>
      </mc:AlternateContent>
    </w:r>
    <w:r>
      <w:rPr>
        <w:noProof w:val="1"/>
        <w:lang w:eastAsia="sv-SE"/>
      </w:rPr>
      <mc:AlternateContent>
        <mc:Choice Requires="wps">
          <w:drawing>
            <wp:anchor xmlns:wp="http://schemas.openxmlformats.org/drawingml/2006/wordprocessingDrawing" distT="45720" distB="45720" distL="114300" distR="114300" simplePos="0" relativeHeight="13" behindDoc="0" locked="0" layoutInCell="1" allowOverlap="1">
              <wp:simplePos x="0" y="0"/>
              <wp:positionH relativeFrom="margin">
                <wp:posOffset>-238760</wp:posOffset>
              </wp:positionH>
              <wp:positionV relativeFrom="paragraph">
                <wp:posOffset>156845</wp:posOffset>
              </wp:positionV>
              <wp:extent cx="2543175" cy="281940"/>
              <wp:effectExtent l="0" t="0" r="0" b="0"/>
              <wp:wrapSquare wrapText="bothSides"/>
              <wp:docPr id="118" name="Textruta 118"/>
              <wp:cNvGraphicFramePr/>
              <a:graphic xmlns:a="http://schemas.openxmlformats.org/drawingml/2006/main">
                <a:graphicData uri="http://schemas.microsoft.com/office/word/2010/wordprocessingShape">
                  <wps:wsp>
                    <wps:cNvSpPr txBox="1">
                      <a:spLocks noChangeArrowheads="1"/>
                    </wps:cNvSpPr>
                    <wps:spPr bwMode="auto">
                      <a:xfrm>
                        <a:off x="0" y="0"/>
                        <a:ext cx="2543175" cy="29083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Barlow" w:hAnsi="Barlow"/>
                              <w:sz w:val="18"/>
                              <w:szCs w:val="18"/>
                            </w:rPr>
                          </w:pPr>
                          <w:hyperlink xmlns:r="http://schemas.openxmlformats.org/officeDocument/2006/relationships" r:id="R2">
                            <w:r>
                              <w:rPr>
                                <w:rStyle w:val="C2"/>
                                <w:rFonts w:ascii="Barlow" w:hAnsi="Barlow"/>
                                <w:sz w:val="18"/>
                                <w:szCs w:val="18"/>
                              </w:rPr>
                              <w:t>motala.se/kommun</w:t>
                            </w:r>
                          </w:hyperlink>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118" o:spid="_x0000_s1031" style="position:absolute;width:200.25pt;height:22.2pt;z-index:13;mso-wrap-distance-left:9pt;mso-wrap-distance-top:3.6pt;mso-wrap-distance-right:9pt;mso-wrap-distance-bottom:3.6pt;margin-left:-18.8pt;margin-top:12.35pt;mso-position-horizontal:absolute;mso-position-horizontal-relative:margin;mso-position-vertical:absolute;mso-position-vertical-relative:text;mso-height-relative:margin;mso-height-percent:200" o:allowincell="t" filled="f" strokeweight="0.75pt" stroked="f">
              <v:textbox style="mso-fit-shape-to-text:t" inset="3mm,1mm,3mm,1mm">
                <w:txbxContent>
                  <w:p>
                    <w:pPr>
                      <w:rPr>
                        <w:rFonts w:ascii="Barlow" w:hAnsi="Barlow"/>
                        <w:sz w:val="18"/>
                        <w:szCs w:val="18"/>
                      </w:rPr>
                    </w:pPr>
                    <w:hyperlink xmlns:r="http://schemas.openxmlformats.org/officeDocument/2006/relationships" r:id="R3">
                      <w:r>
                        <w:rPr>
                          <w:rStyle w:val="C2"/>
                          <w:rFonts w:ascii="Barlow" w:hAnsi="Barlow"/>
                          <w:sz w:val="18"/>
                          <w:szCs w:val="18"/>
                        </w:rPr>
                        <w:t>motala.se/kommun</w:t>
                      </w:r>
                    </w:hyperlink>
                  </w:p>
                </w:txbxContent>
              </v:textbox>
              <w10:wrap type="square"/>
            </v:shape>
          </w:pict>
        </mc:Fallback>
      </mc:AlternateContent>
    </w:r>
  </w:p>
  <w:p>
    <w:pPr>
      <w:pStyle w:val="P14"/>
    </w:pPr>
  </w:p>
  <w:p>
    <w:pPr>
      <w:pStyle w:val="P14"/>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Cs w:val="20"/>
      </w:rPr>
    </w:pPr>
    <w:r>
      <w:rPr>
        <w:noProof w:val="1"/>
        <w:lang w:eastAsia="sv-SE"/>
      </w:rPr>
      <w:drawing>
        <wp:anchor xmlns:wp="http://schemas.openxmlformats.org/drawingml/2006/wordprocessingDrawing" distT="0" distB="0" distL="114300" distR="114300" simplePos="0" relativeHeight="20" behindDoc="0" locked="0" layoutInCell="1" allowOverlap="1">
          <wp:simplePos x="0" y="0"/>
          <wp:positionH relativeFrom="column">
            <wp:posOffset>4508500</wp:posOffset>
          </wp:positionH>
          <wp:positionV relativeFrom="paragraph">
            <wp:posOffset>-353060</wp:posOffset>
          </wp:positionV>
          <wp:extent cx="1274445" cy="695960"/>
          <wp:effectExtent l="0" t="0" r="1905" b="8890"/>
          <wp:wrapNone/>
          <wp:docPr id="59"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tala_kommun_logo_blacd9c9e2f.png"/>
                  <pic:cNvPicPr/>
                </pic:nvPicPr>
                <pic:blipFill dpi="0">
                  <a:blip xmlns:r="http://schemas.openxmlformats.org/officeDocument/2006/relationships" r:embed="Relimage3" cstate="print"/>
                  <a:srcRect/>
                  <a:stretch>
                    <a:fillRect/>
                  </a:stretch>
                </pic:blipFill>
                <pic:spPr>
                  <a:xfrm>
                    <a:off x="0" y="0"/>
                    <a:ext cx="1274448" cy="696480"/>
                  </a:xfrm>
                  <a:prstGeom prst="rect"/>
                </pic:spPr>
              </pic:pic>
            </a:graphicData>
          </a:graphic>
        </wp:anchor>
      </w:drawing>
    </w:r>
    <w:r>
      <w:rPr>
        <w:rFonts w:ascii="Barlow Semi Condensed" w:hAnsi="Barlow Semi Condensed"/>
        <w:szCs w:val="20"/>
      </w:rPr>
      <w:t>Gemensam ledningsförvaltning</w:t>
    </w:r>
  </w:p>
  <w:p>
    <w:pPr>
      <w:rPr>
        <w:rFonts w:asciiTheme="majorHAnsi" w:hAnsiTheme="majorHAnsi"/>
        <w:sz w:val="28"/>
        <w:szCs w:val="28"/>
      </w:rPr>
    </w:pPr>
    <w:r>
      <w:rPr>
        <w:rFonts w:asciiTheme="majorHAnsi" w:hAnsiTheme="majorHAnsi"/>
        <w:sz w:val="28"/>
        <w:szCs w:val="28"/>
      </w:rPr>
      <w:t>Planenheten</w:t>
    </w: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r>
      <w:rPr>
        <w:noProof w:val="1"/>
        <w:lang w:eastAsia="sv-SE"/>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margin">
                <wp:posOffset>-557530</wp:posOffset>
              </wp:positionH>
              <wp:positionV relativeFrom="paragraph">
                <wp:posOffset>6350</wp:posOffset>
              </wp:positionV>
              <wp:extent cx="6524625" cy="0"/>
              <wp:effectExtent l="0" t="0" r="0" b="0"/>
              <wp:wrapNone/>
              <wp:docPr id="56" name="Rak koppling 56"/>
              <wp:cNvGraphicFramePr/>
              <a:graphic xmlns:a="http://schemas.openxmlformats.org/drawingml/2006/main">
                <a:graphicData uri="http://schemas.microsoft.com/office/word/2010/wordprocessingShape">
                  <wps:wsp>
                    <wps:cNvCnPr>
                      <a:stCxn id="0" idx="0"/>
                      <a:endCxn id="0" idx="0"/>
                    </wps:cNvCnPr>
                    <wps:spPr>
                      <a:xfrm>
                        <a:off x="0" y="0"/>
                        <a:ext cx="6524625" cy="0"/>
                      </a:xfrm>
                      <a:prstGeom prst="line"/>
                      <a:ln w="63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56" o:spid="_x0000_s1032" style="position:absolute;z-index:15;mso-wrap-distance-left:9pt;mso-wrap-distance-top:0pt;mso-wrap-distance-right:9pt;mso-wrap-distance-bottom:0pt;mso-position-horizontal:absolute;mso-position-horizontal-relative:margin;mso-position-vertical:absolute;mso-position-vertical-relative:text" strokecolor="#000000" strokeweight="0.5pt" stroked="t" o:allowincell="t" from="-43.9pt,0.5pt" to="469.85pt,0.5pt"/>
          </w:pict>
        </mc:Fallback>
      </mc:AlternateContent>
    </w:r>
    <w:r>
      <w:rPr>
        <w:noProof w:val="1"/>
        <w:lang w:eastAsia="sv-SE"/>
      </w:rPr>
      <mc:AlternateContent>
        <mc:Choice Requires="wps">
          <w:drawing>
            <wp:anchor xmlns:wp="http://schemas.openxmlformats.org/drawingml/2006/wordprocessingDrawing" distT="45720" distB="45720" distL="114300" distR="114300" simplePos="0" relativeHeight="18" behindDoc="0" locked="0" layoutInCell="1" allowOverlap="1">
              <wp:simplePos x="0" y="0"/>
              <wp:positionH relativeFrom="margin">
                <wp:posOffset>-238760</wp:posOffset>
              </wp:positionH>
              <wp:positionV relativeFrom="paragraph">
                <wp:posOffset>156845</wp:posOffset>
              </wp:positionV>
              <wp:extent cx="2543175" cy="281940"/>
              <wp:effectExtent l="0" t="0" r="0" b="0"/>
              <wp:wrapSquare wrapText="bothSides"/>
              <wp:docPr id="57" name="Textruta 57"/>
              <wp:cNvGraphicFramePr/>
              <a:graphic xmlns:a="http://schemas.openxmlformats.org/drawingml/2006/main">
                <a:graphicData uri="http://schemas.microsoft.com/office/word/2010/wordprocessingShape">
                  <wps:wsp>
                    <wps:cNvSpPr txBox="1">
                      <a:spLocks noChangeArrowheads="1"/>
                    </wps:cNvSpPr>
                    <wps:spPr bwMode="auto">
                      <a:xfrm>
                        <a:off x="0" y="0"/>
                        <a:ext cx="2543175" cy="29083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Barlow" w:hAnsi="Barlow"/>
                              <w:sz w:val="18"/>
                              <w:szCs w:val="18"/>
                            </w:rPr>
                          </w:pPr>
                          <w:hyperlink xmlns:r="http://schemas.openxmlformats.org/officeDocument/2006/relationships" r:id="R4">
                            <w:r>
                              <w:rPr>
                                <w:rStyle w:val="C2"/>
                                <w:rFonts w:ascii="Barlow" w:hAnsi="Barlow"/>
                                <w:sz w:val="18"/>
                                <w:szCs w:val="18"/>
                              </w:rPr>
                              <w:t>motala.se/kommun</w:t>
                            </w:r>
                          </w:hyperlink>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57" o:spid="_x0000_s1033" style="position:absolute;width:200.25pt;height:22.2pt;z-index:18;mso-wrap-distance-left:9pt;mso-wrap-distance-top:3.6pt;mso-wrap-distance-right:9pt;mso-wrap-distance-bottom:3.6pt;margin-left:-18.8pt;margin-top:12.35pt;mso-position-horizontal:absolute;mso-position-horizontal-relative:margin;mso-position-vertical:absolute;mso-position-vertical-relative:text;mso-height-relative:margin;mso-height-percent:200" o:allowincell="t" filled="f" strokeweight="0.75pt" stroked="f">
              <v:textbox style="mso-fit-shape-to-text:t" inset="3mm,1mm,3mm,1mm">
                <w:txbxContent>
                  <w:p>
                    <w:pPr>
                      <w:rPr>
                        <w:rFonts w:ascii="Barlow" w:hAnsi="Barlow"/>
                        <w:sz w:val="18"/>
                        <w:szCs w:val="18"/>
                      </w:rPr>
                    </w:pPr>
                    <w:hyperlink xmlns:r="http://schemas.openxmlformats.org/officeDocument/2006/relationships" r:id="R5">
                      <w:r>
                        <w:rPr>
                          <w:rStyle w:val="C2"/>
                          <w:rFonts w:ascii="Barlow" w:hAnsi="Barlow"/>
                          <w:sz w:val="18"/>
                          <w:szCs w:val="18"/>
                        </w:rPr>
                        <w:t>motala.se/kommun</w:t>
                      </w:r>
                    </w:hyperlink>
                  </w:p>
                </w:txbxContent>
              </v:textbox>
              <w10:wrap type="square"/>
            </v:shape>
          </w:pict>
        </mc:Fallback>
      </mc:AlternateContent>
    </w:r>
    <w:r>
      <w:rPr>
        <w:noProof w:val="1"/>
        <w:lang w:eastAsia="sv-SE"/>
      </w:rPr>
      <mc:AlternateContent>
        <mc:Choice Requires="wps">
          <w:drawing>
            <wp:anchor xmlns:wp="http://schemas.openxmlformats.org/drawingml/2006/wordprocessingDrawing" distT="45720" distB="45720" distL="114300" distR="114300" simplePos="0" relativeHeight="16" behindDoc="0" locked="0" layoutInCell="1" allowOverlap="1">
              <wp:simplePos x="0" y="0"/>
              <wp:positionH relativeFrom="margin">
                <wp:posOffset>3423285</wp:posOffset>
              </wp:positionH>
              <wp:positionV relativeFrom="paragraph">
                <wp:posOffset>152400</wp:posOffset>
              </wp:positionV>
              <wp:extent cx="2922270" cy="281940"/>
              <wp:effectExtent l="0" t="0" r="0" b="0"/>
              <wp:wrapSquare wrapText="bothSides"/>
              <wp:docPr id="58" name="Textruta 58"/>
              <wp:cNvGraphicFramePr/>
              <a:graphic xmlns:a="http://schemas.openxmlformats.org/drawingml/2006/main">
                <a:graphicData uri="http://schemas.microsoft.com/office/word/2010/wordprocessingShape">
                  <wps:wsp>
                    <wps:cNvSpPr txBox="1">
                      <a:spLocks noChangeArrowheads="1"/>
                    </wps:cNvSpPr>
                    <wps:spPr bwMode="auto">
                      <a:xfrm>
                        <a:off x="0" y="0"/>
                        <a:ext cx="2388870" cy="29083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58" o:spid="_x0000_s1034" style="position:absolute;width:230.1pt;height:22.2pt;z-index:16;mso-wrap-distance-left:9pt;mso-wrap-distance-top:3.6pt;mso-wrap-distance-right:9pt;mso-wrap-distance-bottom:3.6pt;margin-left:269.55pt;margin-top:12pt;mso-position-horizontal:absolute;mso-position-horizontal-relative:margin;mso-position-vertical:absolute;mso-position-vertical-relative:text;mso-width-relative:margin;mso-width-percent:400;mso-height-relative:margin;mso-height-percent:200" o:allowincell="t" filled="f" strokeweight="0.75pt" stroked="f">
              <v:textbox style="mso-fit-shape-to-text:t" inset="3mm,1mm,3mm,1mm">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v:textbox>
              <w10:wrap type="square"/>
            </v:shape>
          </w:pict>
        </mc:Fallback>
      </mc:AlternateContent>
    </w:r>
  </w:p>
  <w:p>
    <w:pPr>
      <w:pStyle w:val="P14"/>
    </w:pPr>
  </w:p>
  <w:p>
    <w:pPr>
      <w:pStyle w:val="P14"/>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szCs w:val="20"/>
      </w:rPr>
    </w:pPr>
    <w:r>
      <w:rPr>
        <w:rFonts w:ascii="Barlow Semi Condensed" w:hAnsi="Barlow Semi Condensed"/>
        <w:sz w:val="20"/>
        <w:szCs w:val="20"/>
      </w:rPr>
      <w:t xml:space="preserve">Detaljplan för del av </w:t>
    </w:r>
    <w:r>
      <w:rPr>
        <w:rFonts w:ascii="Barlow Semi Condensed" w:hAnsi="Barlow Semi Condensed"/>
        <w:sz w:val="20"/>
        <w:szCs w:val="20"/>
        <w:highlight w:val="yellow"/>
      </w:rPr>
      <w:t>*FASTIGHET XX:XX* i *Område*</w:t>
    </w:r>
  </w:p>
  <w:p>
    <w:pPr>
      <w:pStyle w:val="P13"/>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3"/>
    </w:pPr>
    <w:r>
      <w:rPr>
        <w:noProof w:val="1"/>
        <w:lang w:eastAsia="sv-SE"/>
      </w:rPr>
      <mc:AlternateContent>
        <mc:Choice Requires="wpg">
          <w:drawing>
            <wp:anchor xmlns:wp="http://schemas.openxmlformats.org/drawingml/2006/wordprocessingDrawing" distT="0" distB="0" distL="114300" distR="114300" simplePos="0" relativeHeight="8" behindDoc="0" locked="0" layoutInCell="1" allowOverlap="1">
              <wp:simplePos x="0" y="0"/>
              <wp:positionH relativeFrom="column">
                <wp:posOffset>-479425</wp:posOffset>
              </wp:positionH>
              <wp:positionV relativeFrom="paragraph">
                <wp:posOffset>-339725</wp:posOffset>
              </wp:positionV>
              <wp:extent cx="6800850" cy="8569960"/>
              <wp:effectExtent l="0" t="0" r="19050" b="21590"/>
              <wp:wrapNone/>
              <wp:docPr id="16" name="Grupp 16"/>
              <wp:cNvGraphicFramePr/>
              <a:graphic xmlns:a="http://schemas.openxmlformats.org/drawingml/2006/main">
                <a:graphicData uri="http://schemas.microsoft.com/office/word/2010/wordprocessingGroup">
                  <wpg:wgp>
                    <wpg:cNvGrpSpPr/>
                    <wpg:grpSpPr>
                      <a:xfrm>
                        <a:off x="0" y="0"/>
                        <a:ext cx="6801296" cy="8570555"/>
                        <a:chOff x="0" y="0"/>
                        <a:chExt cx="6801296" cy="8570555"/>
                      </a:xfrm>
                    </wpg:grpSpPr>
                    <pic:pic xmlns:pic="http://schemas.openxmlformats.org/drawingml/2006/picture">
                      <pic:nvPicPr>
                        <pic:cNvPr id="17" name="Bildobjekt 28"/>
                        <pic:cNvPicPr>
                          <a:picLocks noChangeAspect="1"/>
                        </pic:cNvPicPr>
                      </pic:nvPicPr>
                      <pic:blipFill dpi="0">
                        <a:blip xmlns:r="http://schemas.openxmlformats.org/officeDocument/2006/relationships" r:embed="Relimage1" cstate="print"/>
                        <a:srcRect l="52091" t="-510" r="-21384" b="38698"/>
                        <a:stretch>
                          <a:fillRect/>
                        </a:stretch>
                      </pic:blipFill>
                      <pic:spPr bwMode="auto">
                        <a:xfrm>
                          <a:off x="11875" y="5807035"/>
                          <a:ext cx="6789420" cy="2763520"/>
                        </a:xfrm>
                        <a:prstGeom prst="rect"/>
                        <a:ln>
                          <a:noFill/>
                        </a:ln>
                      </pic:spPr>
                    </pic:pic>
                    <wps:wsp>
                      <wps:cNvPr id="19" name="Rektangel 19"/>
                      <wps:cNvSpPr/>
                      <wps:spPr>
                        <a:xfrm>
                          <a:off x="0" y="0"/>
                          <a:ext cx="6799022" cy="8567972"/>
                        </a:xfrm>
                        <a:prstGeom prst="rect"/>
                        <a:noFill/>
                        <a:ln>
                          <a:solidFill>
                            <a:srgbClr val="007FA3"/>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16" style="position:absolute;width:535.5pt;height:674.8pt;z-index:8;mso-wrap-distance-left:9pt;mso-wrap-distance-top:0pt;mso-wrap-distance-right:9pt;mso-wrap-distance-bottom:0pt;margin-left:-37.75pt;margin-top:-26.75pt;mso-position-horizontal:absolute;mso-position-horizontal-relative:text;mso-position-vertical:absolute;mso-position-vertical-relative:text" coordorigin="0,0" coordsize="6801295,8570554"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8" o:spid="_x0000_s1027" type="#_x0000_t75" style="position:absolute;left:11874;top:5807034;width:6789420;height:2763520" o:preferrelative="t" stroked="f" o:allowincell="t">
                <v:imagedata src="Relimage1" o:title="" croptop="-334f" cropbottom="25361f" cropleft="34138f" cropright="-14014f"/>
                <o:lock aspectratio="t"/>
              </v:shape>
              <v:rect id="Rektangel 19" o:spid="_x0000_s1028" style="position:absolute;width:6799021;height:8567971;v-text-anchor:middle" o:allowincell="t" filled="f" strokecolor="#007FA3" strokeweight="2pt" stroked="t"/>
            </v:group>
          </w:pict>
        </mc:Fallback>
      </mc:AlternateContent>
    </w:r>
    <w:r>
      <w:rPr>
        <w:noProof w:val="1"/>
        <w:lang w:eastAsia="sv-SE"/>
      </w:rPr>
      <w:drawing>
        <wp:anchor xmlns:wp="http://schemas.openxmlformats.org/drawingml/2006/wordprocessingDrawing" distT="0" distB="0" distL="114300" distR="114300" simplePos="0" relativeHeight="251693056" behindDoc="1" locked="0" layoutInCell="1" allowOverlap="1">
          <wp:simplePos x="0" y="0"/>
          <wp:positionH relativeFrom="column">
            <wp:posOffset>-835025</wp:posOffset>
          </wp:positionH>
          <wp:positionV relativeFrom="paragraph">
            <wp:posOffset>-706120</wp:posOffset>
          </wp:positionV>
          <wp:extent cx="7519670" cy="10636885"/>
          <wp:effectExtent l="0" t="0" r="5080" b="0"/>
          <wp:wrapNone/>
          <wp:docPr id="53" name="Bildobjekt 53" descr="Framsidan innehåller en ljusblå färgplatta, en illustration med en solfjäder och kommunens logotyp." title="Bakgrundsbild med blå platta, solfjäder och kommun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ramsida.jpg"/>
                  <pic:cNvPicPr/>
                </pic:nvPicPr>
                <pic:blipFill dpi="0">
                  <a:blip xmlns:r="http://schemas.openxmlformats.org/officeDocument/2006/relationships" r:embed="Relimage2" cstate="print"/>
                  <a:srcRect/>
                  <a:stretch>
                    <a:fillRect/>
                  </a:stretch>
                </pic:blipFill>
                <pic:spPr>
                  <a:xfrm>
                    <a:off x="0" y="0"/>
                    <a:ext cx="7519969" cy="10637136"/>
                  </a:xfrm>
                  <a:prstGeom prst="rect"/>
                </pic:spPr>
              </pic:pic>
            </a:graphicData>
          </a:graphic>
        </wp:anchor>
      </w:drawing>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rPr>
    </w:pPr>
    <w:r>
      <w:rPr>
        <w:rFonts w:ascii="Barlow Semi Condensed" w:hAnsi="Barlow Semi Condensed"/>
        <w:sz w:val="20"/>
      </w:rPr>
      <w:t xml:space="preserve">Detaljplan för </w:t>
    </w:r>
  </w:p>
  <w:p>
    <w:pPr>
      <w:rPr>
        <w:rFonts w:ascii="Barlow Semi Condensed" w:hAnsi="Barlow Semi Condensed"/>
        <w:sz w:val="20"/>
      </w:rPr>
    </w:pPr>
    <w:r>
      <w:rPr>
        <w:rFonts w:ascii="Barlow Semi Condensed" w:hAnsi="Barlow Semi Condensed"/>
        <w:sz w:val="20"/>
      </w:rPr>
      <w:t>Hyvelspånet 3, Björkelund</w:t>
    </w:r>
  </w:p>
  <w:p>
    <w:pPr>
      <w:rPr>
        <w:rFonts w:ascii="Barlow Semi Condensed" w:hAnsi="Barlow Semi Condensed"/>
        <w:sz w:val="20"/>
      </w:rPr>
    </w:pPr>
    <w:r>
      <w:rPr>
        <w:rFonts w:ascii="Barlow Semi Condensed" w:hAnsi="Barlow Semi Condensed"/>
        <w:sz w:val="20"/>
      </w:rPr>
      <w:t>Motala kommun, Östergötlands län</w:t>
    </w: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rPr>
    </w:pPr>
    <w:r>
      <w:rPr>
        <w:rFonts w:ascii="Barlow Semi Condensed" w:hAnsi="Barlow Semi Condensed"/>
        <w:sz w:val="20"/>
      </w:rPr>
      <w:t xml:space="preserve">Detaljplan för </w:t>
    </w:r>
  </w:p>
  <w:p>
    <w:r>
      <w:rPr>
        <w:rFonts w:ascii="Barlow Semi Condensed" w:hAnsi="Barlow Semi Condensed"/>
        <w:sz w:val="20"/>
      </w:rPr>
      <w:t>Hyvelspånet 3, Björkelund</w:t>
    </w:r>
  </w:p>
  <w:p>
    <w:pPr>
      <w:rPr>
        <w:rFonts w:ascii="Barlow Semi Condensed" w:hAnsi="Barlow Semi Condensed"/>
        <w:sz w:val="20"/>
      </w:rPr>
    </w:pPr>
    <w:r>
      <w:rPr>
        <w:rFonts w:ascii="Barlow Semi Condensed" w:hAnsi="Barlow Semi Condensed"/>
        <w:sz w:val="20"/>
      </w:rPr>
      <w:t>Motala kommun, Östergötlands län</w:t>
    </w:r>
  </w:p>
  <w:p>
    <w:pPr>
      <w:pStyle w:val="P13"/>
    </w:pPr>
  </w:p>
</w:hdr>
</file>

<file path=word/numbering.xml><?xml version="1.0" encoding="utf-8"?>
<w:numbering xmlns:w="http://schemas.openxmlformats.org/wordprocessingml/2006/main">
  <w:abstractNum w:abstractNumId="0">
    <w:nsid w:val="FFFFFF7C"/>
    <w:multiLevelType w:val="hybridMultilevel"/>
    <w:lvl w:ilvl="0">
      <w:start w:val="1"/>
      <w:numFmt w:val="decimal"/>
      <w:pStyle w:val="P84"/>
      <w:suff w:val="tab"/>
      <w:lvlText w:val="%1."/>
      <w:lvlJc w:val="left"/>
      <w:pPr>
        <w:ind w:hanging="360" w:left="1492"/>
        <w:tabs>
          <w:tab w:val="num" w:pos="1492" w:leader="none"/>
        </w:tabs>
      </w:pPr>
      <w:rPr/>
    </w:lvl>
    <w:lvl w:ilvl="1" w:tplc="33C85D51">
      <w:start w:val="1"/>
      <w:numFmt w:val="decimal"/>
      <w:suff w:val="tab"/>
      <w:lvlText w:val="%1."/>
      <w:lvlJc w:val="left"/>
      <w:pPr/>
      <w:rPr/>
    </w:lvl>
    <w:lvl w:ilvl="2" w:tplc="65196C9D">
      <w:start w:val="1"/>
      <w:numFmt w:val="decimal"/>
      <w:suff w:val="tab"/>
      <w:lvlText w:val="%1."/>
      <w:lvlJc w:val="left"/>
      <w:pPr/>
      <w:rPr/>
    </w:lvl>
    <w:lvl w:ilvl="3" w:tplc="3CA1CF0A">
      <w:start w:val="1"/>
      <w:numFmt w:val="decimal"/>
      <w:suff w:val="tab"/>
      <w:lvlText w:val="%1."/>
      <w:lvlJc w:val="left"/>
      <w:pPr/>
      <w:rPr/>
    </w:lvl>
    <w:lvl w:ilvl="4" w:tplc="4FF27C36">
      <w:start w:val="1"/>
      <w:numFmt w:val="decimal"/>
      <w:suff w:val="tab"/>
      <w:lvlText w:val="%1."/>
      <w:lvlJc w:val="left"/>
      <w:pPr/>
      <w:rPr/>
    </w:lvl>
    <w:lvl w:ilvl="5" w:tplc="07FA597F">
      <w:start w:val="1"/>
      <w:numFmt w:val="decimal"/>
      <w:suff w:val="tab"/>
      <w:lvlText w:val="%1."/>
      <w:lvlJc w:val="left"/>
      <w:pPr/>
      <w:rPr/>
    </w:lvl>
    <w:lvl w:ilvl="6" w:tplc="6F81FB85">
      <w:start w:val="1"/>
      <w:numFmt w:val="decimal"/>
      <w:suff w:val="tab"/>
      <w:lvlText w:val="%1."/>
      <w:lvlJc w:val="left"/>
      <w:pPr/>
      <w:rPr/>
    </w:lvl>
    <w:lvl w:ilvl="7" w:tplc="33B66F39">
      <w:start w:val="1"/>
      <w:numFmt w:val="decimal"/>
      <w:suff w:val="tab"/>
      <w:lvlText w:val="%1."/>
      <w:lvlJc w:val="left"/>
      <w:pPr/>
      <w:rPr/>
    </w:lvl>
    <w:lvl w:ilvl="8" w:tplc="4B944315">
      <w:start w:val="1"/>
      <w:numFmt w:val="decimal"/>
      <w:suff w:val="tab"/>
      <w:lvlText w:val="%1."/>
      <w:lvlJc w:val="left"/>
      <w:pPr/>
      <w:rPr/>
    </w:lvl>
  </w:abstractNum>
  <w:abstractNum w:abstractNumId="1">
    <w:nsid w:val="FFFFFF7D"/>
    <w:multiLevelType w:val="hybridMultilevel"/>
    <w:lvl w:ilvl="0">
      <w:start w:val="1"/>
      <w:numFmt w:val="decimal"/>
      <w:pStyle w:val="P83"/>
      <w:suff w:val="tab"/>
      <w:lvlText w:val="%1."/>
      <w:lvlJc w:val="left"/>
      <w:pPr>
        <w:ind w:hanging="360" w:left="1209"/>
        <w:tabs>
          <w:tab w:val="num" w:pos="1209" w:leader="none"/>
        </w:tabs>
      </w:pPr>
      <w:rPr/>
    </w:lvl>
    <w:lvl w:ilvl="1" w:tplc="3D7FCBF7">
      <w:start w:val="1"/>
      <w:numFmt w:val="decimal"/>
      <w:suff w:val="tab"/>
      <w:lvlText w:val="%1."/>
      <w:lvlJc w:val="left"/>
      <w:pPr/>
      <w:rPr/>
    </w:lvl>
    <w:lvl w:ilvl="2" w:tplc="0BCDAC65">
      <w:start w:val="1"/>
      <w:numFmt w:val="decimal"/>
      <w:suff w:val="tab"/>
      <w:lvlText w:val="%1."/>
      <w:lvlJc w:val="left"/>
      <w:pPr/>
      <w:rPr/>
    </w:lvl>
    <w:lvl w:ilvl="3" w:tplc="6D32B0EE">
      <w:start w:val="1"/>
      <w:numFmt w:val="decimal"/>
      <w:suff w:val="tab"/>
      <w:lvlText w:val="%1."/>
      <w:lvlJc w:val="left"/>
      <w:pPr/>
      <w:rPr/>
    </w:lvl>
    <w:lvl w:ilvl="4" w:tplc="536ECAEB">
      <w:start w:val="1"/>
      <w:numFmt w:val="decimal"/>
      <w:suff w:val="tab"/>
      <w:lvlText w:val="%1."/>
      <w:lvlJc w:val="left"/>
      <w:pPr/>
      <w:rPr/>
    </w:lvl>
    <w:lvl w:ilvl="5" w:tplc="78E8E3D4">
      <w:start w:val="1"/>
      <w:numFmt w:val="decimal"/>
      <w:suff w:val="tab"/>
      <w:lvlText w:val="%1."/>
      <w:lvlJc w:val="left"/>
      <w:pPr/>
      <w:rPr/>
    </w:lvl>
    <w:lvl w:ilvl="6" w:tplc="3A21DFF0">
      <w:start w:val="1"/>
      <w:numFmt w:val="decimal"/>
      <w:suff w:val="tab"/>
      <w:lvlText w:val="%1."/>
      <w:lvlJc w:val="left"/>
      <w:pPr/>
      <w:rPr/>
    </w:lvl>
    <w:lvl w:ilvl="7" w:tplc="41568D3E">
      <w:start w:val="1"/>
      <w:numFmt w:val="decimal"/>
      <w:suff w:val="tab"/>
      <w:lvlText w:val="%1."/>
      <w:lvlJc w:val="left"/>
      <w:pPr/>
      <w:rPr/>
    </w:lvl>
    <w:lvl w:ilvl="8" w:tplc="0AFF25A6">
      <w:start w:val="1"/>
      <w:numFmt w:val="decimal"/>
      <w:suff w:val="tab"/>
      <w:lvlText w:val="%1."/>
      <w:lvlJc w:val="left"/>
      <w:pPr/>
      <w:rPr/>
    </w:lvl>
  </w:abstractNum>
  <w:abstractNum w:abstractNumId="2">
    <w:nsid w:val="FFFFFF7E"/>
    <w:multiLevelType w:val="hybridMultilevel"/>
    <w:lvl w:ilvl="0">
      <w:start w:val="1"/>
      <w:numFmt w:val="decimal"/>
      <w:pStyle w:val="P82"/>
      <w:suff w:val="tab"/>
      <w:lvlText w:val="%1."/>
      <w:lvlJc w:val="left"/>
      <w:pPr>
        <w:ind w:hanging="360" w:left="926"/>
        <w:tabs>
          <w:tab w:val="num" w:pos="926" w:leader="none"/>
        </w:tabs>
      </w:pPr>
      <w:rPr/>
    </w:lvl>
    <w:lvl w:ilvl="1" w:tplc="2F3659D3">
      <w:start w:val="1"/>
      <w:numFmt w:val="decimal"/>
      <w:suff w:val="tab"/>
      <w:lvlText w:val="%1."/>
      <w:lvlJc w:val="left"/>
      <w:pPr/>
      <w:rPr/>
    </w:lvl>
    <w:lvl w:ilvl="2" w:tplc="50F0EAF7">
      <w:start w:val="1"/>
      <w:numFmt w:val="decimal"/>
      <w:suff w:val="tab"/>
      <w:lvlText w:val="%1."/>
      <w:lvlJc w:val="left"/>
      <w:pPr/>
      <w:rPr/>
    </w:lvl>
    <w:lvl w:ilvl="3" w:tplc="4B418194">
      <w:start w:val="1"/>
      <w:numFmt w:val="decimal"/>
      <w:suff w:val="tab"/>
      <w:lvlText w:val="%1."/>
      <w:lvlJc w:val="left"/>
      <w:pPr/>
      <w:rPr/>
    </w:lvl>
    <w:lvl w:ilvl="4" w:tplc="359C72E9">
      <w:start w:val="1"/>
      <w:numFmt w:val="decimal"/>
      <w:suff w:val="tab"/>
      <w:lvlText w:val="%1."/>
      <w:lvlJc w:val="left"/>
      <w:pPr/>
      <w:rPr/>
    </w:lvl>
    <w:lvl w:ilvl="5" w:tplc="720F07A0">
      <w:start w:val="1"/>
      <w:numFmt w:val="decimal"/>
      <w:suff w:val="tab"/>
      <w:lvlText w:val="%1."/>
      <w:lvlJc w:val="left"/>
      <w:pPr/>
      <w:rPr/>
    </w:lvl>
    <w:lvl w:ilvl="6" w:tplc="56853B6B">
      <w:start w:val="1"/>
      <w:numFmt w:val="decimal"/>
      <w:suff w:val="tab"/>
      <w:lvlText w:val="%1."/>
      <w:lvlJc w:val="left"/>
      <w:pPr/>
      <w:rPr/>
    </w:lvl>
    <w:lvl w:ilvl="7" w:tplc="03DC7C81">
      <w:start w:val="1"/>
      <w:numFmt w:val="decimal"/>
      <w:suff w:val="tab"/>
      <w:lvlText w:val="%1."/>
      <w:lvlJc w:val="left"/>
      <w:pPr/>
      <w:rPr/>
    </w:lvl>
    <w:lvl w:ilvl="8" w:tplc="02675B11">
      <w:start w:val="1"/>
      <w:numFmt w:val="decimal"/>
      <w:suff w:val="tab"/>
      <w:lvlText w:val="%1."/>
      <w:lvlJc w:val="left"/>
      <w:pPr/>
      <w:rPr/>
    </w:lvl>
  </w:abstractNum>
  <w:abstractNum w:abstractNumId="3">
    <w:nsid w:val="FFFFFF7F"/>
    <w:multiLevelType w:val="hybridMultilevel"/>
    <w:lvl w:ilvl="0">
      <w:start w:val="1"/>
      <w:numFmt w:val="decimal"/>
      <w:pStyle w:val="P81"/>
      <w:suff w:val="tab"/>
      <w:lvlText w:val="%1."/>
      <w:lvlJc w:val="left"/>
      <w:pPr>
        <w:ind w:hanging="360" w:left="643"/>
        <w:tabs>
          <w:tab w:val="num" w:pos="643" w:leader="none"/>
        </w:tabs>
      </w:pPr>
      <w:rPr/>
    </w:lvl>
    <w:lvl w:ilvl="1" w:tplc="044871FE">
      <w:start w:val="1"/>
      <w:numFmt w:val="decimal"/>
      <w:suff w:val="tab"/>
      <w:lvlText w:val="%1."/>
      <w:lvlJc w:val="left"/>
      <w:pPr/>
      <w:rPr/>
    </w:lvl>
    <w:lvl w:ilvl="2" w:tplc="739868EC">
      <w:start w:val="1"/>
      <w:numFmt w:val="decimal"/>
      <w:suff w:val="tab"/>
      <w:lvlText w:val="%1."/>
      <w:lvlJc w:val="left"/>
      <w:pPr/>
      <w:rPr/>
    </w:lvl>
    <w:lvl w:ilvl="3" w:tplc="1F990E62">
      <w:start w:val="1"/>
      <w:numFmt w:val="decimal"/>
      <w:suff w:val="tab"/>
      <w:lvlText w:val="%1."/>
      <w:lvlJc w:val="left"/>
      <w:pPr/>
      <w:rPr/>
    </w:lvl>
    <w:lvl w:ilvl="4" w:tplc="305B0BB7">
      <w:start w:val="1"/>
      <w:numFmt w:val="decimal"/>
      <w:suff w:val="tab"/>
      <w:lvlText w:val="%1."/>
      <w:lvlJc w:val="left"/>
      <w:pPr/>
      <w:rPr/>
    </w:lvl>
    <w:lvl w:ilvl="5" w:tplc="72766F39">
      <w:start w:val="1"/>
      <w:numFmt w:val="decimal"/>
      <w:suff w:val="tab"/>
      <w:lvlText w:val="%1."/>
      <w:lvlJc w:val="left"/>
      <w:pPr/>
      <w:rPr/>
    </w:lvl>
    <w:lvl w:ilvl="6" w:tplc="2C1E8F8E">
      <w:start w:val="1"/>
      <w:numFmt w:val="decimal"/>
      <w:suff w:val="tab"/>
      <w:lvlText w:val="%1."/>
      <w:lvlJc w:val="left"/>
      <w:pPr/>
      <w:rPr/>
    </w:lvl>
    <w:lvl w:ilvl="7" w:tplc="3029BCEF">
      <w:start w:val="1"/>
      <w:numFmt w:val="decimal"/>
      <w:suff w:val="tab"/>
      <w:lvlText w:val="%1."/>
      <w:lvlJc w:val="left"/>
      <w:pPr/>
      <w:rPr/>
    </w:lvl>
    <w:lvl w:ilvl="8" w:tplc="0B25175A">
      <w:start w:val="1"/>
      <w:numFmt w:val="decimal"/>
      <w:suff w:val="tab"/>
      <w:lvlText w:val="%1."/>
      <w:lvlJc w:val="left"/>
      <w:pPr/>
      <w:rPr/>
    </w:lvl>
  </w:abstractNum>
  <w:abstractNum w:abstractNumId="4">
    <w:nsid w:val="FFFFFF80"/>
    <w:multiLevelType w:val="hybridMultilevel"/>
    <w:lvl w:ilvl="0">
      <w:start w:val="1"/>
      <w:numFmt w:val="bullet"/>
      <w:pStyle w:val="P90"/>
      <w:suff w:val="tab"/>
      <w:lvlText w:val=""/>
      <w:lvlJc w:val="left"/>
      <w:pPr>
        <w:ind w:hanging="360" w:left="1492"/>
        <w:tabs>
          <w:tab w:val="num" w:pos="1492" w:leader="none"/>
        </w:tabs>
      </w:pPr>
      <w:rPr>
        <w:rFonts w:ascii="Symbol" w:hAnsi="Symbol" w:hint="default"/>
      </w:rPr>
    </w:lvl>
    <w:lvl w:ilvl="1" w:tplc="2E11BDA3">
      <w:start w:val="1"/>
      <w:numFmt w:val="decimal"/>
      <w:suff w:val="tab"/>
      <w:lvlText w:val="%1."/>
      <w:lvlJc w:val="left"/>
      <w:pPr/>
      <w:rPr/>
    </w:lvl>
    <w:lvl w:ilvl="2" w:tplc="65956AFF">
      <w:start w:val="1"/>
      <w:numFmt w:val="decimal"/>
      <w:suff w:val="tab"/>
      <w:lvlText w:val="%1."/>
      <w:lvlJc w:val="left"/>
      <w:pPr/>
      <w:rPr/>
    </w:lvl>
    <w:lvl w:ilvl="3" w:tplc="2E2AAE1B">
      <w:start w:val="1"/>
      <w:numFmt w:val="decimal"/>
      <w:suff w:val="tab"/>
      <w:lvlText w:val="%1."/>
      <w:lvlJc w:val="left"/>
      <w:pPr/>
      <w:rPr/>
    </w:lvl>
    <w:lvl w:ilvl="4" w:tplc="59B6F6DC">
      <w:start w:val="1"/>
      <w:numFmt w:val="decimal"/>
      <w:suff w:val="tab"/>
      <w:lvlText w:val="%1."/>
      <w:lvlJc w:val="left"/>
      <w:pPr/>
      <w:rPr/>
    </w:lvl>
    <w:lvl w:ilvl="5" w:tplc="2E8618A2">
      <w:start w:val="1"/>
      <w:numFmt w:val="decimal"/>
      <w:suff w:val="tab"/>
      <w:lvlText w:val="%1."/>
      <w:lvlJc w:val="left"/>
      <w:pPr/>
      <w:rPr/>
    </w:lvl>
    <w:lvl w:ilvl="6" w:tplc="3D7F334E">
      <w:start w:val="1"/>
      <w:numFmt w:val="decimal"/>
      <w:suff w:val="tab"/>
      <w:lvlText w:val="%1."/>
      <w:lvlJc w:val="left"/>
      <w:pPr/>
      <w:rPr/>
    </w:lvl>
    <w:lvl w:ilvl="7" w:tplc="6B88CA1C">
      <w:start w:val="1"/>
      <w:numFmt w:val="decimal"/>
      <w:suff w:val="tab"/>
      <w:lvlText w:val="%1."/>
      <w:lvlJc w:val="left"/>
      <w:pPr/>
      <w:rPr/>
    </w:lvl>
    <w:lvl w:ilvl="8" w:tplc="1A89188F">
      <w:start w:val="1"/>
      <w:numFmt w:val="decimal"/>
      <w:suff w:val="tab"/>
      <w:lvlText w:val="%1."/>
      <w:lvlJc w:val="left"/>
      <w:pPr/>
      <w:rPr/>
    </w:lvl>
  </w:abstractNum>
  <w:abstractNum w:abstractNumId="5">
    <w:nsid w:val="FFFFFF81"/>
    <w:multiLevelType w:val="hybridMultilevel"/>
    <w:lvl w:ilvl="0">
      <w:start w:val="1"/>
      <w:numFmt w:val="bullet"/>
      <w:pStyle w:val="P89"/>
      <w:suff w:val="tab"/>
      <w:lvlText w:val=""/>
      <w:lvlJc w:val="left"/>
      <w:pPr>
        <w:ind w:hanging="360" w:left="1209"/>
        <w:tabs>
          <w:tab w:val="num" w:pos="1209" w:leader="none"/>
        </w:tabs>
      </w:pPr>
      <w:rPr>
        <w:rFonts w:ascii="Symbol" w:hAnsi="Symbol" w:hint="default"/>
      </w:rPr>
    </w:lvl>
    <w:lvl w:ilvl="1" w:tplc="6E478DF1">
      <w:start w:val="1"/>
      <w:numFmt w:val="decimal"/>
      <w:suff w:val="tab"/>
      <w:lvlText w:val="%1."/>
      <w:lvlJc w:val="left"/>
      <w:pPr/>
      <w:rPr/>
    </w:lvl>
    <w:lvl w:ilvl="2" w:tplc="5F6077D8">
      <w:start w:val="1"/>
      <w:numFmt w:val="decimal"/>
      <w:suff w:val="tab"/>
      <w:lvlText w:val="%1."/>
      <w:lvlJc w:val="left"/>
      <w:pPr/>
      <w:rPr/>
    </w:lvl>
    <w:lvl w:ilvl="3" w:tplc="079AD3C4">
      <w:start w:val="1"/>
      <w:numFmt w:val="decimal"/>
      <w:suff w:val="tab"/>
      <w:lvlText w:val="%1."/>
      <w:lvlJc w:val="left"/>
      <w:pPr/>
      <w:rPr/>
    </w:lvl>
    <w:lvl w:ilvl="4" w:tplc="1AF1F1C7">
      <w:start w:val="1"/>
      <w:numFmt w:val="decimal"/>
      <w:suff w:val="tab"/>
      <w:lvlText w:val="%1."/>
      <w:lvlJc w:val="left"/>
      <w:pPr/>
      <w:rPr/>
    </w:lvl>
    <w:lvl w:ilvl="5" w:tplc="743F7FCC">
      <w:start w:val="1"/>
      <w:numFmt w:val="decimal"/>
      <w:suff w:val="tab"/>
      <w:lvlText w:val="%1."/>
      <w:lvlJc w:val="left"/>
      <w:pPr/>
      <w:rPr/>
    </w:lvl>
    <w:lvl w:ilvl="6" w:tplc="501A9CDB">
      <w:start w:val="1"/>
      <w:numFmt w:val="decimal"/>
      <w:suff w:val="tab"/>
      <w:lvlText w:val="%1."/>
      <w:lvlJc w:val="left"/>
      <w:pPr/>
      <w:rPr/>
    </w:lvl>
    <w:lvl w:ilvl="7" w:tplc="7C7DDE25">
      <w:start w:val="1"/>
      <w:numFmt w:val="decimal"/>
      <w:suff w:val="tab"/>
      <w:lvlText w:val="%1."/>
      <w:lvlJc w:val="left"/>
      <w:pPr/>
      <w:rPr/>
    </w:lvl>
    <w:lvl w:ilvl="8" w:tplc="763FFCAA">
      <w:start w:val="1"/>
      <w:numFmt w:val="decimal"/>
      <w:suff w:val="tab"/>
      <w:lvlText w:val="%1."/>
      <w:lvlJc w:val="left"/>
      <w:pPr/>
      <w:rPr/>
    </w:lvl>
  </w:abstractNum>
  <w:abstractNum w:abstractNumId="6">
    <w:nsid w:val="FFFFFF82"/>
    <w:multiLevelType w:val="hybridMultilevel"/>
    <w:lvl w:ilvl="0">
      <w:start w:val="1"/>
      <w:numFmt w:val="bullet"/>
      <w:pStyle w:val="P88"/>
      <w:suff w:val="tab"/>
      <w:lvlText w:val=""/>
      <w:lvlJc w:val="left"/>
      <w:pPr>
        <w:ind w:hanging="360" w:left="926"/>
        <w:tabs>
          <w:tab w:val="num" w:pos="926" w:leader="none"/>
        </w:tabs>
      </w:pPr>
      <w:rPr>
        <w:rFonts w:ascii="Symbol" w:hAnsi="Symbol" w:hint="default"/>
      </w:rPr>
    </w:lvl>
    <w:lvl w:ilvl="1" w:tplc="1748E4E2">
      <w:start w:val="1"/>
      <w:numFmt w:val="decimal"/>
      <w:suff w:val="tab"/>
      <w:lvlText w:val="%1."/>
      <w:lvlJc w:val="left"/>
      <w:pPr/>
      <w:rPr/>
    </w:lvl>
    <w:lvl w:ilvl="2" w:tplc="7E2BEA66">
      <w:start w:val="1"/>
      <w:numFmt w:val="decimal"/>
      <w:suff w:val="tab"/>
      <w:lvlText w:val="%1."/>
      <w:lvlJc w:val="left"/>
      <w:pPr/>
      <w:rPr/>
    </w:lvl>
    <w:lvl w:ilvl="3" w:tplc="730A64FB">
      <w:start w:val="1"/>
      <w:numFmt w:val="decimal"/>
      <w:suff w:val="tab"/>
      <w:lvlText w:val="%1."/>
      <w:lvlJc w:val="left"/>
      <w:pPr/>
      <w:rPr/>
    </w:lvl>
    <w:lvl w:ilvl="4" w:tplc="661C939D">
      <w:start w:val="1"/>
      <w:numFmt w:val="decimal"/>
      <w:suff w:val="tab"/>
      <w:lvlText w:val="%1."/>
      <w:lvlJc w:val="left"/>
      <w:pPr/>
      <w:rPr/>
    </w:lvl>
    <w:lvl w:ilvl="5" w:tplc="4C1600B4">
      <w:start w:val="1"/>
      <w:numFmt w:val="decimal"/>
      <w:suff w:val="tab"/>
      <w:lvlText w:val="%1."/>
      <w:lvlJc w:val="left"/>
      <w:pPr/>
      <w:rPr/>
    </w:lvl>
    <w:lvl w:ilvl="6" w:tplc="0592FF6D">
      <w:start w:val="1"/>
      <w:numFmt w:val="decimal"/>
      <w:suff w:val="tab"/>
      <w:lvlText w:val="%1."/>
      <w:lvlJc w:val="left"/>
      <w:pPr/>
      <w:rPr/>
    </w:lvl>
    <w:lvl w:ilvl="7" w:tplc="2A52351A">
      <w:start w:val="1"/>
      <w:numFmt w:val="decimal"/>
      <w:suff w:val="tab"/>
      <w:lvlText w:val="%1."/>
      <w:lvlJc w:val="left"/>
      <w:pPr/>
      <w:rPr/>
    </w:lvl>
    <w:lvl w:ilvl="8" w:tplc="2F6DFE3B">
      <w:start w:val="1"/>
      <w:numFmt w:val="decimal"/>
      <w:suff w:val="tab"/>
      <w:lvlText w:val="%1."/>
      <w:lvlJc w:val="left"/>
      <w:pPr/>
      <w:rPr/>
    </w:lvl>
  </w:abstractNum>
  <w:abstractNum w:abstractNumId="7">
    <w:nsid w:val="FFFFFF83"/>
    <w:multiLevelType w:val="hybridMultilevel"/>
    <w:lvl w:ilvl="0">
      <w:start w:val="1"/>
      <w:numFmt w:val="bullet"/>
      <w:pStyle w:val="P87"/>
      <w:suff w:val="tab"/>
      <w:lvlText w:val=""/>
      <w:lvlJc w:val="left"/>
      <w:pPr>
        <w:ind w:hanging="360" w:left="643"/>
        <w:tabs>
          <w:tab w:val="num" w:pos="643" w:leader="none"/>
        </w:tabs>
      </w:pPr>
      <w:rPr>
        <w:rFonts w:ascii="Symbol" w:hAnsi="Symbol" w:hint="default"/>
      </w:rPr>
    </w:lvl>
    <w:lvl w:ilvl="1" w:tplc="0E8B667D">
      <w:start w:val="1"/>
      <w:numFmt w:val="decimal"/>
      <w:suff w:val="tab"/>
      <w:lvlText w:val="%1."/>
      <w:lvlJc w:val="left"/>
      <w:pPr/>
      <w:rPr/>
    </w:lvl>
    <w:lvl w:ilvl="2" w:tplc="0D24C13F">
      <w:start w:val="1"/>
      <w:numFmt w:val="decimal"/>
      <w:suff w:val="tab"/>
      <w:lvlText w:val="%1."/>
      <w:lvlJc w:val="left"/>
      <w:pPr/>
      <w:rPr/>
    </w:lvl>
    <w:lvl w:ilvl="3" w:tplc="19573D2B">
      <w:start w:val="1"/>
      <w:numFmt w:val="decimal"/>
      <w:suff w:val="tab"/>
      <w:lvlText w:val="%1."/>
      <w:lvlJc w:val="left"/>
      <w:pPr/>
      <w:rPr/>
    </w:lvl>
    <w:lvl w:ilvl="4" w:tplc="4114225F">
      <w:start w:val="1"/>
      <w:numFmt w:val="decimal"/>
      <w:suff w:val="tab"/>
      <w:lvlText w:val="%1."/>
      <w:lvlJc w:val="left"/>
      <w:pPr/>
      <w:rPr/>
    </w:lvl>
    <w:lvl w:ilvl="5" w:tplc="23450EFB">
      <w:start w:val="1"/>
      <w:numFmt w:val="decimal"/>
      <w:suff w:val="tab"/>
      <w:lvlText w:val="%1."/>
      <w:lvlJc w:val="left"/>
      <w:pPr/>
      <w:rPr/>
    </w:lvl>
    <w:lvl w:ilvl="6" w:tplc="6DC3CD79">
      <w:start w:val="1"/>
      <w:numFmt w:val="decimal"/>
      <w:suff w:val="tab"/>
      <w:lvlText w:val="%1."/>
      <w:lvlJc w:val="left"/>
      <w:pPr/>
      <w:rPr/>
    </w:lvl>
    <w:lvl w:ilvl="7" w:tplc="3461728B">
      <w:start w:val="1"/>
      <w:numFmt w:val="decimal"/>
      <w:suff w:val="tab"/>
      <w:lvlText w:val="%1."/>
      <w:lvlJc w:val="left"/>
      <w:pPr/>
      <w:rPr/>
    </w:lvl>
    <w:lvl w:ilvl="8" w:tplc="1344D09A">
      <w:start w:val="1"/>
      <w:numFmt w:val="decimal"/>
      <w:suff w:val="tab"/>
      <w:lvlText w:val="%1."/>
      <w:lvlJc w:val="left"/>
      <w:pPr/>
      <w:rPr/>
    </w:lvl>
  </w:abstractNum>
  <w:abstractNum w:abstractNumId="8">
    <w:nsid w:val="FFFFFF88"/>
    <w:multiLevelType w:val="hybridMultilevel"/>
    <w:lvl w:ilvl="0">
      <w:start w:val="1"/>
      <w:numFmt w:val="decimal"/>
      <w:pStyle w:val="P80"/>
      <w:suff w:val="tab"/>
      <w:lvlText w:val="%1."/>
      <w:lvlJc w:val="left"/>
      <w:pPr>
        <w:ind w:hanging="360" w:left="360"/>
        <w:tabs>
          <w:tab w:val="num" w:pos="360" w:leader="none"/>
        </w:tabs>
      </w:pPr>
      <w:rPr/>
    </w:lvl>
    <w:lvl w:ilvl="1" w:tplc="4FE33FB7">
      <w:start w:val="1"/>
      <w:numFmt w:val="decimal"/>
      <w:suff w:val="tab"/>
      <w:lvlText w:val="%1."/>
      <w:lvlJc w:val="left"/>
      <w:pPr/>
      <w:rPr/>
    </w:lvl>
    <w:lvl w:ilvl="2" w:tplc="557F62F6">
      <w:start w:val="1"/>
      <w:numFmt w:val="decimal"/>
      <w:suff w:val="tab"/>
      <w:lvlText w:val="%1."/>
      <w:lvlJc w:val="left"/>
      <w:pPr/>
      <w:rPr/>
    </w:lvl>
    <w:lvl w:ilvl="3" w:tplc="226AD354">
      <w:start w:val="1"/>
      <w:numFmt w:val="decimal"/>
      <w:suff w:val="tab"/>
      <w:lvlText w:val="%1."/>
      <w:lvlJc w:val="left"/>
      <w:pPr/>
      <w:rPr/>
    </w:lvl>
    <w:lvl w:ilvl="4" w:tplc="0DC24F46">
      <w:start w:val="1"/>
      <w:numFmt w:val="decimal"/>
      <w:suff w:val="tab"/>
      <w:lvlText w:val="%1."/>
      <w:lvlJc w:val="left"/>
      <w:pPr/>
      <w:rPr/>
    </w:lvl>
    <w:lvl w:ilvl="5" w:tplc="4A13A8CB">
      <w:start w:val="1"/>
      <w:numFmt w:val="decimal"/>
      <w:suff w:val="tab"/>
      <w:lvlText w:val="%1."/>
      <w:lvlJc w:val="left"/>
      <w:pPr/>
      <w:rPr/>
    </w:lvl>
    <w:lvl w:ilvl="6" w:tplc="5785F010">
      <w:start w:val="1"/>
      <w:numFmt w:val="decimal"/>
      <w:suff w:val="tab"/>
      <w:lvlText w:val="%1."/>
      <w:lvlJc w:val="left"/>
      <w:pPr/>
      <w:rPr/>
    </w:lvl>
    <w:lvl w:ilvl="7" w:tplc="703446C4">
      <w:start w:val="1"/>
      <w:numFmt w:val="decimal"/>
      <w:suff w:val="tab"/>
      <w:lvlText w:val="%1."/>
      <w:lvlJc w:val="left"/>
      <w:pPr/>
      <w:rPr/>
    </w:lvl>
    <w:lvl w:ilvl="8" w:tplc="1594EE8E">
      <w:start w:val="1"/>
      <w:numFmt w:val="decimal"/>
      <w:suff w:val="tab"/>
      <w:lvlText w:val="%1."/>
      <w:lvlJc w:val="left"/>
      <w:pPr/>
      <w:rPr/>
    </w:lvl>
  </w:abstractNum>
  <w:abstractNum w:abstractNumId="9">
    <w:nsid w:val="FFFFFF89"/>
    <w:multiLevelType w:val="hybridMultilevel"/>
    <w:lvl w:ilvl="0">
      <w:start w:val="1"/>
      <w:numFmt w:val="bullet"/>
      <w:pStyle w:val="P86"/>
      <w:suff w:val="tab"/>
      <w:lvlText w:val=""/>
      <w:lvlJc w:val="left"/>
      <w:pPr>
        <w:ind w:hanging="360" w:left="360"/>
        <w:tabs>
          <w:tab w:val="num" w:pos="360" w:leader="none"/>
        </w:tabs>
      </w:pPr>
      <w:rPr>
        <w:rFonts w:ascii="Symbol" w:hAnsi="Symbol" w:hint="default"/>
      </w:rPr>
    </w:lvl>
    <w:lvl w:ilvl="1" w:tplc="3D94F4A6">
      <w:start w:val="1"/>
      <w:numFmt w:val="decimal"/>
      <w:suff w:val="tab"/>
      <w:lvlText w:val="%1."/>
      <w:lvlJc w:val="left"/>
      <w:pPr/>
      <w:rPr/>
    </w:lvl>
    <w:lvl w:ilvl="2" w:tplc="69568036">
      <w:start w:val="1"/>
      <w:numFmt w:val="decimal"/>
      <w:suff w:val="tab"/>
      <w:lvlText w:val="%1."/>
      <w:lvlJc w:val="left"/>
      <w:pPr/>
      <w:rPr/>
    </w:lvl>
    <w:lvl w:ilvl="3" w:tplc="7F58E91F">
      <w:start w:val="1"/>
      <w:numFmt w:val="decimal"/>
      <w:suff w:val="tab"/>
      <w:lvlText w:val="%1."/>
      <w:lvlJc w:val="left"/>
      <w:pPr/>
      <w:rPr/>
    </w:lvl>
    <w:lvl w:ilvl="4" w:tplc="4F7E7186">
      <w:start w:val="1"/>
      <w:numFmt w:val="decimal"/>
      <w:suff w:val="tab"/>
      <w:lvlText w:val="%1."/>
      <w:lvlJc w:val="left"/>
      <w:pPr/>
      <w:rPr/>
    </w:lvl>
    <w:lvl w:ilvl="5" w:tplc="33DD2D91">
      <w:start w:val="1"/>
      <w:numFmt w:val="decimal"/>
      <w:suff w:val="tab"/>
      <w:lvlText w:val="%1."/>
      <w:lvlJc w:val="left"/>
      <w:pPr/>
      <w:rPr/>
    </w:lvl>
    <w:lvl w:ilvl="6" w:tplc="7C36728D">
      <w:start w:val="1"/>
      <w:numFmt w:val="decimal"/>
      <w:suff w:val="tab"/>
      <w:lvlText w:val="%1."/>
      <w:lvlJc w:val="left"/>
      <w:pPr/>
      <w:rPr/>
    </w:lvl>
    <w:lvl w:ilvl="7" w:tplc="53A2CE9E">
      <w:start w:val="1"/>
      <w:numFmt w:val="decimal"/>
      <w:suff w:val="tab"/>
      <w:lvlText w:val="%1."/>
      <w:lvlJc w:val="left"/>
      <w:pPr/>
      <w:rPr/>
    </w:lvl>
    <w:lvl w:ilvl="8" w:tplc="18E0D90D">
      <w:start w:val="1"/>
      <w:numFmt w:val="decimal"/>
      <w:suff w:val="tab"/>
      <w:lvlText w:val="%1."/>
      <w:lvlJc w:val="left"/>
      <w:pPr/>
      <w:rPr/>
    </w:lvl>
  </w:abstractNum>
  <w:abstractNum w:abstractNumId="10">
    <w:nsid w:val="074501ED"/>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11">
    <w:nsid w:val="158840D2"/>
    <w:multiLevelType w:val="hybridMultilevel"/>
    <w:lvl w:ilvl="0" w:tplc="D33AD372">
      <w:start w:val="1"/>
      <w:numFmt w:val="decimal"/>
      <w:suff w:val="tab"/>
      <w:lvlText w:val="%1."/>
      <w:lvlJc w:val="left"/>
      <w:pPr>
        <w:ind w:hanging="360" w:left="720"/>
      </w:pPr>
      <w:rPr>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2">
    <w:nsid w:val="16BC58C3"/>
    <w:multiLevelType w:val="hybridMultilevel"/>
    <w:lvl w:ilvl="0" w:tplc="79C63E36">
      <w:start w:val="1"/>
      <w:numFmt w:val="decimal"/>
      <w:suff w:val="tab"/>
      <w:lvlText w:val="%1.1."/>
      <w:lvlJc w:val="left"/>
      <w:pPr>
        <w:ind w:hanging="360" w:left="720"/>
      </w:pPr>
      <w:rPr>
        <w:rFonts w:hint="default"/>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3">
    <w:nsid w:val="21ED3862"/>
    <w:multiLevelType w:val="hybridMultilevel"/>
    <w:lvl w:ilvl="0" w:tplc="9544D9E2">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4">
    <w:nsid w:val="36F215FA"/>
    <w:multiLevelType w:val="hybridMultilevel"/>
    <w:lvl w:ilvl="0" w:tplc="041D000F">
      <w:start w:val="1"/>
      <w:numFmt w:val="decimal"/>
      <w:suff w:val="tab"/>
      <w:lvlText w:val="%1."/>
      <w:lvlJc w:val="left"/>
      <w:pPr>
        <w:ind w:hanging="360" w:left="720"/>
      </w:pPr>
      <w:rPr>
        <w:rFonts w:hint="default"/>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5">
    <w:nsid w:val="37783229"/>
    <w:multiLevelType w:val="hybridMultilevel"/>
    <w:lvl w:ilvl="0" w:tplc="041D0017">
      <w:start w:val="1"/>
      <w:numFmt w:val="lowerLetter"/>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6">
    <w:nsid w:val="39344E66"/>
    <w:multiLevelType w:val="hybridMultilevel"/>
    <w:lvl w:ilvl="0" w:tplc="CF9E7C7A">
      <w:start w:val="0"/>
      <w:numFmt w:val="bullet"/>
      <w:suff w:val="tab"/>
      <w:lvlText w:val="-"/>
      <w:lvlJc w:val="left"/>
      <w:pPr>
        <w:ind w:hanging="360" w:left="720"/>
      </w:pPr>
      <w:rPr>
        <w:rFonts w:ascii="Garamond" w:hAnsi="Garamond"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3A6445BF"/>
    <w:multiLevelType w:val="multilevel"/>
    <w:tmpl w:val="0409001D"/>
    <w:styleLink w:val="N1"/>
    <w:lvl w:ilvl="0">
      <w:start w:val="1"/>
      <w:numFmt w:val="bullet"/>
      <w:suff w:val="tab"/>
      <w:lvlText w:val=""/>
      <w:lvlJc w:val="left"/>
      <w:pPr>
        <w:ind w:hanging="360" w:left="360"/>
      </w:pPr>
      <w:rPr>
        <w:rFonts w:ascii="Symbol" w:hAnsi="Symbol" w:hint="default"/>
        <w:sz w:val="24"/>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8">
    <w:nsid w:val="3C5F3CDD"/>
    <w:multiLevelType w:val="hybridMultilevel"/>
    <w:lvl w:ilvl="0" w:tplc="EFEE085E">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9">
    <w:nsid w:val="484964D3"/>
    <w:multiLevelType w:val="hybridMultilevel"/>
    <w:lvl w:ilvl="0" w:tplc="8D3EE6D0">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20">
    <w:nsid w:val="4BB51638"/>
    <w:multiLevelType w:val="multilevel"/>
    <w:lvl w:ilvl="0">
      <w:start w:val="1"/>
      <w:numFmt w:val="decimal"/>
      <w:pStyle w:val="P100"/>
      <w:suff w:val="tab"/>
      <w:lvlText w:val="%1"/>
      <w:lvlJc w:val="left"/>
      <w:pPr>
        <w:ind w:hanging="432" w:left="432"/>
      </w:pPr>
      <w:rPr>
        <w:rFonts w:hint="default"/>
      </w:rPr>
    </w:lvl>
    <w:lvl w:ilvl="1">
      <w:start w:val="1"/>
      <w:numFmt w:val="decimal"/>
      <w:pStyle w:val="P101"/>
      <w:suff w:val="space"/>
      <w:lvlText w:val="%1.%2"/>
      <w:lvlJc w:val="left"/>
      <w:pPr>
        <w:ind w:hanging="463" w:left="576"/>
      </w:pPr>
      <w:rPr>
        <w:rFonts w:hint="default"/>
      </w:rPr>
    </w:lvl>
    <w:lvl w:ilvl="2">
      <w:start w:val="1"/>
      <w:numFmt w:val="decimal"/>
      <w:pStyle w:val="P102"/>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1">
    <w:nsid w:val="57E66DE0"/>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2">
    <w:nsid w:val="6D62116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3">
    <w:nsid w:val="715059CD"/>
    <w:multiLevelType w:val="multilevel"/>
    <w:tmpl w:val="0409001D"/>
    <w:numStyleLink w:val="N1"/>
  </w:abstractNum>
  <w:abstractNum w:abstractNumId="24">
    <w:nsid w:val="7427504E"/>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25">
    <w:nsid w:val="76945CBD"/>
    <w:multiLevelType w:val="multilevel"/>
    <w:lvl w:ilvl="0">
      <w:start w:val="1"/>
      <w:numFmt w:val="decimal"/>
      <w:suff w:val="tab"/>
      <w:lvlText w:val="%1"/>
      <w:lvlJc w:val="left"/>
      <w:pPr>
        <w:ind w:hanging="432" w:left="432"/>
      </w:pPr>
      <w:rPr/>
    </w:lvl>
    <w:lvl w:ilvl="1">
      <w:start w:val="1"/>
      <w:numFmt w:val="decimal"/>
      <w:suff w:val="tab"/>
      <w:lvlText w:val="%1.%2"/>
      <w:lvlJc w:val="left"/>
      <w:pPr>
        <w:ind w:hanging="576" w:left="576"/>
      </w:pPr>
      <w:rPr/>
    </w:lvl>
    <w:lvl w:ilvl="2">
      <w:start w:val="1"/>
      <w:numFmt w:val="decimal"/>
      <w:suff w:val="tab"/>
      <w:lvlText w:val="%1.%2.%3"/>
      <w:lvlJc w:val="left"/>
      <w:pPr>
        <w:ind w:hanging="720" w:left="720"/>
      </w:pPr>
      <w:rPr/>
    </w:lvl>
    <w:lvl w:ilvl="3">
      <w:start w:val="1"/>
      <w:numFmt w:val="decimal"/>
      <w:suff w:val="tab"/>
      <w:lvlText w:val="%1.%2.%3.%4"/>
      <w:lvlJc w:val="left"/>
      <w:pPr>
        <w:ind w:hanging="864" w:left="864"/>
      </w:pPr>
      <w:rPr/>
    </w:lvl>
    <w:lvl w:ilvl="4">
      <w:start w:val="1"/>
      <w:numFmt w:val="decimal"/>
      <w:suff w:val="tab"/>
      <w:lvlText w:val="%1.%2.%3.%4.%5"/>
      <w:lvlJc w:val="left"/>
      <w:pPr>
        <w:ind w:hanging="1008" w:left="1008"/>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26">
    <w:nsid w:val="7E9855C3"/>
    <w:multiLevelType w:val="hybridMultilevel"/>
    <w:lvl w:ilvl="0" w:tplc="140427D4">
      <w:start w:val="1"/>
      <w:numFmt w:val="decimal"/>
      <w:suff w:val="tab"/>
      <w:lvlText w:val="%1."/>
      <w:lvlJc w:val="left"/>
      <w:pPr>
        <w:ind w:hanging="360" w:left="1080"/>
      </w:pPr>
      <w:rPr>
        <w:rFonts w:hint="default"/>
      </w:rPr>
    </w:lvl>
    <w:lvl w:ilvl="1" w:tplc="041D0019">
      <w:start w:val="1"/>
      <w:numFmt w:val="lowerLetter"/>
      <w:suff w:val="tab"/>
      <w:lvlText w:val="%2."/>
      <w:lvlJc w:val="left"/>
      <w:pPr>
        <w:ind w:hanging="360" w:left="1800"/>
      </w:pPr>
      <w:rPr/>
    </w:lvl>
    <w:lvl w:ilvl="2" w:tplc="041D001B">
      <w:start w:val="1"/>
      <w:numFmt w:val="lowerRoman"/>
      <w:suff w:val="tab"/>
      <w:lvlText w:val="%3."/>
      <w:lvlJc w:val="right"/>
      <w:pPr>
        <w:ind w:hanging="180" w:left="2520"/>
      </w:pPr>
      <w:rPr/>
    </w:lvl>
    <w:lvl w:ilvl="3" w:tplc="041D000F">
      <w:start w:val="1"/>
      <w:numFmt w:val="decimal"/>
      <w:suff w:val="tab"/>
      <w:lvlText w:val="%4."/>
      <w:lvlJc w:val="left"/>
      <w:pPr>
        <w:ind w:hanging="360" w:left="3240"/>
      </w:pPr>
      <w:rPr/>
    </w:lvl>
    <w:lvl w:ilvl="4" w:tplc="041D0019">
      <w:start w:val="1"/>
      <w:numFmt w:val="lowerLetter"/>
      <w:suff w:val="tab"/>
      <w:lvlText w:val="%5."/>
      <w:lvlJc w:val="left"/>
      <w:pPr>
        <w:ind w:hanging="360" w:left="3960"/>
      </w:pPr>
      <w:rPr/>
    </w:lvl>
    <w:lvl w:ilvl="5" w:tplc="041D001B">
      <w:start w:val="1"/>
      <w:numFmt w:val="lowerRoman"/>
      <w:suff w:val="tab"/>
      <w:lvlText w:val="%6."/>
      <w:lvlJc w:val="right"/>
      <w:pPr>
        <w:ind w:hanging="180" w:left="4680"/>
      </w:pPr>
      <w:rPr/>
    </w:lvl>
    <w:lvl w:ilvl="6" w:tplc="041D000F">
      <w:start w:val="1"/>
      <w:numFmt w:val="decimal"/>
      <w:suff w:val="tab"/>
      <w:lvlText w:val="%7."/>
      <w:lvlJc w:val="left"/>
      <w:pPr>
        <w:ind w:hanging="360" w:left="5400"/>
      </w:pPr>
      <w:rPr/>
    </w:lvl>
    <w:lvl w:ilvl="7" w:tplc="041D0019">
      <w:start w:val="1"/>
      <w:numFmt w:val="lowerLetter"/>
      <w:suff w:val="tab"/>
      <w:lvlText w:val="%8."/>
      <w:lvlJc w:val="left"/>
      <w:pPr>
        <w:ind w:hanging="360" w:left="6120"/>
      </w:pPr>
      <w:rPr/>
    </w:lvl>
    <w:lvl w:ilvl="8" w:tplc="041D001B">
      <w:start w:val="1"/>
      <w:numFmt w:val="lowerRoman"/>
      <w:suff w:val="tab"/>
      <w:lvlText w:val="%9."/>
      <w:lvlJc w:val="right"/>
      <w:pPr>
        <w:ind w:hanging="180" w:left="6840"/>
      </w:pPr>
      <w:rPr/>
    </w:lvl>
  </w:abstractNum>
  <w:abstractNum w:abstractNumId="27">
    <w:nsid w:val="7F8443F3"/>
    <w:multiLevelType w:val="multilevel"/>
    <w:lvl w:ilvl="0">
      <w:start w:val="1"/>
      <w:numFmt w:val="decimal"/>
      <w:suff w:val="tab"/>
      <w:lvlText w:val="%1."/>
      <w:lvlJc w:val="left"/>
      <w:pPr>
        <w:ind w:hanging="360" w:left="720"/>
      </w:pPr>
      <w:rPr/>
    </w:lvl>
    <w:lvl w:ilvl="1">
      <w:start w:val="1"/>
      <w:numFmt w:val="lowerLetter"/>
      <w:suff w:val="tab"/>
      <w:lvlText w:val="%2."/>
      <w:lvlJc w:val="left"/>
      <w:pPr>
        <w:ind w:hanging="360" w:left="1440"/>
      </w:pPr>
      <w:rPr/>
    </w:lvl>
    <w:lvl w:ilvl="2">
      <w:start w:val="1"/>
      <w:numFmt w:val="lowerRoman"/>
      <w:suff w:val="tab"/>
      <w:lvlText w:val="%3."/>
      <w:lvlJc w:val="right"/>
      <w:pPr>
        <w:ind w:hanging="180" w:left="2160"/>
      </w:pPr>
      <w:rPr/>
    </w:lvl>
    <w:lvl w:ilvl="3">
      <w:start w:val="1"/>
      <w:numFmt w:val="decimal"/>
      <w:suff w:val="tab"/>
      <w:lvlText w:val="%4."/>
      <w:lvlJc w:val="left"/>
      <w:pPr>
        <w:ind w:hanging="360" w:left="2880"/>
      </w:pPr>
      <w:rPr/>
    </w:lvl>
    <w:lvl w:ilvl="4">
      <w:start w:val="1"/>
      <w:numFmt w:val="lowerLetter"/>
      <w:suff w:val="tab"/>
      <w:lvlText w:val="%5."/>
      <w:lvlJc w:val="left"/>
      <w:pPr>
        <w:ind w:hanging="360" w:left="3600"/>
      </w:pPr>
      <w:rPr/>
    </w:lvl>
    <w:lvl w:ilvl="5">
      <w:start w:val="1"/>
      <w:numFmt w:val="lowerRoman"/>
      <w:suff w:val="tab"/>
      <w:lvlText w:val="%6."/>
      <w:lvlJc w:val="right"/>
      <w:pPr>
        <w:ind w:hanging="180" w:left="4320"/>
      </w:pPr>
      <w:rPr/>
    </w:lvl>
    <w:lvl w:ilvl="6">
      <w:start w:val="1"/>
      <w:numFmt w:val="decimal"/>
      <w:suff w:val="tab"/>
      <w:lvlText w:val="%7."/>
      <w:lvlJc w:val="left"/>
      <w:pPr>
        <w:ind w:hanging="360" w:left="5040"/>
      </w:pPr>
      <w:rPr/>
    </w:lvl>
    <w:lvl w:ilvl="7">
      <w:start w:val="1"/>
      <w:numFmt w:val="lowerLetter"/>
      <w:suff w:val="tab"/>
      <w:lvlText w:val="%8."/>
      <w:lvlJc w:val="left"/>
      <w:pPr>
        <w:ind w:hanging="360" w:left="5760"/>
      </w:pPr>
      <w:rPr/>
    </w:lvl>
    <w:lvl w:ilvl="8">
      <w:start w:val="1"/>
      <w:numFmt w:val="lowerRoman"/>
      <w:suff w:val="tab"/>
      <w:lvlText w:val="%9."/>
      <w:lvlJc w:val="right"/>
      <w:pPr>
        <w:ind w:hanging="180" w:left="6480"/>
      </w:pPr>
      <w:rPr/>
    </w:lvl>
  </w:abstractNum>
  <w:num w:numId="1">
    <w:abstractNumId w:val="22"/>
  </w:num>
  <w:num w:numId="2">
    <w:abstractNumId w:val="17"/>
  </w:num>
  <w:num w:numId="3">
    <w:abstractNumId w:val="2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10"/>
  </w:num>
  <w:num w:numId="16">
    <w:abstractNumId w:val="11"/>
  </w:num>
  <w:num w:numId="17">
    <w:abstractNumId w:val="19"/>
  </w:num>
  <w:num w:numId="18">
    <w:abstractNumId w:val="11"/>
  </w:num>
  <w:num w:numId="19">
    <w:abstractNumId w:val="11"/>
  </w:num>
  <w:num w:numId="20">
    <w:abstractNumId w:val="11"/>
    <w:lvlOverride w:ilvl="0">
      <w:startOverride w:val="1"/>
    </w:lvlOverride>
  </w:num>
  <w:num w:numId="21">
    <w:abstractNumId w:val="13"/>
  </w:num>
  <w:num w:numId="22">
    <w:abstractNumId w:val="11"/>
    <w:lvlOverride w:ilvl="0">
      <w:startOverride w:val="1"/>
    </w:lvlOverride>
  </w:num>
  <w:num w:numId="23">
    <w:abstractNumId w:val="11"/>
    <w:lvlOverride w:ilvl="0">
      <w:startOverride w:val="1"/>
    </w:lvlOverride>
  </w:num>
  <w:num w:numId="24">
    <w:abstractNumId w:val="18"/>
  </w:num>
  <w:num w:numId="25">
    <w:abstractNumId w:val="27"/>
  </w:num>
  <w:num w:numId="26">
    <w:abstractNumId w:val="12"/>
  </w:num>
  <w:num w:numId="27">
    <w:abstractNumId w:val="14"/>
  </w:num>
  <w:num w:numId="28">
    <w:abstractNumId w:val="20"/>
  </w:num>
  <w:num w:numId="29">
    <w:abstractNumId w:val="24"/>
  </w:num>
  <w:num w:numId="30">
    <w:abstractNumId w:val="25"/>
  </w:num>
  <w:num w:numId="31">
    <w:abstractNumId w:val="21"/>
  </w:num>
  <w:num w:numId="32">
    <w:abstractNumId w:val="21"/>
  </w:num>
  <w:num w:numId="33">
    <w:abstractNumId w:val="21"/>
  </w:num>
  <w:num w:numId="34">
    <w:abstractNumId w:val="21"/>
  </w:num>
  <w:num w:numId="35">
    <w:abstractNumId w:val="21"/>
  </w:num>
  <w:num w:numId="36">
    <w:abstractNumId w:val="21"/>
  </w:num>
  <w:num w:numId="37">
    <w:abstractNumId w:val="21"/>
  </w:num>
  <w:num w:numId="38">
    <w:abstractNumId w:val="15"/>
  </w:num>
  <w:num w:numId="39">
    <w:abstractNumId w:val="26"/>
  </w:num>
  <w:num w:numId="40">
    <w:abstractNumId w:val="21"/>
  </w:num>
  <w:num w:numId="41">
    <w:abstractNumId w:val="21"/>
  </w:num>
  <w:num w:numId="42">
    <w:abstractNumId w:val="2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aliases w:val="Brödtexter"/>
    <w:qFormat/>
    <w:pPr>
      <w:spacing w:lineRule="exact" w:line="300" w:beforeAutospacing="0" w:afterAutospacing="0"/>
    </w:pPr>
    <w:rPr>
      <w:rFonts w:ascii="Garamond" w:hAnsi="Garamond"/>
      <w:sz w:val="24"/>
    </w:rPr>
  </w:style>
  <w:style w:type="paragraph" w:styleId="P1">
    <w:name w:val="Heading 1"/>
    <w:next w:val="P2"/>
    <w:link w:val="C3"/>
    <w:qFormat/>
    <w:pPr>
      <w:keepNext w:val="1"/>
      <w:keepLines w:val="1"/>
      <w:numPr>
        <w:numId w:val="31"/>
      </w:numPr>
      <w:spacing w:before="40" w:after="200" w:beforeAutospacing="0" w:afterAutospacing="0"/>
      <w:ind w:hanging="431" w:left="431"/>
      <w:outlineLvl w:val="0"/>
    </w:pPr>
    <w:rPr>
      <w:rFonts w:ascii="Barlow Semi Condensed SemiBold" w:hAnsi="Barlow Semi Condensed SemiBold" w:cstheme="majorBidi" w:eastAsia="Arial"/>
      <w:caps w:val="1"/>
      <w:noProof w:val="1"/>
      <w:sz w:val="44"/>
      <w:szCs w:val="32"/>
      <w:lang w:eastAsia="sv-SE"/>
    </w:rPr>
  </w:style>
  <w:style w:type="paragraph" w:styleId="P2">
    <w:name w:val="Heading 2"/>
    <w:basedOn w:val="P0"/>
    <w:next w:val="P3"/>
    <w:link w:val="C4"/>
    <w:qFormat/>
    <w:pPr>
      <w:keepNext w:val="1"/>
      <w:keepLines w:val="1"/>
      <w:numPr>
        <w:ilvl w:val="1"/>
        <w:numId w:val="31"/>
      </w:numPr>
      <w:spacing w:lineRule="auto" w:line="240" w:before="40" w:after="80" w:beforeAutospacing="0" w:afterAutospacing="0"/>
      <w:ind w:hanging="635" w:left="635"/>
      <w:outlineLvl w:val="1"/>
    </w:pPr>
    <w:rPr>
      <w:rFonts w:asciiTheme="majorHAnsi" w:hAnsiTheme="majorHAnsi" w:cstheme="majorBidi" w:eastAsia="Arial"/>
      <w:caps w:val="1"/>
      <w:noProof w:val="1"/>
      <w:sz w:val="36"/>
      <w:szCs w:val="28"/>
      <w:lang w:eastAsia="sv-SE"/>
    </w:rPr>
  </w:style>
  <w:style w:type="paragraph" w:styleId="P3">
    <w:name w:val="Heading 3"/>
    <w:basedOn w:val="P0"/>
    <w:next w:val="P4"/>
    <w:link w:val="C5"/>
    <w:qFormat/>
    <w:pPr>
      <w:keepNext w:val="1"/>
      <w:keepLines w:val="1"/>
      <w:numPr>
        <w:ilvl w:val="2"/>
        <w:numId w:val="31"/>
      </w:numPr>
      <w:spacing w:lineRule="auto" w:line="240" w:before="40" w:after="80" w:beforeAutospacing="0" w:afterAutospacing="0"/>
      <w:outlineLvl w:val="2"/>
    </w:pPr>
    <w:rPr>
      <w:rFonts w:ascii="Barlow Semi Condensed" w:hAnsi="Barlow Semi Condensed" w:cstheme="majorBidi" w:eastAsia="Arial"/>
      <w:b w:val="1"/>
      <w:caps w:val="1"/>
      <w:noProof w:val="1"/>
      <w:sz w:val="28"/>
      <w:szCs w:val="24"/>
      <w:lang w:eastAsia="sv-SE"/>
    </w:rPr>
  </w:style>
  <w:style w:type="paragraph" w:styleId="P4">
    <w:name w:val="Heading 4"/>
    <w:basedOn w:val="P0"/>
    <w:next w:val="P0"/>
    <w:link w:val="C6"/>
    <w:qFormat/>
    <w:pPr>
      <w:keepNext w:val="1"/>
      <w:keepLines w:val="1"/>
      <w:numPr>
        <w:ilvl w:val="3"/>
        <w:numId w:val="31"/>
      </w:numPr>
      <w:spacing w:before="40" w:after="80" w:beforeAutospacing="0" w:afterAutospacing="0"/>
      <w:outlineLvl w:val="3"/>
    </w:pPr>
    <w:rPr>
      <w:rFonts w:ascii="Barlow Semi Condensed" w:hAnsi="Barlow Semi Condensed" w:cstheme="majorBidi" w:eastAsiaTheme="majorEastAsia"/>
      <w:b w:val="1"/>
      <w:iCs w:val="1"/>
      <w:caps w:val="1"/>
    </w:rPr>
  </w:style>
  <w:style w:type="paragraph" w:styleId="P5">
    <w:name w:val="Heading 5"/>
    <w:basedOn w:val="P0"/>
    <w:next w:val="P0"/>
    <w:link w:val="C37"/>
    <w:qFormat/>
    <w:pPr>
      <w:keepNext w:val="1"/>
      <w:keepLines w:val="1"/>
      <w:numPr>
        <w:ilvl w:val="4"/>
        <w:numId w:val="31"/>
      </w:numPr>
      <w:spacing w:before="40" w:beforeAutospacing="0" w:afterAutospacing="0"/>
      <w:outlineLvl w:val="4"/>
    </w:pPr>
    <w:rPr>
      <w:rFonts w:ascii="Barlow Semi Condensed" w:hAnsi="Barlow Semi Condensed" w:cstheme="majorBidi" w:eastAsiaTheme="majorEastAsia"/>
      <w:caps w:val="1"/>
      <w:color w:val="000000" w:themeColor="text1"/>
    </w:rPr>
  </w:style>
  <w:style w:type="paragraph" w:styleId="P6">
    <w:name w:val="Heading 6"/>
    <w:basedOn w:val="P0"/>
    <w:next w:val="P0"/>
    <w:link w:val="C38"/>
    <w:semiHidden/>
    <w:qFormat/>
    <w:pPr>
      <w:keepNext w:val="1"/>
      <w:keepLines w:val="1"/>
      <w:numPr>
        <w:ilvl w:val="5"/>
        <w:numId w:val="31"/>
      </w:numPr>
      <w:spacing w:before="40" w:beforeAutospacing="0" w:afterAutospacing="0"/>
      <w:outlineLvl w:val="5"/>
    </w:pPr>
    <w:rPr>
      <w:rFonts w:asciiTheme="majorHAnsi" w:hAnsiTheme="majorHAnsi" w:cstheme="majorBidi" w:eastAsiaTheme="majorEastAsia"/>
      <w:color w:val="003F51" w:themeColor="accent1" w:themeShade="7F"/>
    </w:rPr>
  </w:style>
  <w:style w:type="paragraph" w:styleId="P7">
    <w:name w:val="Heading 7"/>
    <w:basedOn w:val="P0"/>
    <w:next w:val="P0"/>
    <w:link w:val="C39"/>
    <w:semiHidden/>
    <w:qFormat/>
    <w:pPr>
      <w:keepNext w:val="1"/>
      <w:keepLines w:val="1"/>
      <w:numPr>
        <w:ilvl w:val="6"/>
        <w:numId w:val="31"/>
      </w:numPr>
      <w:spacing w:before="40" w:beforeAutospacing="0" w:afterAutospacing="0"/>
      <w:outlineLvl w:val="6"/>
    </w:pPr>
    <w:rPr>
      <w:rFonts w:asciiTheme="majorHAnsi" w:hAnsiTheme="majorHAnsi" w:cstheme="majorBidi" w:eastAsiaTheme="majorEastAsia"/>
      <w:i w:val="1"/>
      <w:iCs w:val="1"/>
      <w:color w:val="003F51" w:themeColor="accent1" w:themeShade="7F"/>
    </w:rPr>
  </w:style>
  <w:style w:type="paragraph" w:styleId="P8">
    <w:name w:val="Heading 8"/>
    <w:basedOn w:val="P0"/>
    <w:next w:val="P0"/>
    <w:link w:val="C40"/>
    <w:semiHidden/>
    <w:qFormat/>
    <w:pPr>
      <w:keepNext w:val="1"/>
      <w:keepLines w:val="1"/>
      <w:numPr>
        <w:ilvl w:val="7"/>
        <w:numId w:val="31"/>
      </w:numPr>
      <w:spacing w:before="4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41"/>
    <w:semiHidden/>
    <w:qFormat/>
    <w:pPr>
      <w:keepNext w:val="1"/>
      <w:keepLines w:val="1"/>
      <w:numPr>
        <w:ilvl w:val="8"/>
        <w:numId w:val="31"/>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No Spacing"/>
    <w:pPr/>
    <w:rPr/>
  </w:style>
  <w:style w:type="paragraph" w:styleId="P11">
    <w:name w:val="Quote"/>
    <w:aliases w:val="Bildtexter"/>
    <w:basedOn w:val="P0"/>
    <w:next w:val="P0"/>
    <w:link w:val="C7"/>
    <w:qFormat/>
    <w:pPr>
      <w:spacing w:before="100" w:after="200" w:beforeAutospacing="0" w:afterAutospacing="0"/>
      <w:jc w:val="center"/>
    </w:pPr>
    <w:rPr>
      <w:i w:val="1"/>
      <w:iCs w:val="1"/>
      <w:color w:val="404040" w:themeColor="text1" w:themeTint="BF"/>
    </w:rPr>
  </w:style>
  <w:style w:type="paragraph" w:styleId="P12">
    <w:name w:val="[Allmänt styckeformat]"/>
    <w:basedOn w:val="P0"/>
    <w:pPr>
      <w:spacing w:lineRule="auto" w:line="288" w:beforeAutospacing="0" w:afterAutospacing="0"/>
    </w:pPr>
    <w:rPr>
      <w:rFonts w:ascii="MinionPro-Regular" w:hAnsi="MinionPro-Regular" w:cs="MinionPro-Regular"/>
      <w:color w:val="000000"/>
      <w:szCs w:val="24"/>
    </w:rPr>
  </w:style>
  <w:style w:type="paragraph" w:styleId="P13">
    <w:name w:val="Header"/>
    <w:basedOn w:val="P0"/>
    <w:link w:val="C9"/>
    <w:pPr>
      <w:tabs>
        <w:tab w:val="center" w:pos="4536" w:leader="none"/>
        <w:tab w:val="right" w:pos="9072" w:leader="none"/>
      </w:tabs>
    </w:pPr>
    <w:rPr/>
  </w:style>
  <w:style w:type="paragraph" w:styleId="P14">
    <w:name w:val="Footer"/>
    <w:basedOn w:val="P0"/>
    <w:link w:val="C10"/>
    <w:pPr>
      <w:tabs>
        <w:tab w:val="center" w:pos="4536" w:leader="none"/>
        <w:tab w:val="right" w:pos="9072" w:leader="none"/>
      </w:tabs>
    </w:pPr>
    <w:rPr/>
  </w:style>
  <w:style w:type="paragraph" w:styleId="P15">
    <w:name w:val="Rubrik 4 MK"/>
    <w:basedOn w:val="P3"/>
    <w:link w:val="C11"/>
    <w:pPr/>
    <w:rPr>
      <w:rFonts w:ascii="Garamond" w:hAnsi="Garamond"/>
      <w:b w:val="0"/>
    </w:rPr>
  </w:style>
  <w:style w:type="paragraph" w:styleId="P16">
    <w:name w:val="List Paragraph"/>
    <w:basedOn w:val="P0"/>
    <w:pPr>
      <w:ind w:left="720"/>
      <w:contextualSpacing w:val="1"/>
    </w:pPr>
    <w:rPr/>
  </w:style>
  <w:style w:type="paragraph" w:styleId="P17">
    <w:name w:val="Balloon Text"/>
    <w:basedOn w:val="P0"/>
    <w:link w:val="C12"/>
    <w:semiHidden/>
    <w:pPr/>
    <w:rPr>
      <w:rFonts w:ascii="Segoe UI" w:hAnsi="Segoe UI" w:cs="Segoe UI"/>
      <w:sz w:val="18"/>
      <w:szCs w:val="18"/>
    </w:rPr>
  </w:style>
  <w:style w:type="paragraph" w:styleId="P18">
    <w:name w:val="Rubriknivå 4"/>
    <w:basedOn w:val="P11"/>
    <w:link w:val="C13"/>
    <w:pPr/>
    <w:rPr/>
  </w:style>
  <w:style w:type="paragraph" w:styleId="P19">
    <w:name w:val="Envelope Address"/>
    <w:basedOn w:val="P0"/>
    <w:semiHidden/>
    <w:pPr>
      <w:framePr w:w="7938" w:h="1984" w:hRule="exact" w:hSpace="141" w:wrap="auto" w:hAnchor="page" w:x="0" w:y="0"/>
      <w:spacing w:lineRule="auto" w:line="240" w:beforeAutospacing="0" w:afterAutospacing="0"/>
      <w:ind w:left="2880"/>
    </w:pPr>
    <w:rPr>
      <w:rFonts w:asciiTheme="majorHAnsi" w:hAnsiTheme="majorHAnsi" w:cstheme="majorBidi" w:eastAsiaTheme="majorEastAsia"/>
      <w:szCs w:val="24"/>
    </w:rPr>
  </w:style>
  <w:style w:type="paragraph" w:styleId="P20">
    <w:name w:val="Note Heading"/>
    <w:basedOn w:val="P0"/>
    <w:next w:val="P0"/>
    <w:link w:val="C14"/>
    <w:semiHidden/>
    <w:pPr>
      <w:spacing w:lineRule="auto" w:line="240" w:beforeAutospacing="0" w:afterAutospacing="0"/>
    </w:pPr>
    <w:rPr/>
  </w:style>
  <w:style w:type="paragraph" w:styleId="P21">
    <w:name w:val="Closing"/>
    <w:basedOn w:val="P0"/>
    <w:link w:val="C15"/>
    <w:semiHidden/>
    <w:pPr>
      <w:spacing w:lineRule="auto" w:line="240" w:beforeAutospacing="0" w:afterAutospacing="0"/>
      <w:ind w:left="4252"/>
    </w:pPr>
    <w:rPr/>
  </w:style>
  <w:style w:type="paragraph" w:styleId="P22">
    <w:name w:val="Envelope Return"/>
    <w:basedOn w:val="P0"/>
    <w:semiHidden/>
    <w:pPr>
      <w:spacing w:lineRule="auto" w:line="240" w:beforeAutospacing="0" w:afterAutospacing="0"/>
    </w:pPr>
    <w:rPr>
      <w:rFonts w:asciiTheme="majorHAnsi" w:hAnsiTheme="majorHAnsi" w:cstheme="majorBidi" w:eastAsiaTheme="majorEastAsia"/>
      <w:sz w:val="20"/>
      <w:szCs w:val="20"/>
    </w:rPr>
  </w:style>
  <w:style w:type="paragraph" w:styleId="P23">
    <w:name w:val="Caption"/>
    <w:basedOn w:val="P0"/>
    <w:next w:val="P0"/>
    <w:link w:val="C55"/>
    <w:qFormat/>
    <w:pPr>
      <w:spacing w:lineRule="auto" w:line="240" w:before="100" w:after="200" w:beforeAutospacing="0" w:afterAutospacing="0"/>
      <w:jc w:val="center"/>
    </w:pPr>
    <w:rPr>
      <w:i w:val="1"/>
      <w:iCs w:val="1"/>
      <w:color w:val="404040" w:themeColor="text1" w:themeTint="BF"/>
      <w:szCs w:val="18"/>
    </w:rPr>
  </w:style>
  <w:style w:type="paragraph" w:styleId="P24">
    <w:name w:val="Body Text"/>
    <w:basedOn w:val="P0"/>
    <w:link w:val="C16"/>
    <w:semiHidden/>
    <w:pPr>
      <w:spacing w:after="120" w:beforeAutospacing="0" w:afterAutospacing="0"/>
    </w:pPr>
    <w:rPr/>
  </w:style>
  <w:style w:type="paragraph" w:styleId="P25">
    <w:name w:val="Body Text 2"/>
    <w:basedOn w:val="P0"/>
    <w:link w:val="C17"/>
    <w:semiHidden/>
    <w:pPr>
      <w:spacing w:lineRule="auto" w:line="480" w:after="120" w:beforeAutospacing="0" w:afterAutospacing="0"/>
    </w:pPr>
    <w:rPr/>
  </w:style>
  <w:style w:type="paragraph" w:styleId="P26">
    <w:name w:val="Body Text 3"/>
    <w:basedOn w:val="P0"/>
    <w:link w:val="C18"/>
    <w:semiHidden/>
    <w:pPr>
      <w:spacing w:after="120" w:beforeAutospacing="0" w:afterAutospacing="0"/>
    </w:pPr>
    <w:rPr>
      <w:sz w:val="16"/>
      <w:szCs w:val="16"/>
    </w:rPr>
  </w:style>
  <w:style w:type="paragraph" w:styleId="P27">
    <w:name w:val="Body Text First Indent"/>
    <w:basedOn w:val="P24"/>
    <w:link w:val="C19"/>
    <w:semiHidden/>
    <w:pPr>
      <w:spacing w:after="0" w:beforeAutospacing="0" w:afterAutospacing="0"/>
      <w:ind w:firstLine="360"/>
    </w:pPr>
    <w:rPr/>
  </w:style>
  <w:style w:type="paragraph" w:styleId="P28">
    <w:name w:val="Body Text Indent"/>
    <w:basedOn w:val="P0"/>
    <w:link w:val="C20"/>
    <w:semiHidden/>
    <w:pPr>
      <w:spacing w:after="120" w:beforeAutospacing="0" w:afterAutospacing="0"/>
      <w:ind w:left="283"/>
    </w:pPr>
    <w:rPr/>
  </w:style>
  <w:style w:type="paragraph" w:styleId="P29">
    <w:name w:val="Body Text First Indent 2"/>
    <w:basedOn w:val="P28"/>
    <w:link w:val="C21"/>
    <w:semiHidden/>
    <w:pPr>
      <w:spacing w:after="0" w:beforeAutospacing="0" w:afterAutospacing="0"/>
      <w:ind w:firstLine="360" w:left="360"/>
    </w:pPr>
    <w:rPr/>
  </w:style>
  <w:style w:type="paragraph" w:styleId="P30">
    <w:name w:val="Body Text Indent 2"/>
    <w:basedOn w:val="P0"/>
    <w:link w:val="C22"/>
    <w:semiHidden/>
    <w:pPr>
      <w:spacing w:lineRule="auto" w:line="480" w:after="120" w:beforeAutospacing="0" w:afterAutospacing="0"/>
      <w:ind w:left="283"/>
    </w:pPr>
    <w:rPr/>
  </w:style>
  <w:style w:type="paragraph" w:styleId="P31">
    <w:name w:val="Body Text Indent 3"/>
    <w:basedOn w:val="P0"/>
    <w:link w:val="C23"/>
    <w:semiHidden/>
    <w:pPr>
      <w:spacing w:after="120" w:beforeAutospacing="0" w:afterAutospacing="0"/>
      <w:ind w:left="283"/>
    </w:pPr>
    <w:rPr>
      <w:sz w:val="16"/>
      <w:szCs w:val="16"/>
    </w:rPr>
  </w:style>
  <w:style w:type="paragraph" w:styleId="P32">
    <w:name w:val="Table of Authorities"/>
    <w:basedOn w:val="P0"/>
    <w:next w:val="P0"/>
    <w:semiHidden/>
    <w:pPr>
      <w:ind w:hanging="250" w:left="250"/>
    </w:pPr>
    <w:rPr/>
  </w:style>
  <w:style w:type="paragraph" w:styleId="P33">
    <w:name w:val="TOA Heading"/>
    <w:basedOn w:val="P0"/>
    <w:next w:val="P0"/>
    <w:semiHidden/>
    <w:pPr>
      <w:spacing w:before="120" w:beforeAutospacing="0" w:afterAutospacing="0"/>
    </w:pPr>
    <w:rPr>
      <w:rFonts w:asciiTheme="majorHAnsi" w:hAnsiTheme="majorHAnsi" w:cstheme="majorBidi" w:eastAsiaTheme="majorEastAsia"/>
      <w:b w:val="1"/>
      <w:bCs w:val="1"/>
      <w:szCs w:val="24"/>
    </w:rPr>
  </w:style>
  <w:style w:type="paragraph" w:styleId="P34">
    <w:name w:val="Date"/>
    <w:basedOn w:val="P0"/>
    <w:next w:val="P0"/>
    <w:link w:val="C24"/>
    <w:semiHidden/>
    <w:pPr/>
    <w:rPr/>
  </w:style>
  <w:style w:type="paragraph" w:styleId="P35">
    <w:name w:val="Document Map"/>
    <w:basedOn w:val="P0"/>
    <w:link w:val="C25"/>
    <w:semiHidden/>
    <w:pPr>
      <w:spacing w:lineRule="auto" w:line="240" w:beforeAutospacing="0" w:afterAutospacing="0"/>
    </w:pPr>
    <w:rPr>
      <w:rFonts w:ascii="Segoe UI" w:hAnsi="Segoe UI" w:cs="Segoe UI"/>
      <w:sz w:val="16"/>
      <w:szCs w:val="16"/>
    </w:rPr>
  </w:style>
  <w:style w:type="paragraph" w:styleId="P36">
    <w:name w:val="E-mail Signature"/>
    <w:basedOn w:val="P0"/>
    <w:link w:val="C26"/>
    <w:semiHidden/>
    <w:pPr>
      <w:spacing w:lineRule="auto" w:line="240" w:beforeAutospacing="0" w:afterAutospacing="0"/>
    </w:pPr>
    <w:rPr/>
  </w:style>
  <w:style w:type="paragraph" w:styleId="P37">
    <w:name w:val="Table of Figures"/>
    <w:basedOn w:val="P0"/>
    <w:next w:val="P0"/>
    <w:semiHidden/>
    <w:pPr/>
    <w:rPr/>
  </w:style>
  <w:style w:type="paragraph" w:styleId="P38">
    <w:name w:val="Footnote Text"/>
    <w:basedOn w:val="P0"/>
    <w:link w:val="C27"/>
    <w:semiHidden/>
    <w:pPr>
      <w:spacing w:lineRule="auto" w:line="240" w:beforeAutospacing="0" w:afterAutospacing="0"/>
    </w:pPr>
    <w:rPr>
      <w:sz w:val="20"/>
      <w:szCs w:val="20"/>
    </w:rPr>
  </w:style>
  <w:style w:type="paragraph" w:styleId="P39">
    <w:name w:val="HTML Address"/>
    <w:basedOn w:val="P0"/>
    <w:link w:val="C28"/>
    <w:semiHidden/>
    <w:pPr>
      <w:spacing w:lineRule="auto" w:line="240" w:beforeAutospacing="0" w:afterAutospacing="0"/>
    </w:pPr>
    <w:rPr>
      <w:i w:val="1"/>
      <w:iCs w:val="1"/>
    </w:rPr>
  </w:style>
  <w:style w:type="paragraph" w:styleId="P40">
    <w:name w:val="HTML Preformatted"/>
    <w:basedOn w:val="P0"/>
    <w:link w:val="C29"/>
    <w:semiHidden/>
    <w:pPr>
      <w:spacing w:lineRule="auto" w:line="240" w:beforeAutospacing="0" w:afterAutospacing="0"/>
    </w:pPr>
    <w:rPr>
      <w:rFonts w:ascii="Consolas" w:hAnsi="Consolas"/>
      <w:sz w:val="20"/>
      <w:szCs w:val="20"/>
    </w:rPr>
  </w:style>
  <w:style w:type="paragraph" w:styleId="P41">
    <w:name w:val="Index 1"/>
    <w:basedOn w:val="P0"/>
    <w:next w:val="P0"/>
    <w:semiHidden/>
    <w:pPr>
      <w:spacing w:lineRule="auto" w:line="240" w:beforeAutospacing="0" w:afterAutospacing="0"/>
      <w:ind w:hanging="250" w:left="250"/>
    </w:pPr>
    <w:rPr/>
  </w:style>
  <w:style w:type="paragraph" w:styleId="P42">
    <w:name w:val="Index 2"/>
    <w:basedOn w:val="P0"/>
    <w:next w:val="P0"/>
    <w:semiHidden/>
    <w:pPr>
      <w:spacing w:lineRule="auto" w:line="240" w:beforeAutospacing="0" w:afterAutospacing="0"/>
      <w:ind w:hanging="250" w:left="500"/>
    </w:pPr>
    <w:rPr/>
  </w:style>
  <w:style w:type="paragraph" w:styleId="P43">
    <w:name w:val="Index 3"/>
    <w:basedOn w:val="P0"/>
    <w:next w:val="P0"/>
    <w:semiHidden/>
    <w:pPr>
      <w:spacing w:lineRule="auto" w:line="240" w:beforeAutospacing="0" w:afterAutospacing="0"/>
      <w:ind w:hanging="250" w:left="750"/>
    </w:pPr>
    <w:rPr/>
  </w:style>
  <w:style w:type="paragraph" w:styleId="P44">
    <w:name w:val="Index 4"/>
    <w:basedOn w:val="P0"/>
    <w:next w:val="P0"/>
    <w:semiHidden/>
    <w:pPr>
      <w:spacing w:lineRule="auto" w:line="240" w:beforeAutospacing="0" w:afterAutospacing="0"/>
      <w:ind w:hanging="250" w:left="1000"/>
    </w:pPr>
    <w:rPr/>
  </w:style>
  <w:style w:type="paragraph" w:styleId="P45">
    <w:name w:val="Index 5"/>
    <w:basedOn w:val="P0"/>
    <w:next w:val="P0"/>
    <w:semiHidden/>
    <w:pPr>
      <w:spacing w:lineRule="auto" w:line="240" w:beforeAutospacing="0" w:afterAutospacing="0"/>
      <w:ind w:hanging="250" w:left="1250"/>
    </w:pPr>
    <w:rPr/>
  </w:style>
  <w:style w:type="paragraph" w:styleId="P46">
    <w:name w:val="Index 6"/>
    <w:basedOn w:val="P0"/>
    <w:next w:val="P0"/>
    <w:semiHidden/>
    <w:pPr>
      <w:spacing w:lineRule="auto" w:line="240" w:beforeAutospacing="0" w:afterAutospacing="0"/>
      <w:ind w:hanging="250" w:left="1500"/>
    </w:pPr>
    <w:rPr/>
  </w:style>
  <w:style w:type="paragraph" w:styleId="P47">
    <w:name w:val="Index 7"/>
    <w:basedOn w:val="P0"/>
    <w:next w:val="P0"/>
    <w:semiHidden/>
    <w:pPr>
      <w:spacing w:lineRule="auto" w:line="240" w:beforeAutospacing="0" w:afterAutospacing="0"/>
      <w:ind w:hanging="250" w:left="1750"/>
    </w:pPr>
    <w:rPr/>
  </w:style>
  <w:style w:type="paragraph" w:styleId="P48">
    <w:name w:val="Index 8"/>
    <w:basedOn w:val="P0"/>
    <w:next w:val="P0"/>
    <w:semiHidden/>
    <w:pPr>
      <w:spacing w:lineRule="auto" w:line="240" w:beforeAutospacing="0" w:afterAutospacing="0"/>
      <w:ind w:hanging="250" w:left="2000"/>
    </w:pPr>
    <w:rPr/>
  </w:style>
  <w:style w:type="paragraph" w:styleId="P49">
    <w:name w:val="Index 9"/>
    <w:basedOn w:val="P0"/>
    <w:next w:val="P0"/>
    <w:semiHidden/>
    <w:pPr>
      <w:spacing w:lineRule="auto" w:line="240" w:beforeAutospacing="0" w:afterAutospacing="0"/>
      <w:ind w:hanging="250" w:left="2250"/>
    </w:pPr>
    <w:rPr/>
  </w:style>
  <w:style w:type="paragraph" w:styleId="P50">
    <w:name w:val="Index Heading"/>
    <w:basedOn w:val="P0"/>
    <w:next w:val="P41"/>
    <w:semiHidden/>
    <w:pPr/>
    <w:rPr>
      <w:rFonts w:asciiTheme="majorHAnsi" w:hAnsiTheme="majorHAnsi" w:cstheme="majorBidi" w:eastAsiaTheme="majorEastAsia"/>
      <w:b w:val="1"/>
      <w:bCs w:val="1"/>
    </w:rPr>
  </w:style>
  <w:style w:type="paragraph" w:styleId="P51">
    <w:name w:val="Block Text"/>
    <w:basedOn w:val="P0"/>
    <w:semiHidden/>
    <w:pPr>
      <w:pBdr>
        <w:top w:val="single" w:sz="2" w:space="10" w:shadow="0" w:frame="0" w:color="007FA3" w:themeColor="accent1"/>
        <w:left w:val="single" w:sz="2" w:space="10" w:shadow="0" w:frame="0" w:color="007FA3" w:themeColor="accent1"/>
        <w:bottom w:val="single" w:sz="2" w:space="10" w:shadow="0" w:frame="0" w:color="007FA3" w:themeColor="accent1"/>
        <w:right w:val="single" w:sz="2" w:space="10" w:shadow="0" w:frame="0" w:color="007FA3" w:themeColor="accent1"/>
        <w:between w:val="none" w:sz="0" w:space="0" w:shadow="0" w:frame="0" w:color="auto"/>
      </w:pBdr>
      <w:ind w:left="1152" w:right="1152"/>
    </w:pPr>
    <w:rPr>
      <w:rFonts w:asciiTheme="minorHAnsi" w:hAnsiTheme="minorHAnsi" w:eastAsiaTheme="minorEastAsia"/>
      <w:i w:val="1"/>
      <w:iCs w:val="1"/>
      <w:color w:val="007FA3" w:themeColor="accent1"/>
    </w:rPr>
  </w:style>
  <w:style w:type="paragraph" w:styleId="P52">
    <w:name w:val="Salutation"/>
    <w:basedOn w:val="P0"/>
    <w:next w:val="P0"/>
    <w:link w:val="C30"/>
    <w:semiHidden/>
    <w:pPr/>
    <w:rPr/>
  </w:style>
  <w:style w:type="paragraph" w:styleId="P53">
    <w:name w:val="TOC 1"/>
    <w:basedOn w:val="P0"/>
    <w:next w:val="P0"/>
    <w:pPr>
      <w:spacing w:after="100" w:beforeAutospacing="0" w:afterAutospacing="0"/>
    </w:pPr>
    <w:rPr>
      <w:rFonts w:ascii="Barlow" w:hAnsi="Barlow"/>
      <w:sz w:val="22"/>
    </w:rPr>
  </w:style>
  <w:style w:type="paragraph" w:styleId="P54">
    <w:name w:val="TOC 2"/>
    <w:basedOn w:val="P0"/>
    <w:next w:val="P0"/>
    <w:pPr>
      <w:spacing w:after="100" w:beforeAutospacing="0" w:afterAutospacing="0"/>
      <w:ind w:left="250"/>
    </w:pPr>
    <w:rPr>
      <w:rFonts w:ascii="Barlow" w:hAnsi="Barlow"/>
      <w:sz w:val="22"/>
    </w:rPr>
  </w:style>
  <w:style w:type="paragraph" w:styleId="P55">
    <w:name w:val="TOC 3"/>
    <w:basedOn w:val="P0"/>
    <w:next w:val="P0"/>
    <w:pPr>
      <w:spacing w:after="100" w:beforeAutospacing="0" w:afterAutospacing="0"/>
      <w:ind w:left="500"/>
    </w:pPr>
    <w:rPr>
      <w:rFonts w:ascii="Barlow" w:hAnsi="Barlow"/>
      <w:sz w:val="22"/>
    </w:rPr>
  </w:style>
  <w:style w:type="paragraph" w:styleId="P56">
    <w:name w:val="TOC 4"/>
    <w:basedOn w:val="P0"/>
    <w:next w:val="P0"/>
    <w:pPr>
      <w:spacing w:after="100" w:beforeAutospacing="0" w:afterAutospacing="0"/>
      <w:ind w:left="750"/>
    </w:pPr>
    <w:rPr/>
  </w:style>
  <w:style w:type="paragraph" w:styleId="P57">
    <w:name w:val="TOC 5"/>
    <w:basedOn w:val="P0"/>
    <w:next w:val="P0"/>
    <w:pPr>
      <w:spacing w:after="100" w:beforeAutospacing="0" w:afterAutospacing="0"/>
      <w:ind w:left="1000"/>
    </w:pPr>
    <w:rPr/>
  </w:style>
  <w:style w:type="paragraph" w:styleId="P58">
    <w:name w:val="TOC 6"/>
    <w:basedOn w:val="P0"/>
    <w:next w:val="P0"/>
    <w:pPr>
      <w:spacing w:after="100" w:beforeAutospacing="0" w:afterAutospacing="0"/>
      <w:ind w:left="1250"/>
    </w:pPr>
    <w:rPr/>
  </w:style>
  <w:style w:type="paragraph" w:styleId="P59">
    <w:name w:val="TOC 7"/>
    <w:basedOn w:val="P0"/>
    <w:next w:val="P0"/>
    <w:pPr>
      <w:spacing w:after="100" w:beforeAutospacing="0" w:afterAutospacing="0"/>
      <w:ind w:left="1500"/>
    </w:pPr>
    <w:rPr/>
  </w:style>
  <w:style w:type="paragraph" w:styleId="P60">
    <w:name w:val="TOC 8"/>
    <w:basedOn w:val="P0"/>
    <w:next w:val="P0"/>
    <w:pPr>
      <w:spacing w:after="100" w:beforeAutospacing="0" w:afterAutospacing="0"/>
      <w:ind w:left="1750"/>
    </w:pPr>
    <w:rPr/>
  </w:style>
  <w:style w:type="paragraph" w:styleId="P61">
    <w:name w:val="TOC 9"/>
    <w:basedOn w:val="P0"/>
    <w:next w:val="P0"/>
    <w:pPr>
      <w:spacing w:after="100" w:beforeAutospacing="0" w:afterAutospacing="0"/>
      <w:ind w:left="2000"/>
    </w:pPr>
    <w:rPr/>
  </w:style>
  <w:style w:type="paragraph" w:styleId="P62">
    <w:name w:val="TOC Heading"/>
    <w:basedOn w:val="P1"/>
    <w:next w:val="P0"/>
    <w:pPr>
      <w:spacing w:lineRule="exact" w:line="300" w:before="240" w:after="0" w:beforeAutospacing="0" w:afterAutospacing="0"/>
      <w:outlineLvl w:val="9"/>
    </w:pPr>
    <w:rPr>
      <w:rFonts w:asciiTheme="majorHAnsi" w:hAnsiTheme="majorHAnsi"/>
      <w:sz w:val="32"/>
    </w:rPr>
  </w:style>
  <w:style w:type="paragraph" w:styleId="P63">
    <w:name w:val="annotation text"/>
    <w:basedOn w:val="P0"/>
    <w:link w:val="C31"/>
    <w:pPr>
      <w:spacing w:lineRule="auto" w:line="240" w:beforeAutospacing="0" w:afterAutospacing="0"/>
    </w:pPr>
    <w:rPr>
      <w:sz w:val="20"/>
      <w:szCs w:val="20"/>
    </w:rPr>
  </w:style>
  <w:style w:type="paragraph" w:styleId="P64">
    <w:name w:val="annotation subject"/>
    <w:basedOn w:val="P63"/>
    <w:next w:val="P63"/>
    <w:link w:val="C32"/>
    <w:semiHidden/>
    <w:pPr/>
    <w:rPr>
      <w:b w:val="1"/>
      <w:bCs w:val="1"/>
    </w:rPr>
  </w:style>
  <w:style w:type="paragraph" w:styleId="P65">
    <w:name w:val="List"/>
    <w:basedOn w:val="P0"/>
    <w:semiHidden/>
    <w:pPr>
      <w:ind w:hanging="283" w:left="283"/>
      <w:contextualSpacing w:val="1"/>
    </w:pPr>
    <w:rPr/>
  </w:style>
  <w:style w:type="paragraph" w:styleId="P66">
    <w:name w:val="List 2"/>
    <w:basedOn w:val="P0"/>
    <w:semiHidden/>
    <w:pPr>
      <w:ind w:hanging="283" w:left="566"/>
      <w:contextualSpacing w:val="1"/>
    </w:pPr>
    <w:rPr/>
  </w:style>
  <w:style w:type="paragraph" w:styleId="P67">
    <w:name w:val="List 3"/>
    <w:basedOn w:val="P0"/>
    <w:semiHidden/>
    <w:pPr>
      <w:ind w:hanging="283" w:left="849"/>
      <w:contextualSpacing w:val="1"/>
    </w:pPr>
    <w:rPr/>
  </w:style>
  <w:style w:type="paragraph" w:styleId="P68">
    <w:name w:val="List 4"/>
    <w:basedOn w:val="P0"/>
    <w:semiHidden/>
    <w:pPr>
      <w:ind w:hanging="283" w:left="1132"/>
      <w:contextualSpacing w:val="1"/>
    </w:pPr>
    <w:rPr/>
  </w:style>
  <w:style w:type="paragraph" w:styleId="P69">
    <w:name w:val="List 5"/>
    <w:basedOn w:val="P0"/>
    <w:semiHidden/>
    <w:pPr>
      <w:ind w:hanging="283" w:left="1415"/>
      <w:contextualSpacing w:val="1"/>
    </w:pPr>
    <w:rPr/>
  </w:style>
  <w:style w:type="paragraph" w:styleId="P70">
    <w:name w:val="List Continue"/>
    <w:basedOn w:val="P0"/>
    <w:semiHidden/>
    <w:pPr>
      <w:spacing w:after="120" w:beforeAutospacing="0" w:afterAutospacing="0"/>
      <w:ind w:left="283"/>
      <w:contextualSpacing w:val="1"/>
    </w:pPr>
    <w:rPr/>
  </w:style>
  <w:style w:type="paragraph" w:styleId="P71">
    <w:name w:val="List Continue 2"/>
    <w:basedOn w:val="P0"/>
    <w:semiHidden/>
    <w:pPr>
      <w:spacing w:after="120" w:beforeAutospacing="0" w:afterAutospacing="0"/>
      <w:ind w:left="566"/>
      <w:contextualSpacing w:val="1"/>
    </w:pPr>
    <w:rPr/>
  </w:style>
  <w:style w:type="paragraph" w:styleId="P72">
    <w:name w:val="List Continue 3"/>
    <w:basedOn w:val="P0"/>
    <w:semiHidden/>
    <w:pPr>
      <w:spacing w:after="120" w:beforeAutospacing="0" w:afterAutospacing="0"/>
      <w:ind w:left="849"/>
      <w:contextualSpacing w:val="1"/>
    </w:pPr>
    <w:rPr/>
  </w:style>
  <w:style w:type="paragraph" w:styleId="P73">
    <w:name w:val="List Continue 4"/>
    <w:basedOn w:val="P0"/>
    <w:semiHidden/>
    <w:pPr>
      <w:spacing w:after="120" w:beforeAutospacing="0" w:afterAutospacing="0"/>
      <w:ind w:left="1132"/>
      <w:contextualSpacing w:val="1"/>
    </w:pPr>
    <w:rPr/>
  </w:style>
  <w:style w:type="paragraph" w:styleId="P74">
    <w:name w:val="List Continue 5"/>
    <w:basedOn w:val="P0"/>
    <w:semiHidden/>
    <w:pPr>
      <w:spacing w:after="120" w:beforeAutospacing="0" w:afterAutospacing="0"/>
      <w:ind w:left="1415"/>
      <w:contextualSpacing w:val="1"/>
    </w:pPr>
    <w:rPr/>
  </w:style>
  <w:style w:type="paragraph" w:styleId="P75">
    <w:name w:val="Bibliography"/>
    <w:basedOn w:val="P0"/>
    <w:next w:val="P0"/>
    <w:semiHidden/>
    <w:pPr/>
    <w:rPr/>
  </w:style>
  <w:style w:type="paragraph" w:styleId="P76">
    <w:name w:val="macro"/>
    <w:link w:val="C33"/>
    <w:semiHidden/>
    <w:pPr>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pacing w:lineRule="exact" w:line="300" w:beforeAutospacing="0" w:afterAutospacing="0"/>
    </w:pPr>
    <w:rPr>
      <w:rFonts w:ascii="Consolas" w:hAnsi="Consolas"/>
      <w:sz w:val="20"/>
      <w:szCs w:val="20"/>
    </w:rPr>
  </w:style>
  <w:style w:type="paragraph" w:styleId="P77">
    <w:name w:val="Message Header"/>
    <w:basedOn w:val="P0"/>
    <w:link w:val="C34"/>
    <w:semiHidden/>
    <w:pPr>
      <w:pBdr>
        <w:top w:val="single" w:sz="6" w:space="1" w:shadow="0" w:frame="0" w:color="auto"/>
        <w:left w:val="single" w:sz="6" w:space="1" w:shadow="0" w:frame="0" w:color="auto"/>
        <w:bottom w:val="single" w:sz="6" w:space="1" w:shadow="0" w:frame="0" w:color="auto"/>
        <w:right w:val="single" w:sz="6" w:space="1" w:shadow="0" w:frame="0" w:color="auto"/>
        <w:between w:val="none" w:sz="0" w:space="0" w:shadow="0" w:frame="0" w:color="auto"/>
      </w:pBdr>
      <w:shd w:val="pct20" w:fill="auto"/>
      <w:spacing w:lineRule="auto" w:line="240" w:beforeAutospacing="0" w:afterAutospacing="0"/>
      <w:ind w:hanging="1134" w:left="1134"/>
    </w:pPr>
    <w:rPr>
      <w:rFonts w:asciiTheme="majorHAnsi" w:hAnsiTheme="majorHAnsi" w:cstheme="majorBidi" w:eastAsiaTheme="majorEastAsia"/>
      <w:szCs w:val="24"/>
    </w:rPr>
  </w:style>
  <w:style w:type="paragraph" w:styleId="P78">
    <w:name w:val="Normal (Web)"/>
    <w:basedOn w:val="P0"/>
    <w:semiHidden/>
    <w:pPr/>
    <w:rPr>
      <w:rFonts w:ascii="Times New Roman" w:hAnsi="Times New Roman" w:cs="Times New Roman"/>
      <w:szCs w:val="24"/>
    </w:rPr>
  </w:style>
  <w:style w:type="paragraph" w:styleId="P79">
    <w:name w:val="Normal Indent"/>
    <w:basedOn w:val="P0"/>
    <w:semiHidden/>
    <w:pPr>
      <w:ind w:left="1304"/>
    </w:pPr>
    <w:rPr/>
  </w:style>
  <w:style w:type="paragraph" w:styleId="P80">
    <w:name w:val="List Number"/>
    <w:basedOn w:val="P0"/>
    <w:semiHidden/>
    <w:pPr>
      <w:numPr>
        <w:numId w:val="4"/>
      </w:numPr>
      <w:contextualSpacing w:val="1"/>
    </w:pPr>
    <w:rPr/>
  </w:style>
  <w:style w:type="paragraph" w:styleId="P81">
    <w:name w:val="List Number 2"/>
    <w:basedOn w:val="P0"/>
    <w:semiHidden/>
    <w:pPr>
      <w:numPr>
        <w:numId w:val="5"/>
      </w:numPr>
      <w:contextualSpacing w:val="1"/>
    </w:pPr>
    <w:rPr/>
  </w:style>
  <w:style w:type="paragraph" w:styleId="P82">
    <w:name w:val="List Number 3"/>
    <w:basedOn w:val="P0"/>
    <w:semiHidden/>
    <w:pPr>
      <w:numPr>
        <w:numId w:val="6"/>
      </w:numPr>
      <w:contextualSpacing w:val="1"/>
    </w:pPr>
    <w:rPr/>
  </w:style>
  <w:style w:type="paragraph" w:styleId="P83">
    <w:name w:val="List Number 4"/>
    <w:basedOn w:val="P0"/>
    <w:semiHidden/>
    <w:pPr>
      <w:numPr>
        <w:numId w:val="7"/>
      </w:numPr>
      <w:contextualSpacing w:val="1"/>
    </w:pPr>
    <w:rPr/>
  </w:style>
  <w:style w:type="paragraph" w:styleId="P84">
    <w:name w:val="List Number 5"/>
    <w:basedOn w:val="P0"/>
    <w:semiHidden/>
    <w:pPr>
      <w:numPr>
        <w:numId w:val="8"/>
      </w:numPr>
      <w:contextualSpacing w:val="1"/>
    </w:pPr>
    <w:rPr/>
  </w:style>
  <w:style w:type="paragraph" w:styleId="P85">
    <w:name w:val="Plain Text"/>
    <w:basedOn w:val="P0"/>
    <w:link w:val="C35"/>
    <w:semiHidden/>
    <w:pPr>
      <w:spacing w:lineRule="auto" w:line="240" w:beforeAutospacing="0" w:afterAutospacing="0"/>
    </w:pPr>
    <w:rPr>
      <w:rFonts w:ascii="Consolas" w:hAnsi="Consolas"/>
      <w:sz w:val="21"/>
      <w:szCs w:val="21"/>
    </w:rPr>
  </w:style>
  <w:style w:type="paragraph" w:styleId="P86">
    <w:name w:val="List Bullet"/>
    <w:basedOn w:val="P0"/>
    <w:semiHidden/>
    <w:pPr>
      <w:numPr>
        <w:numId w:val="9"/>
      </w:numPr>
      <w:contextualSpacing w:val="1"/>
    </w:pPr>
    <w:rPr/>
  </w:style>
  <w:style w:type="paragraph" w:styleId="P87">
    <w:name w:val="List Bullet 2"/>
    <w:basedOn w:val="P0"/>
    <w:semiHidden/>
    <w:pPr>
      <w:numPr>
        <w:numId w:val="10"/>
      </w:numPr>
      <w:contextualSpacing w:val="1"/>
    </w:pPr>
    <w:rPr/>
  </w:style>
  <w:style w:type="paragraph" w:styleId="P88">
    <w:name w:val="List Bullet 3"/>
    <w:basedOn w:val="P0"/>
    <w:semiHidden/>
    <w:pPr>
      <w:numPr>
        <w:numId w:val="11"/>
      </w:numPr>
      <w:contextualSpacing w:val="1"/>
    </w:pPr>
    <w:rPr/>
  </w:style>
  <w:style w:type="paragraph" w:styleId="P89">
    <w:name w:val="List Bullet 4"/>
    <w:basedOn w:val="P0"/>
    <w:semiHidden/>
    <w:pPr>
      <w:numPr>
        <w:numId w:val="12"/>
      </w:numPr>
      <w:contextualSpacing w:val="1"/>
    </w:pPr>
    <w:rPr/>
  </w:style>
  <w:style w:type="paragraph" w:styleId="P90">
    <w:name w:val="List Bullet 5"/>
    <w:basedOn w:val="P0"/>
    <w:semiHidden/>
    <w:pPr>
      <w:numPr>
        <w:numId w:val="13"/>
      </w:numPr>
      <w:contextualSpacing w:val="1"/>
    </w:pPr>
    <w:rPr/>
  </w:style>
  <w:style w:type="paragraph" w:styleId="P91">
    <w:name w:val="Title"/>
    <w:basedOn w:val="P0"/>
    <w:next w:val="P0"/>
    <w:link w:val="C36"/>
    <w:pPr>
      <w:spacing w:lineRule="auto" w:line="240" w:beforeAutospacing="0" w:afterAutospacing="0"/>
      <w:contextualSpacing w:val="1"/>
    </w:pPr>
    <w:rPr>
      <w:rFonts w:asciiTheme="majorHAnsi" w:hAnsiTheme="majorHAnsi" w:cstheme="majorBidi" w:eastAsiaTheme="majorEastAsia"/>
      <w:sz w:val="56"/>
      <w:szCs w:val="56"/>
      <w:spacing w:val="-10"/>
      <w:kern w:val="28"/>
    </w:rPr>
  </w:style>
  <w:style w:type="paragraph" w:styleId="P92">
    <w:name w:val="Signature"/>
    <w:basedOn w:val="P0"/>
    <w:link w:val="C42"/>
    <w:semiHidden/>
    <w:pPr>
      <w:spacing w:lineRule="auto" w:line="240" w:beforeAutospacing="0" w:afterAutospacing="0"/>
      <w:ind w:left="4252"/>
    </w:pPr>
    <w:rPr/>
  </w:style>
  <w:style w:type="paragraph" w:styleId="P93">
    <w:name w:val="Endnote Text"/>
    <w:basedOn w:val="P0"/>
    <w:link w:val="C43"/>
    <w:semiHidden/>
    <w:pPr>
      <w:spacing w:lineRule="auto" w:line="240" w:beforeAutospacing="0" w:afterAutospacing="0"/>
    </w:pPr>
    <w:rPr>
      <w:sz w:val="20"/>
      <w:szCs w:val="20"/>
    </w:rPr>
  </w:style>
  <w:style w:type="paragraph" w:styleId="P94">
    <w:name w:val="Intense Quote"/>
    <w:basedOn w:val="P0"/>
    <w:next w:val="P0"/>
    <w:link w:val="C44"/>
    <w:pPr>
      <w:pBdr>
        <w:top w:val="single" w:sz="4" w:space="10" w:shadow="0" w:frame="0" w:color="007FA3" w:themeColor="accent1"/>
        <w:left w:val="none" w:sz="0" w:space="0" w:shadow="0" w:frame="0" w:color="auto"/>
        <w:bottom w:val="single" w:sz="4" w:space="10" w:shadow="0" w:frame="0" w:color="007FA3" w:themeColor="accent1"/>
        <w:right w:val="none" w:sz="0" w:space="0" w:shadow="0" w:frame="0" w:color="auto"/>
        <w:between w:val="none" w:sz="0" w:space="0" w:shadow="0" w:frame="0" w:color="auto"/>
      </w:pBdr>
      <w:spacing w:before="360" w:after="360" w:beforeAutospacing="0" w:afterAutospacing="0"/>
      <w:ind w:left="864" w:right="864"/>
      <w:jc w:val="center"/>
    </w:pPr>
    <w:rPr>
      <w:i w:val="1"/>
      <w:iCs w:val="1"/>
      <w:color w:val="007FA3" w:themeColor="accent1"/>
    </w:rPr>
  </w:style>
  <w:style w:type="paragraph" w:styleId="P95">
    <w:name w:val="Subtitle"/>
    <w:basedOn w:val="P0"/>
    <w:next w:val="P0"/>
    <w:link w:val="C45"/>
    <w:pPr>
      <w:spacing w:after="160" w:beforeAutospacing="0" w:afterAutospacing="0"/>
    </w:pPr>
    <w:rPr>
      <w:rFonts w:asciiTheme="minorHAnsi" w:hAnsiTheme="minorHAnsi" w:eastAsiaTheme="minorEastAsia"/>
      <w:color w:val="5A5A5A" w:themeColor="text1" w:themeTint="A5"/>
      <w:sz w:val="22"/>
      <w:spacing w:val="15"/>
    </w:rPr>
  </w:style>
  <w:style w:type="paragraph" w:styleId="P96">
    <w:name w:val="Förklaringstext"/>
    <w:basedOn w:val="P24"/>
    <w:link w:val="C46"/>
    <w:pPr>
      <w:spacing w:lineRule="auto" w:line="240" w:beforeAutospacing="0" w:afterAutospacing="0"/>
    </w:pPr>
    <w:rPr>
      <w:rFonts w:cs="Times New Roman" w:eastAsia="Times New Roman"/>
      <w:i w:val="1"/>
      <w:color w:val="808080"/>
      <w:sz w:val="20"/>
      <w:szCs w:val="24"/>
      <w:lang w:eastAsia="sv-SE"/>
    </w:rPr>
  </w:style>
  <w:style w:type="paragraph" w:styleId="P97">
    <w:name w:val="Pärmsida"/>
    <w:basedOn w:val="P2"/>
    <w:link w:val="C47"/>
    <w:pPr>
      <w:keepLines w:val="0"/>
      <w:spacing w:before="120" w:after="120" w:beforeAutospacing="0" w:afterAutospacing="0"/>
    </w:pPr>
    <w:rPr>
      <w:rFonts w:ascii="Barlow Semi Condensed" w:hAnsi="Barlow Semi Condensed" w:cs="Arial" w:eastAsia="Times New Roman"/>
      <w:bCs w:val="1"/>
      <w:iCs w:val="1"/>
      <w:sz w:val="18"/>
    </w:rPr>
  </w:style>
  <w:style w:type="paragraph" w:styleId="P98">
    <w:name w:val="Brödtexten"/>
    <w:basedOn w:val="P0"/>
    <w:link w:val="C50"/>
    <w:pPr>
      <w:spacing w:lineRule="auto" w:line="240" w:after="200" w:beforeAutospacing="0" w:afterAutospacing="0"/>
    </w:pPr>
    <w:rPr>
      <w:rFonts w:cs="Times New Roman" w:eastAsia="Times New Roman"/>
      <w:szCs w:val="24"/>
      <w:lang w:eastAsia="sv-SE"/>
    </w:rPr>
  </w:style>
  <w:style w:type="paragraph" w:styleId="P99">
    <w:name w:val="Default"/>
    <w:pPr/>
    <w:rPr>
      <w:rFonts w:ascii="Garamond" w:hAnsi="Garamond" w:cs="Garamond" w:eastAsia="Calibri"/>
      <w:color w:val="000000"/>
      <w:sz w:val="24"/>
      <w:szCs w:val="24"/>
    </w:rPr>
  </w:style>
  <w:style w:type="paragraph" w:styleId="P100">
    <w:name w:val="Tema"/>
    <w:basedOn w:val="P0"/>
    <w:pPr>
      <w:numPr>
        <w:numId w:val="28"/>
      </w:numPr>
    </w:pPr>
    <w:rPr/>
  </w:style>
  <w:style w:type="paragraph" w:styleId="P101">
    <w:name w:val="Grupp"/>
    <w:basedOn w:val="P0"/>
    <w:pPr>
      <w:numPr>
        <w:ilvl w:val="1"/>
        <w:numId w:val="28"/>
      </w:numPr>
    </w:pPr>
    <w:rPr/>
  </w:style>
  <w:style w:type="paragraph" w:styleId="P102">
    <w:name w:val="Undergrupp"/>
    <w:basedOn w:val="P0"/>
    <w:pPr>
      <w:numPr>
        <w:ilvl w:val="2"/>
        <w:numId w:val="28"/>
      </w:numPr>
    </w:pPr>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7FA3" w:themeColor="hyperlink"/>
      <w:u w:val="single"/>
    </w:rPr>
  </w:style>
  <w:style w:type="character" w:styleId="C3">
    <w:name w:val="Rubrik 1 Char"/>
    <w:basedOn w:val="C0"/>
    <w:link w:val="P1"/>
    <w:rPr>
      <w:rFonts w:ascii="Barlow Semi Condensed SemiBold" w:hAnsi="Barlow Semi Condensed SemiBold" w:cstheme="majorBidi" w:eastAsia="Arial"/>
      <w:caps w:val="1"/>
      <w:noProof w:val="1"/>
      <w:sz w:val="44"/>
      <w:szCs w:val="32"/>
      <w:lang w:eastAsia="sv-SE"/>
    </w:rPr>
  </w:style>
  <w:style w:type="character" w:styleId="C4">
    <w:name w:val="Rubrik 2 Char"/>
    <w:basedOn w:val="C0"/>
    <w:link w:val="P2"/>
    <w:rPr>
      <w:rFonts w:asciiTheme="majorHAnsi" w:hAnsiTheme="majorHAnsi" w:cstheme="majorBidi" w:eastAsia="Arial"/>
      <w:caps w:val="1"/>
      <w:noProof w:val="1"/>
      <w:sz w:val="36"/>
      <w:szCs w:val="28"/>
      <w:lang w:eastAsia="sv-SE"/>
    </w:rPr>
  </w:style>
  <w:style w:type="character" w:styleId="C5">
    <w:name w:val="Rubrik 3 Char"/>
    <w:basedOn w:val="C0"/>
    <w:link w:val="P3"/>
    <w:rPr>
      <w:rFonts w:ascii="Barlow Semi Condensed" w:hAnsi="Barlow Semi Condensed" w:cstheme="majorBidi" w:eastAsia="Arial"/>
      <w:b w:val="1"/>
      <w:caps w:val="1"/>
      <w:noProof w:val="1"/>
      <w:sz w:val="28"/>
      <w:szCs w:val="24"/>
      <w:lang w:eastAsia="sv-SE"/>
    </w:rPr>
  </w:style>
  <w:style w:type="character" w:styleId="C6">
    <w:name w:val="Rubrik 4 Char"/>
    <w:basedOn w:val="C0"/>
    <w:link w:val="P4"/>
    <w:rPr>
      <w:rFonts w:ascii="Barlow Semi Condensed" w:hAnsi="Barlow Semi Condensed" w:cstheme="majorBidi" w:eastAsiaTheme="majorEastAsia"/>
      <w:b w:val="1"/>
      <w:iCs w:val="1"/>
      <w:caps w:val="1"/>
      <w:sz w:val="24"/>
    </w:rPr>
  </w:style>
  <w:style w:type="character" w:styleId="C7">
    <w:name w:val="Citat Char"/>
    <w:aliases w:val="Bildtexter Char"/>
    <w:basedOn w:val="C0"/>
    <w:link w:val="P11"/>
    <w:rPr>
      <w:rFonts w:ascii="Garamond" w:hAnsi="Garamond"/>
      <w:i w:val="1"/>
      <w:iCs w:val="1"/>
      <w:color w:val="404040" w:themeColor="text1" w:themeTint="BF"/>
      <w:sz w:val="24"/>
    </w:rPr>
  </w:style>
  <w:style w:type="character" w:styleId="C8">
    <w:name w:val="Subtle Reference1"/>
    <w:basedOn w:val="C0"/>
    <w:rPr>
      <w:smallCaps w:val="1"/>
      <w:color w:val="5A5A5A" w:themeColor="text1" w:themeTint="A5"/>
    </w:rPr>
  </w:style>
  <w:style w:type="character" w:styleId="C9">
    <w:name w:val="Sidhuvud Char"/>
    <w:basedOn w:val="C0"/>
    <w:link w:val="P13"/>
    <w:rPr>
      <w:rFonts w:ascii="Garamond" w:hAnsi="Garamond"/>
      <w:sz w:val="24"/>
    </w:rPr>
  </w:style>
  <w:style w:type="character" w:styleId="C10">
    <w:name w:val="Sidfot Char"/>
    <w:basedOn w:val="C0"/>
    <w:link w:val="P14"/>
    <w:rPr>
      <w:rFonts w:ascii="Garamond" w:hAnsi="Garamond"/>
      <w:sz w:val="24"/>
    </w:rPr>
  </w:style>
  <w:style w:type="character" w:styleId="C11">
    <w:name w:val="Rubrik 4 MK Char"/>
    <w:basedOn w:val="C5"/>
    <w:link w:val="P15"/>
    <w:rPr>
      <w:rFonts w:ascii="Garamond" w:hAnsi="Garamond" w:cstheme="majorBidi" w:eastAsiaTheme="majorEastAsia"/>
      <w:b w:val="0"/>
      <w:caps w:val="1"/>
      <w:noProof w:val="1"/>
      <w:sz w:val="24"/>
      <w:szCs w:val="24"/>
      <w:lang w:eastAsia="sv-SE"/>
    </w:rPr>
  </w:style>
  <w:style w:type="character" w:styleId="C12">
    <w:name w:val="Ballongtext Char"/>
    <w:basedOn w:val="C0"/>
    <w:link w:val="P17"/>
    <w:semiHidden/>
    <w:rPr>
      <w:rFonts w:ascii="Segoe UI" w:hAnsi="Segoe UI" w:cs="Segoe UI"/>
      <w:sz w:val="18"/>
      <w:szCs w:val="18"/>
    </w:rPr>
  </w:style>
  <w:style w:type="character" w:styleId="C13">
    <w:name w:val="Rubriknivå 4 Char"/>
    <w:basedOn w:val="C7"/>
    <w:link w:val="P18"/>
    <w:rPr>
      <w:rFonts w:ascii="Garamond" w:hAnsi="Garamond"/>
      <w:i w:val="1"/>
      <w:iCs w:val="1"/>
      <w:color w:val="404040" w:themeColor="text1" w:themeTint="BF"/>
      <w:sz w:val="25"/>
    </w:rPr>
  </w:style>
  <w:style w:type="character" w:styleId="C14">
    <w:name w:val="Anteckningsrubrik Char"/>
    <w:basedOn w:val="C0"/>
    <w:link w:val="P20"/>
    <w:semiHidden/>
    <w:rPr>
      <w:rFonts w:ascii="Garamond" w:hAnsi="Garamond"/>
      <w:sz w:val="25"/>
    </w:rPr>
  </w:style>
  <w:style w:type="character" w:styleId="C15">
    <w:name w:val="Avslutande text Char"/>
    <w:basedOn w:val="C0"/>
    <w:link w:val="P21"/>
    <w:semiHidden/>
    <w:rPr>
      <w:rFonts w:ascii="Garamond" w:hAnsi="Garamond"/>
      <w:sz w:val="25"/>
    </w:rPr>
  </w:style>
  <w:style w:type="character" w:styleId="C16">
    <w:name w:val="Brödtext Char"/>
    <w:basedOn w:val="C0"/>
    <w:link w:val="P24"/>
    <w:semiHidden/>
    <w:rPr>
      <w:rFonts w:ascii="Garamond" w:hAnsi="Garamond"/>
      <w:sz w:val="25"/>
    </w:rPr>
  </w:style>
  <w:style w:type="character" w:styleId="C17">
    <w:name w:val="Brödtext 2 Char"/>
    <w:basedOn w:val="C0"/>
    <w:link w:val="P25"/>
    <w:semiHidden/>
    <w:rPr>
      <w:rFonts w:ascii="Garamond" w:hAnsi="Garamond"/>
      <w:sz w:val="25"/>
    </w:rPr>
  </w:style>
  <w:style w:type="character" w:styleId="C18">
    <w:name w:val="Brödtext 3 Char"/>
    <w:basedOn w:val="C0"/>
    <w:link w:val="P26"/>
    <w:semiHidden/>
    <w:rPr>
      <w:rFonts w:ascii="Garamond" w:hAnsi="Garamond"/>
      <w:sz w:val="16"/>
      <w:szCs w:val="16"/>
    </w:rPr>
  </w:style>
  <w:style w:type="character" w:styleId="C19">
    <w:name w:val="Brödtext med första indrag Char"/>
    <w:basedOn w:val="C16"/>
    <w:link w:val="P27"/>
    <w:semiHidden/>
    <w:rPr>
      <w:rFonts w:ascii="Garamond" w:hAnsi="Garamond"/>
      <w:sz w:val="25"/>
    </w:rPr>
  </w:style>
  <w:style w:type="character" w:styleId="C20">
    <w:name w:val="Brödtext med indrag Char"/>
    <w:basedOn w:val="C0"/>
    <w:link w:val="P28"/>
    <w:semiHidden/>
    <w:rPr>
      <w:rFonts w:ascii="Garamond" w:hAnsi="Garamond"/>
      <w:sz w:val="25"/>
    </w:rPr>
  </w:style>
  <w:style w:type="character" w:styleId="C21">
    <w:name w:val="Brödtext med första indrag 2 Char"/>
    <w:basedOn w:val="C20"/>
    <w:link w:val="P29"/>
    <w:semiHidden/>
    <w:rPr>
      <w:rFonts w:ascii="Garamond" w:hAnsi="Garamond"/>
      <w:sz w:val="25"/>
    </w:rPr>
  </w:style>
  <w:style w:type="character" w:styleId="C22">
    <w:name w:val="Brödtext med indrag 2 Char"/>
    <w:basedOn w:val="C0"/>
    <w:link w:val="P30"/>
    <w:semiHidden/>
    <w:rPr>
      <w:rFonts w:ascii="Garamond" w:hAnsi="Garamond"/>
      <w:sz w:val="25"/>
    </w:rPr>
  </w:style>
  <w:style w:type="character" w:styleId="C23">
    <w:name w:val="Brödtext med indrag 3 Char"/>
    <w:basedOn w:val="C0"/>
    <w:link w:val="P31"/>
    <w:semiHidden/>
    <w:rPr>
      <w:rFonts w:ascii="Garamond" w:hAnsi="Garamond"/>
      <w:sz w:val="16"/>
      <w:szCs w:val="16"/>
    </w:rPr>
  </w:style>
  <w:style w:type="character" w:styleId="C24">
    <w:name w:val="Datum Char"/>
    <w:basedOn w:val="C0"/>
    <w:link w:val="P34"/>
    <w:semiHidden/>
    <w:rPr>
      <w:rFonts w:ascii="Garamond" w:hAnsi="Garamond"/>
      <w:sz w:val="25"/>
    </w:rPr>
  </w:style>
  <w:style w:type="character" w:styleId="C25">
    <w:name w:val="Dokumentöversikt Char"/>
    <w:basedOn w:val="C0"/>
    <w:link w:val="P35"/>
    <w:semiHidden/>
    <w:rPr>
      <w:rFonts w:ascii="Segoe UI" w:hAnsi="Segoe UI" w:cs="Segoe UI"/>
      <w:sz w:val="16"/>
      <w:szCs w:val="16"/>
    </w:rPr>
  </w:style>
  <w:style w:type="character" w:styleId="C26">
    <w:name w:val="E-postsignatur Char"/>
    <w:basedOn w:val="C0"/>
    <w:link w:val="P36"/>
    <w:semiHidden/>
    <w:rPr>
      <w:rFonts w:ascii="Garamond" w:hAnsi="Garamond"/>
      <w:sz w:val="25"/>
    </w:rPr>
  </w:style>
  <w:style w:type="character" w:styleId="C27">
    <w:name w:val="Fotnotstext Char"/>
    <w:basedOn w:val="C0"/>
    <w:link w:val="P38"/>
    <w:semiHidden/>
    <w:rPr>
      <w:rFonts w:ascii="Garamond" w:hAnsi="Garamond"/>
      <w:sz w:val="20"/>
      <w:szCs w:val="20"/>
    </w:rPr>
  </w:style>
  <w:style w:type="character" w:styleId="C28">
    <w:name w:val="HTML - adress Char"/>
    <w:basedOn w:val="C0"/>
    <w:link w:val="P39"/>
    <w:semiHidden/>
    <w:rPr>
      <w:rFonts w:ascii="Garamond" w:hAnsi="Garamond"/>
      <w:i w:val="1"/>
      <w:iCs w:val="1"/>
      <w:sz w:val="25"/>
    </w:rPr>
  </w:style>
  <w:style w:type="character" w:styleId="C29">
    <w:name w:val="HTML - förformaterad Char"/>
    <w:basedOn w:val="C0"/>
    <w:link w:val="P40"/>
    <w:semiHidden/>
    <w:rPr>
      <w:rFonts w:ascii="Consolas" w:hAnsi="Consolas"/>
      <w:sz w:val="20"/>
      <w:szCs w:val="20"/>
    </w:rPr>
  </w:style>
  <w:style w:type="character" w:styleId="C30">
    <w:name w:val="Inledning Char"/>
    <w:basedOn w:val="C0"/>
    <w:link w:val="P52"/>
    <w:semiHidden/>
    <w:rPr>
      <w:rFonts w:ascii="Garamond" w:hAnsi="Garamond"/>
      <w:sz w:val="25"/>
    </w:rPr>
  </w:style>
  <w:style w:type="character" w:styleId="C31">
    <w:name w:val="Kommentarer Char"/>
    <w:basedOn w:val="C0"/>
    <w:link w:val="P63"/>
    <w:rPr>
      <w:rFonts w:ascii="Garamond" w:hAnsi="Garamond"/>
      <w:sz w:val="20"/>
      <w:szCs w:val="20"/>
    </w:rPr>
  </w:style>
  <w:style w:type="character" w:styleId="C32">
    <w:name w:val="Kommentarsämne Char"/>
    <w:basedOn w:val="C31"/>
    <w:link w:val="P64"/>
    <w:semiHidden/>
    <w:rPr>
      <w:rFonts w:ascii="Garamond" w:hAnsi="Garamond"/>
      <w:b w:val="1"/>
      <w:bCs w:val="1"/>
      <w:sz w:val="20"/>
      <w:szCs w:val="20"/>
    </w:rPr>
  </w:style>
  <w:style w:type="character" w:styleId="C33">
    <w:name w:val="Makrotext Char"/>
    <w:basedOn w:val="C0"/>
    <w:link w:val="P76"/>
    <w:semiHidden/>
    <w:rPr>
      <w:rFonts w:ascii="Consolas" w:hAnsi="Consolas"/>
      <w:sz w:val="20"/>
      <w:szCs w:val="20"/>
    </w:rPr>
  </w:style>
  <w:style w:type="character" w:styleId="C34">
    <w:name w:val="Meddelanderubrik Char"/>
    <w:basedOn w:val="C0"/>
    <w:link w:val="P77"/>
    <w:semiHidden/>
    <w:rPr>
      <w:rFonts w:asciiTheme="majorHAnsi" w:hAnsiTheme="majorHAnsi" w:cstheme="majorBidi" w:eastAsiaTheme="majorEastAsia"/>
      <w:sz w:val="24"/>
      <w:szCs w:val="24"/>
      <w:shd w:val="pct20" w:color="auto" w:fill="auto"/>
    </w:rPr>
  </w:style>
  <w:style w:type="character" w:styleId="C35">
    <w:name w:val="Oformaterad text Char"/>
    <w:basedOn w:val="C0"/>
    <w:link w:val="P85"/>
    <w:semiHidden/>
    <w:rPr>
      <w:rFonts w:ascii="Consolas" w:hAnsi="Consolas"/>
      <w:sz w:val="21"/>
      <w:szCs w:val="21"/>
    </w:rPr>
  </w:style>
  <w:style w:type="character" w:styleId="C36">
    <w:name w:val="Rubrik Char"/>
    <w:basedOn w:val="C0"/>
    <w:link w:val="P91"/>
    <w:rPr>
      <w:rFonts w:asciiTheme="majorHAnsi" w:hAnsiTheme="majorHAnsi" w:cstheme="majorBidi" w:eastAsiaTheme="majorEastAsia"/>
      <w:sz w:val="56"/>
      <w:szCs w:val="56"/>
      <w:spacing w:val="-10"/>
      <w:kern w:val="28"/>
    </w:rPr>
  </w:style>
  <w:style w:type="character" w:styleId="C37">
    <w:name w:val="Rubrik 5 Char"/>
    <w:basedOn w:val="C0"/>
    <w:link w:val="P5"/>
    <w:rPr>
      <w:rFonts w:ascii="Barlow Semi Condensed" w:hAnsi="Barlow Semi Condensed" w:cstheme="majorBidi" w:eastAsiaTheme="majorEastAsia"/>
      <w:caps w:val="1"/>
      <w:color w:val="000000" w:themeColor="text1"/>
      <w:sz w:val="24"/>
    </w:rPr>
  </w:style>
  <w:style w:type="character" w:styleId="C38">
    <w:name w:val="Rubrik 6 Char"/>
    <w:basedOn w:val="C0"/>
    <w:link w:val="P6"/>
    <w:semiHidden/>
    <w:rPr>
      <w:rFonts w:asciiTheme="majorHAnsi" w:hAnsiTheme="majorHAnsi" w:cstheme="majorBidi" w:eastAsiaTheme="majorEastAsia"/>
      <w:color w:val="003F51" w:themeColor="accent1" w:themeShade="7F"/>
      <w:sz w:val="25"/>
    </w:rPr>
  </w:style>
  <w:style w:type="character" w:styleId="C39">
    <w:name w:val="Rubrik 7 Char"/>
    <w:basedOn w:val="C0"/>
    <w:link w:val="P7"/>
    <w:semiHidden/>
    <w:rPr>
      <w:rFonts w:asciiTheme="majorHAnsi" w:hAnsiTheme="majorHAnsi" w:cstheme="majorBidi" w:eastAsiaTheme="majorEastAsia"/>
      <w:i w:val="1"/>
      <w:iCs w:val="1"/>
      <w:color w:val="003F51" w:themeColor="accent1" w:themeShade="7F"/>
      <w:sz w:val="25"/>
    </w:rPr>
  </w:style>
  <w:style w:type="character" w:styleId="C40">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41">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42">
    <w:name w:val="Signatur Char"/>
    <w:basedOn w:val="C0"/>
    <w:link w:val="P92"/>
    <w:semiHidden/>
    <w:rPr>
      <w:rFonts w:ascii="Garamond" w:hAnsi="Garamond"/>
      <w:sz w:val="25"/>
    </w:rPr>
  </w:style>
  <w:style w:type="character" w:styleId="C43">
    <w:name w:val="Slutnotstext Char"/>
    <w:basedOn w:val="C0"/>
    <w:link w:val="P93"/>
    <w:semiHidden/>
    <w:rPr>
      <w:rFonts w:ascii="Garamond" w:hAnsi="Garamond"/>
      <w:sz w:val="20"/>
      <w:szCs w:val="20"/>
    </w:rPr>
  </w:style>
  <w:style w:type="character" w:styleId="C44">
    <w:name w:val="Starkt citat Char"/>
    <w:basedOn w:val="C0"/>
    <w:link w:val="P94"/>
    <w:rPr>
      <w:rFonts w:ascii="Garamond" w:hAnsi="Garamond"/>
      <w:i w:val="1"/>
      <w:iCs w:val="1"/>
      <w:color w:val="007FA3" w:themeColor="accent1"/>
      <w:sz w:val="25"/>
    </w:rPr>
  </w:style>
  <w:style w:type="character" w:styleId="C45">
    <w:name w:val="Underrubrik Char"/>
    <w:basedOn w:val="C0"/>
    <w:link w:val="P95"/>
    <w:rPr>
      <w:rFonts w:eastAsiaTheme="minorEastAsia"/>
      <w:color w:val="5A5A5A" w:themeColor="text1" w:themeTint="A5"/>
      <w:spacing w:val="15"/>
    </w:rPr>
  </w:style>
  <w:style w:type="character" w:styleId="C46">
    <w:name w:val="Förklaringstext Char"/>
    <w:link w:val="P96"/>
    <w:rPr>
      <w:rFonts w:ascii="Garamond" w:hAnsi="Garamond" w:cs="Times New Roman" w:eastAsia="Times New Roman"/>
      <w:i w:val="1"/>
      <w:color w:val="808080"/>
      <w:sz w:val="20"/>
      <w:szCs w:val="24"/>
      <w:lang w:eastAsia="sv-SE"/>
    </w:rPr>
  </w:style>
  <w:style w:type="character" w:styleId="C47">
    <w:name w:val="Pärmsida Char"/>
    <w:link w:val="P97"/>
    <w:rPr>
      <w:rFonts w:ascii="Barlow Semi Condensed" w:hAnsi="Barlow Semi Condensed" w:cs="Arial" w:eastAsia="Times New Roman"/>
      <w:bCs w:val="1"/>
      <w:iCs w:val="1"/>
      <w:sz w:val="18"/>
      <w:szCs w:val="28"/>
      <w:lang w:eastAsia="sv-SE"/>
    </w:rPr>
  </w:style>
  <w:style w:type="character" w:styleId="C48">
    <w:name w:val="annotation reference"/>
    <w:basedOn w:val="C0"/>
    <w:rPr>
      <w:sz w:val="16"/>
      <w:szCs w:val="16"/>
    </w:rPr>
  </w:style>
  <w:style w:type="character" w:styleId="C49">
    <w:name w:val="Emphasis"/>
    <w:qFormat/>
    <w:rPr>
      <w:i w:val="1"/>
      <w:iCs w:val="1"/>
    </w:rPr>
  </w:style>
  <w:style w:type="character" w:styleId="C50">
    <w:name w:val="Brödtexten Char"/>
    <w:link w:val="P98"/>
    <w:rPr>
      <w:rFonts w:ascii="Garamond" w:hAnsi="Garamond" w:cs="Times New Roman" w:eastAsia="Times New Roman"/>
      <w:sz w:val="24"/>
      <w:szCs w:val="24"/>
      <w:lang w:eastAsia="sv-SE"/>
    </w:rPr>
  </w:style>
  <w:style w:type="character" w:styleId="C51">
    <w:name w:val="Footnote Reference"/>
    <w:semiHidden/>
    <w:rPr>
      <w:vertAlign w:val="superscript"/>
    </w:rPr>
  </w:style>
  <w:style w:type="character" w:styleId="C52">
    <w:name w:val="Olöst omnämnande1"/>
    <w:basedOn w:val="C0"/>
    <w:semiHidden/>
    <w:rPr>
      <w:color w:val="605E5C"/>
      <w:shd w:val="clear" w:color="auto" w:fill="E1DFDD"/>
    </w:rPr>
  </w:style>
  <w:style w:type="character" w:styleId="C53">
    <w:name w:val="Olöst omnämnande2"/>
    <w:basedOn w:val="C0"/>
    <w:semiHidden/>
    <w:rPr>
      <w:color w:val="605E5C"/>
      <w:shd w:val="clear" w:color="auto" w:fill="E1DFDD"/>
    </w:rPr>
  </w:style>
  <w:style w:type="character" w:styleId="C54">
    <w:name w:val="Unresolved Mention1"/>
    <w:basedOn w:val="C0"/>
    <w:semiHidden/>
    <w:rPr>
      <w:color w:val="605E5C"/>
      <w:shd w:val="clear" w:color="auto" w:fill="E1DFDD"/>
    </w:rPr>
  </w:style>
  <w:style w:type="character" w:styleId="C55">
    <w:name w:val="Beskrivning Char"/>
    <w:basedOn w:val="C0"/>
    <w:link w:val="P23"/>
    <w:rPr>
      <w:rFonts w:ascii="Garamond" w:hAnsi="Garamond"/>
      <w:i w:val="1"/>
      <w:iCs w:val="1"/>
      <w:color w:val="404040" w:themeColor="text1" w:themeTint="BF"/>
      <w:sz w:val="24"/>
      <w:szCs w:val="18"/>
    </w:rPr>
  </w:style>
  <w:style w:type="character" w:styleId="C56">
    <w:name w:val="mw-page-title-main"/>
    <w:basedOn w:val="C0"/>
    <w:rPr/>
  </w:style>
  <w:style w:type="character" w:styleId="C57">
    <w:name w:val="Footnote Text Char"/>
    <w:semiHidden/>
    <w:rPr>
      <w:sz w:val="20"/>
      <w:szCs w:val="20"/>
    </w:rPr>
  </w:style>
  <w:style w:type="character" w:styleId="C58">
    <w:name w:val="Endnote Reference"/>
    <w:semiHidden/>
    <w:rPr>
      <w:vertAlign w:val="superscript"/>
    </w:rPr>
  </w:style>
  <w:style w:type="character" w:styleId="C59">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Plain Table 11"/>
    <w:aliases w:val="Motala"/>
    <w:basedOn w:val="T0"/>
    <w:rPr>
      <w:rFonts w:ascii="Barlow" w:hAnsi="Barlow"/>
      <w:sz w:val="20"/>
    </w:rPr>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2Horz">
      <w:rPr>
        <w:rFonts w:ascii="Barlow" w:hAnsi="Barlow"/>
        <w:sz w:val="20"/>
      </w:rPr>
      <w:tblPr/>
      <w:trPr/>
      <w:tcPr/>
    </w:tblStylePr>
    <w:tblStylePr w:type="band1Horz">
      <w:rPr>
        <w:rFonts w:ascii="Barlow" w:hAnsi="Barlow"/>
        <w:sz w:val="20"/>
      </w:rPr>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rFonts w:ascii="Barlow Semi Condensed SemiBold" w:hAnsi="Barlow Semi Condensed SemiBold"/>
        <w:b w:val="1"/>
        <w:bCs w:val="1"/>
        <w:sz w:val="20"/>
      </w:rPr>
      <w:tblPr/>
      <w:trPr/>
      <w:tcPr/>
    </w:tblStylePr>
  </w:style>
  <w:style w:type="table" w:styleId="T4">
    <w:name w:val="Plain Table 21"/>
    <w:basedOn w:val="T0"/>
    <w:tblPr>
      <w:tblStyleRowBandSize w:val="1"/>
      <w:tblStyleColBandSize w:val="1"/>
      <w:tblBorders>
        <w:top w:val="single" w:sz="4" w:space="0" w:shadow="0" w:frame="0" w:color="7F7F7F" w:themeColor="text1" w:themeTint="80"/>
        <w:bottom w:val="single" w:sz="4" w:space="0" w:shadow="0" w:frame="0" w:color="7F7F7F" w:themeColor="text1" w:themeTint="80"/>
      </w:tblBorders>
    </w:tblPr>
    <w:trPr/>
    <w:tcPr/>
    <w:tblStylePr w:type="band1Horz">
      <w:tblPr/>
      <w:trPr/>
      <w:tcPr>
        <w:tcBorders>
          <w:top w:val="single" w:sz="4" w:space="0" w:shadow="0" w:frame="0" w:color="7F7F7F" w:themeColor="text1" w:themeTint="80"/>
          <w:bottom w:val="single" w:sz="4" w:space="0" w:shadow="0" w:frame="0" w:color="7F7F7F" w:themeColor="text1" w:themeTint="80"/>
        </w:tcBorders>
      </w:tcPr>
    </w:tblStylePr>
    <w:tblStylePr w:type="band2Vert">
      <w:tblPr/>
      <w:trPr/>
      <w:tcPr>
        <w:tcBorders>
          <w:left w:val="single" w:sz="4" w:space="0" w:shadow="0" w:frame="0" w:color="7F7F7F" w:themeColor="text1" w:themeTint="80"/>
          <w:right w:val="single" w:sz="4" w:space="0" w:shadow="0" w:frame="0" w:color="7F7F7F" w:themeColor="text1" w:themeTint="80"/>
        </w:tcBorders>
      </w:tcPr>
    </w:tblStylePr>
    <w:tblStylePr w:type="band1Vert">
      <w:tblPr/>
      <w:trPr/>
      <w:tcPr>
        <w:tcBorders>
          <w:left w:val="single" w:sz="4" w:space="0" w:shadow="0" w:frame="0" w:color="7F7F7F" w:themeColor="text1" w:themeTint="80"/>
          <w:right w:val="single" w:sz="4" w:space="0" w:shadow="0" w:frame="0" w:color="7F7F7F" w:themeColor="text1" w:themeTint="80"/>
        </w:tcBorders>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4" w:space="0" w:shadow="0" w:frame="0" w:color="7F7F7F" w:themeColor="text1" w:themeTint="80"/>
        </w:tcBorders>
      </w:tcPr>
    </w:tblStylePr>
    <w:tblStylePr w:type="firstRow">
      <w:rPr>
        <w:b w:val="1"/>
        <w:bCs w:val="1"/>
      </w:rPr>
      <w:tblPr/>
      <w:trPr/>
      <w:tcPr>
        <w:tcBorders>
          <w:bottom w:val="single" w:sz="4" w:space="0" w:shadow="0" w:frame="0" w:color="7F7F7F" w:themeColor="text1" w:themeTint="80"/>
        </w:tcBorders>
      </w:tcPr>
    </w:tblStylePr>
  </w:style>
  <w:style w:type="table" w:styleId="T5">
    <w:name w:val="Plain Table 41"/>
    <w:basedOn w:val="T0"/>
    <w:tblPr>
      <w:tblStyleRowBandSize w:val="1"/>
      <w:tblStyleColBandSize w:val="1"/>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blStylePr>
    <w:tblStylePr w:type="firstRow">
      <w:rPr>
        <w:b w:val="1"/>
        <w:bCs w:val="1"/>
      </w:rPr>
      <w:tblPr/>
      <w:trPr/>
      <w:tcPr/>
    </w:tblStylePr>
  </w:style>
  <w:style w:type="table" w:styleId="T6">
    <w:name w:val="Grid Table 5 Dark Accent 1"/>
    <w:aliases w:val="Motala kommun"/>
    <w:basedOn w:val="T0"/>
    <w:rPr>
      <w:rFonts w:ascii="Barlow" w:hAnsi="Barlow"/>
      <w:sz w:val="20"/>
    </w:rPr>
    <w:tblPr>
      <w:tblStyleRowBandSize w:val="1"/>
      <w:tblStyleColBandSize w:val="1"/>
      <w:tblBorders>
        <w:top w:val="single" w:sz="4" w:space="0" w:shadow="0" w:frame="0" w:color="BDF1FF"/>
        <w:left w:val="single" w:sz="4" w:space="0" w:shadow="0" w:frame="0" w:color="BDF1FF"/>
        <w:bottom w:val="single" w:sz="4" w:space="0" w:shadow="0" w:frame="0" w:color="BDF1FF"/>
        <w:right w:val="single" w:sz="4" w:space="0" w:shadow="0" w:frame="0" w:color="BDF1FF"/>
        <w:insideH w:val="single" w:sz="4" w:space="0" w:shadow="0" w:frame="0" w:color="BDF1FF"/>
        <w:insideV w:val="single" w:sz="4" w:space="0" w:shadow="0" w:frame="0" w:color="BDF1FF"/>
      </w:tblBorders>
    </w:tblPr>
    <w:trPr/>
    <w:tcPr>
      <w:shd w:val="clear" w:color="auto" w:fill="BDF1FF"/>
    </w:tcPr>
    <w:tblStylePr w:type="band1Horz">
      <w:tblPr/>
      <w:trPr/>
      <w:tcPr>
        <w:shd w:val="clear" w:color="auto" w:fill="74E0FF" w:themeFill="accent1" w:themeFillTint="66"/>
      </w:tcPr>
    </w:tblStylePr>
    <w:tblStylePr w:type="band1Vert">
      <w:tblPr/>
      <w:trPr/>
      <w:tcPr>
        <w:shd w:val="clear" w:color="auto" w:fill="74E0FF" w:themeFill="accent1" w:themeFillTint="66"/>
      </w:tcPr>
    </w:tblStylePr>
    <w:tblStylePr w:type="lastCol">
      <w:rPr>
        <w:b w:val="1"/>
        <w:bCs w:val="1"/>
        <w:color w:val="FFFFFF" w:themeColor="background1"/>
      </w:rPr>
      <w:tblPr/>
      <w:trPr/>
      <w:tcPr>
        <w:tcBorders>
          <w:top w:val="single" w:sz="4" w:space="0" w:shadow="0" w:frame="0" w:color="FFFFFF" w:themeColor="background1"/>
          <w:bottom w:val="single" w:sz="4" w:space="0" w:shadow="0" w:frame="0" w:color="FFFFFF" w:themeColor="background1"/>
          <w:right w:val="single" w:sz="4" w:space="0" w:shadow="0" w:frame="0" w:color="FFFFFF" w:themeColor="background1"/>
          <w:insideV w:val="nil"/>
        </w:tcBorders>
        <w:shd w:val="clear" w:color="auto" w:fill="007FA3" w:themeFill="accent1"/>
      </w:tcPr>
    </w:tblStylePr>
    <w:tblStylePr w:type="firstCol">
      <w:rPr>
        <w:b w:val="1"/>
        <w:bCs w:val="1"/>
        <w:color w:val="FFFFFF" w:themeColor="background1"/>
      </w:rPr>
      <w:tblPr/>
      <w:trPr/>
      <w:tcPr>
        <w:tcBorders>
          <w:top w:val="single" w:sz="4" w:space="0" w:shadow="0" w:frame="0" w:color="FFFFFF" w:themeColor="background1"/>
          <w:left w:val="single" w:sz="4" w:space="0" w:shadow="0" w:frame="0" w:color="FFFFFF" w:themeColor="background1"/>
          <w:bottom w:val="single" w:sz="4" w:space="0" w:shadow="0" w:frame="0" w:color="FFFFFF" w:themeColor="background1"/>
          <w:insideV w:val="nil"/>
        </w:tcBorders>
        <w:shd w:val="clear" w:color="auto" w:fill="007FA3" w:themeFill="accent1"/>
      </w:tcPr>
    </w:tblStylePr>
    <w:tblStylePr w:type="lastRow">
      <w:rPr>
        <w:b w:val="1"/>
        <w:bCs w:val="1"/>
        <w:color w:val="FFFFFF" w:themeColor="background1"/>
      </w:rPr>
      <w:tblPr/>
      <w:trPr/>
      <w:tcPr>
        <w:tcBorders>
          <w:left w:val="single" w:sz="4" w:space="0" w:shadow="0" w:frame="0" w:color="FFFFFF" w:themeColor="background1"/>
          <w:bottom w:val="single" w:sz="4" w:space="0" w:shadow="0" w:frame="0" w:color="FFFFFF" w:themeColor="background1"/>
          <w:right w:val="single" w:sz="4" w:space="0" w:shadow="0" w:frame="0" w:color="FFFFFF" w:themeColor="background1"/>
          <w:insideH w:val="nil"/>
          <w:insideV w:val="nil"/>
        </w:tcBorders>
        <w:shd w:val="clear" w:color="auto" w:fill="007FA3" w:themeFill="accent1"/>
      </w:tcPr>
    </w:tblStylePr>
    <w:tblStylePr w:type="firstRow">
      <w:rPr>
        <w:b w:val="1"/>
        <w:bCs w:val="1"/>
        <w:color w:val="FFFFFF" w:themeColor="background1"/>
      </w:rPr>
      <w:tblPr/>
      <w:trPr/>
      <w:tcPr>
        <w:tcBorders>
          <w:top w:val="single" w:sz="4" w:space="0" w:shadow="0" w:frame="0" w:color="FFFFFF" w:themeColor="background1"/>
          <w:left w:val="single" w:sz="4" w:space="0" w:shadow="0" w:frame="0" w:color="FFFFFF" w:themeColor="background1"/>
          <w:right w:val="single" w:sz="4" w:space="0" w:shadow="0" w:frame="0" w:color="FFFFFF" w:themeColor="background1"/>
          <w:insideH w:val="nil"/>
          <w:insideV w:val="nil"/>
        </w:tcBorders>
        <w:shd w:val="clear" w:color="auto" w:fill="007FA3" w:themeFill="accent1"/>
      </w:tcPr>
    </w:tblStylePr>
  </w:style>
  <w:style w:type="table" w:styleId="T7">
    <w:name w:val="Grid Table 4 Accent 1"/>
    <w:basedOn w:val="T0"/>
    <w:rPr>
      <w:rFonts w:ascii="Barlow" w:hAnsi="Barlow"/>
      <w:sz w:val="18"/>
    </w:rPr>
    <w:tblPr>
      <w:tblStyleRowBandSize w:val="1"/>
      <w:tblStyleColBandSize w:val="1"/>
      <w:tblBorders>
        <w:top w:val="single" w:sz="4" w:space="0" w:shadow="0" w:frame="0" w:color="2FD1FF" w:themeColor="accent1" w:themeTint="99"/>
        <w:left w:val="single" w:sz="4" w:space="0" w:shadow="0" w:frame="0" w:color="2FD1FF" w:themeColor="accent1" w:themeTint="99"/>
        <w:bottom w:val="single" w:sz="4" w:space="0" w:shadow="0" w:frame="0" w:color="2FD1FF" w:themeColor="accent1" w:themeTint="99"/>
        <w:right w:val="single" w:sz="4" w:space="0" w:shadow="0" w:frame="0" w:color="2FD1FF" w:themeColor="accent1" w:themeTint="99"/>
        <w:insideH w:val="single" w:sz="4" w:space="0" w:shadow="0" w:frame="0" w:color="2FD1FF" w:themeColor="accent1" w:themeTint="99"/>
        <w:insideV w:val="single" w:sz="4" w:space="0" w:shadow="0" w:frame="0" w:color="2FD1FF" w:themeColor="accent1" w:themeTint="99"/>
      </w:tblBorders>
    </w:tblPr>
    <w:trPr/>
    <w:tcPr/>
    <w:tblStylePr w:type="band1Horz">
      <w:tblPr/>
      <w:trPr/>
      <w:tcPr>
        <w:shd w:val="clear" w:color="auto" w:fill="BBF0FF" w:themeFill="accent1" w:themeFillTint="31"/>
      </w:tcPr>
    </w:tblStylePr>
    <w:tblStylePr w:type="band1Vert">
      <w:tblPr/>
      <w:trPr/>
      <w:tcPr>
        <w:shd w:val="clear" w:color="auto" w:fill="BBF0FF" w:themeFill="accent1" w:themeFillTint="31"/>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007FA3" w:themeColor="accent1"/>
        </w:tcBorders>
      </w:tcPr>
    </w:tblStylePr>
    <w:tblStylePr w:type="firstRow">
      <w:rPr>
        <w:b w:val="1"/>
        <w:bCs w:val="1"/>
        <w:color w:val="FFFFFF" w:themeColor="background1"/>
      </w:rPr>
      <w:tblPr/>
      <w:trPr/>
      <w:tcPr>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insideH w:val="nil"/>
          <w:insideV w:val="nil"/>
        </w:tcBorders>
        <w:shd w:val="clear" w:color="auto" w:fill="007FA3" w:themeFill="accent1"/>
      </w:tcPr>
    </w:tblStylePr>
  </w:style>
  <w:style w:type="table" w:styleId="T8">
    <w:name w:val="List Table 3 Accent 1"/>
    <w:basedOn w:val="T0"/>
    <w:tblPr>
      <w:tblStyleRowBandSize w:val="1"/>
      <w:tblStyleColBandSize w:val="1"/>
      <w:tbl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blBorders>
    </w:tblPr>
    <w:trPr/>
    <w:tcPr/>
    <w:tblStylePr w:type="swCell">
      <w:tblPr/>
      <w:trPr/>
      <w:tcPr>
        <w:tcBorders>
          <w:top w:val="double" w:sz="4" w:space="0" w:shadow="0" w:frame="0" w:color="007FA3" w:themeColor="accent1"/>
          <w:right w:val="nil"/>
        </w:tcBorders>
      </w:tcPr>
    </w:tblStylePr>
    <w:tblStylePr w:type="seCell">
      <w:tblPr/>
      <w:trPr/>
      <w:tcPr>
        <w:tcBorders>
          <w:top w:val="double" w:sz="4" w:space="0" w:shadow="0" w:frame="0" w:color="007FA3" w:themeColor="accent1"/>
          <w:left w:val="nil"/>
        </w:tcBorders>
      </w:tcPr>
    </w:tblStylePr>
    <w:tblStylePr w:type="nwCell">
      <w:tblPr/>
      <w:trPr/>
      <w:tcPr>
        <w:tcBorders>
          <w:bottom w:val="nil"/>
          <w:right w:val="nil"/>
        </w:tcBorders>
      </w:tcPr>
    </w:tblStylePr>
    <w:tblStylePr w:type="neCell">
      <w:tblPr/>
      <w:trPr/>
      <w:tcPr>
        <w:tcBorders>
          <w:left w:val="nil"/>
          <w:bottom w:val="nil"/>
        </w:tcBorders>
      </w:tcPr>
    </w:tblStylePr>
    <w:tblStylePr w:type="band1Horz">
      <w:tblPr/>
      <w:trPr/>
      <w:tcPr>
        <w:tcBorders>
          <w:top w:val="single" w:sz="4" w:space="0" w:shadow="0" w:frame="0" w:color="007FA3" w:themeColor="accent1"/>
          <w:bottom w:val="single" w:sz="4" w:space="0" w:shadow="0" w:frame="0" w:color="007FA3" w:themeColor="accent1"/>
          <w:insideH w:val="nil"/>
        </w:tcBorders>
      </w:tcPr>
    </w:tblStylePr>
    <w:tblStylePr w:type="band1Vert">
      <w:tblPr/>
      <w:trPr/>
      <w:tcPr>
        <w:tcBorders>
          <w:left w:val="single" w:sz="4" w:space="0" w:shadow="0" w:frame="0" w:color="007FA3" w:themeColor="accent1"/>
          <w:right w:val="single" w:sz="4" w:space="0" w:shadow="0" w:frame="0" w:color="007FA3" w:themeColor="accent1"/>
        </w:tcBorders>
      </w:tcPr>
    </w:tblStylePr>
    <w:tblStylePr w:type="lastCol">
      <w:rPr>
        <w:b w:val="1"/>
        <w:bCs w:val="1"/>
      </w:rPr>
      <w:tblPr/>
      <w:trPr/>
      <w:tcPr>
        <w:tcBorders>
          <w:left w:val="nil"/>
        </w:tcBorders>
        <w:shd w:val="clear" w:color="auto" w:fill="FFFFFF" w:themeFill="background1"/>
      </w:tcPr>
    </w:tblStylePr>
    <w:tblStylePr w:type="firstCol">
      <w:rPr>
        <w:b w:val="1"/>
        <w:bCs w:val="1"/>
      </w:rPr>
      <w:tblPr/>
      <w:trPr/>
      <w:tcPr>
        <w:tcBorders>
          <w:right w:val="nil"/>
        </w:tcBorders>
        <w:shd w:val="clear" w:color="auto" w:fill="FFFFFF" w:themeFill="background1"/>
      </w:tcPr>
    </w:tblStylePr>
    <w:tblStylePr w:type="lastRow">
      <w:rPr>
        <w:b w:val="1"/>
        <w:bCs w:val="1"/>
      </w:rPr>
      <w:tblPr/>
      <w:trPr/>
      <w:tcPr>
        <w:tcBorders>
          <w:top w:val="double" w:sz="4" w:space="0" w:shadow="0" w:frame="0" w:color="007FA3" w:themeColor="accent1"/>
        </w:tcBorders>
        <w:shd w:val="clear" w:color="auto" w:fill="FFFFFF" w:themeFill="background1"/>
      </w:tcPr>
    </w:tblStylePr>
    <w:tblStylePr w:type="firstRow">
      <w:rPr>
        <w:b w:val="1"/>
        <w:bCs w:val="1"/>
        <w:color w:val="FFFFFF" w:themeColor="background1"/>
      </w:rPr>
      <w:tblPr/>
      <w:trPr/>
      <w:tcPr>
        <w:shd w:val="clear" w:color="auto" w:fill="007FA3" w:themeFill="accent1"/>
      </w:tcPr>
    </w:tblStylePr>
  </w:style>
  <w:style w:type="table" w:styleId="T9">
    <w:name w:val="Grid Table 1 Light1"/>
    <w:basedOn w:val="T0"/>
    <w:tblPr>
      <w:tblStyleRowBandSize w:val="1"/>
      <w:tblStyleColBandSize w:val="1"/>
      <w:tblBorders>
        <w:top w:val="single" w:sz="4" w:space="0" w:shadow="0" w:frame="0" w:color="999999" w:themeColor="text1" w:themeTint="66"/>
        <w:left w:val="single" w:sz="4" w:space="0" w:shadow="0" w:frame="0" w:color="999999" w:themeColor="text1" w:themeTint="66"/>
        <w:bottom w:val="single" w:sz="4" w:space="0" w:shadow="0" w:frame="0" w:color="999999" w:themeColor="text1" w:themeTint="66"/>
        <w:right w:val="single" w:sz="4" w:space="0" w:shadow="0" w:frame="0" w:color="999999" w:themeColor="text1" w:themeTint="66"/>
        <w:insideH w:val="single" w:sz="4" w:space="0" w:shadow="0" w:frame="0" w:color="999999" w:themeColor="text1" w:themeTint="66"/>
        <w:insideV w:val="single" w:sz="4" w:space="0" w:shadow="0" w:frame="0" w:color="999999" w:themeColor="text1" w:themeTint="66"/>
      </w:tblBorders>
    </w:tblPr>
    <w:trPr/>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2" w:space="0" w:shadow="0" w:frame="0" w:color="666666" w:themeColor="text1" w:themeTint="99"/>
        </w:tcBorders>
      </w:tcPr>
    </w:tblStylePr>
    <w:tblStylePr w:type="firstRow">
      <w:rPr>
        <w:b w:val="1"/>
        <w:bCs w:val="1"/>
      </w:rPr>
      <w:tblPr/>
      <w:trPr/>
      <w:tcPr>
        <w:tcBorders>
          <w:bottom w:val="single" w:sz="12" w:space="0" w:shadow="0" w:frame="0" w:color="666666" w:themeColor="text1" w:themeTint="99"/>
        </w:tcBorders>
      </w:tcPr>
    </w:tblStylePr>
  </w:style>
  <w:style w:type="table" w:styleId="T10">
    <w:name w:val="Grid Table 1 Light Accent 2"/>
    <w:basedOn w:val="T0"/>
    <w:tblPr>
      <w:tblStyleRowBandSize w:val="1"/>
      <w:tblStyleColBandSize w:val="1"/>
      <w:tblBorders>
        <w:top w:val="single" w:sz="4" w:space="0" w:shadow="0" w:frame="0" w:color="EB9EB8" w:themeColor="accent2" w:themeTint="66"/>
        <w:left w:val="single" w:sz="4" w:space="0" w:shadow="0" w:frame="0" w:color="EB9EB8" w:themeColor="accent2" w:themeTint="66"/>
        <w:bottom w:val="single" w:sz="4" w:space="0" w:shadow="0" w:frame="0" w:color="EB9EB8" w:themeColor="accent2" w:themeTint="66"/>
        <w:right w:val="single" w:sz="4" w:space="0" w:shadow="0" w:frame="0" w:color="EB9EB8" w:themeColor="accent2" w:themeTint="66"/>
        <w:insideH w:val="single" w:sz="4" w:space="0" w:shadow="0" w:frame="0" w:color="EB9EB8" w:themeColor="accent2" w:themeTint="66"/>
        <w:insideV w:val="single" w:sz="4" w:space="0" w:shadow="0" w:frame="0" w:color="EB9EB8" w:themeColor="accent2" w:themeTint="66"/>
      </w:tblBorders>
    </w:tblPr>
    <w:trPr/>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2" w:space="0" w:shadow="0" w:frame="0" w:color="E16E94" w:themeColor="accent2" w:themeTint="99"/>
        </w:tcBorders>
      </w:tcPr>
    </w:tblStylePr>
    <w:tblStylePr w:type="firstRow">
      <w:rPr>
        <w:b w:val="1"/>
        <w:bCs w:val="1"/>
      </w:rPr>
      <w:tblPr/>
      <w:trPr/>
      <w:tcPr>
        <w:tcBorders>
          <w:bottom w:val="single" w:sz="12" w:space="0" w:shadow="0" w:frame="0" w:color="E16E94" w:themeColor="accent2" w:themeTint="99"/>
        </w:tcBorders>
      </w:tcPr>
    </w:tblStylePr>
  </w:style>
  <w:style w:type="numbering" w:styleId="N0">
    <w:name w:val="No List"/>
  </w:style>
  <w:style w:type="numbering" w:styleId="N1">
    <w:name w:val="Lista MK"/>
    <w:pPr>
      <w:numPr>
        <w:numId w:val="2"/>
      </w:numPr>
    </w:pPr>
  </w:style>
</w:styles>
</file>

<file path=word/_rels/document.xml.rels>&#65279;<?xml version="1.0" encoding="utf-8"?><Relationships xmlns="http://schemas.openxmlformats.org/package/2006/relationships"><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2" Type="http://schemas.openxmlformats.org/officeDocument/2006/relationships/hyperlink" Target="http://www.motala.se/kommun" TargetMode="External" /><Relationship Id="R3" Type="http://schemas.openxmlformats.org/officeDocument/2006/relationships/hyperlink" Target="http://www.motala.se/kommun" TargetMode="External" /></Relationships>
</file>

<file path=word/_rels/footer2.xml.rels>&#65279;<?xml version="1.0" encoding="utf-8"?><Relationships xmlns="http://schemas.openxmlformats.org/package/2006/relationships"><Relationship Id="Relimage3" Type="http://schemas.openxmlformats.org/officeDocument/2006/relationships/image" Target="/media/image3.png" /></Relationships>
</file>

<file path=word/_rels/footer3.xml.rels>&#65279;<?xml version="1.0" encoding="utf-8"?><Relationships xmlns="http://schemas.openxmlformats.org/package/2006/relationships"><Relationship Id="R4" Type="http://schemas.openxmlformats.org/officeDocument/2006/relationships/hyperlink" Target="http://www.motala.se/kommun" TargetMode="External" /><Relationship Id="R5" Type="http://schemas.openxmlformats.org/officeDocument/2006/relationships/hyperlink" Target="http://www.motala.se/kommun" TargetMode="External" /></Relationships>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s>
</file>

<file path=word/_rels/header3.xml.rels>&#65279;<?xml version="1.0" encoding="utf-8"?><Relationships xmlns="http://schemas.openxmlformats.org/package/2006/relationships" />
</file>

<file path=word/_rels/header4.xml.rels>&#65279;<?xml version="1.0" encoding="utf-8"?><Relationships xmlns="http://schemas.openxmlformats.org/package/2006/relationships" />
</file>

<file path=word/theme/theme1.xml><?xml version="1.0" encoding="utf-8"?>
<a:theme xmlns:a="http://schemas.openxmlformats.org/drawingml/2006/main" name="Office-tema">
  <a:themeElements>
    <a:clrScheme name="Motala kommun">
      <a:dk1>
        <a:srgbClr val="000000"/>
      </a:dk1>
      <a:lt1>
        <a:sysClr val="window" lastClr="FFFFFF"/>
      </a:lt1>
      <a:dk2>
        <a:srgbClr val="003C71"/>
      </a:dk2>
      <a:lt2>
        <a:srgbClr val="FFFFFF"/>
      </a:lt2>
      <a:accent1>
        <a:srgbClr val="007FA3"/>
      </a:accent1>
      <a:accent2>
        <a:srgbClr val="B52555"/>
      </a:accent2>
      <a:accent3>
        <a:srgbClr val="4E801F"/>
      </a:accent3>
      <a:accent4>
        <a:srgbClr val="CA3604"/>
      </a:accent4>
      <a:accent5>
        <a:srgbClr val="007367"/>
      </a:accent5>
      <a:accent6>
        <a:srgbClr val="003C71"/>
      </a:accent6>
      <a:hlink>
        <a:srgbClr val="007FA3"/>
      </a:hlink>
      <a:folHlink>
        <a:srgbClr val="B52555"/>
      </a:folHlink>
    </a:clrScheme>
    <a:fontScheme name="Motala kommun">
      <a:majorFont>
        <a:latin typeface="Barlow Semi Condensed SemiBold"/>
        <a:ea typeface=""/>
        <a:cs typeface=""/>
      </a:majorFont>
      <a:minorFont>
        <a:latin typeface="Barlow"/>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2025-01-31T10:33:26.4851056+01:00</versionGiltigFran>
  <detaljplansreferens>b354d860-2b56-4486-b12c-5b416fd937f8</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be_heladetaljplan02</identitet>
    <Lage>
      <planomrade>true</planomrade>
    </Lage>
    <Indelning>
      <tema>Beskrivning av detaljplanen</tema>
      <grupp>Hela detaljplan</grupp>
    </Indelning>
  </Omfattning>
  <Omfattning>
    <identitet>be_ärendeinformation01</identitet>
    <Lage>
      <planomrade>true</planomrade>
    </Lage>
    <Indelning>
      <tema>Beskrivning av detaljplanen</tema>
      <grupp>Ärendeinformation</grupp>
    </Indelning>
  </Omfattning>
  <Omfattning>
    <identitet>be_annat02</identitet>
    <Lage>
      <planomrade>true</planomrade>
    </Lage>
    <Indelning>
      <tema>Beskrivning av detaljplanen</tema>
      <grupp>Annat</grupp>
    </Indelning>
  </Omfattning>
  <Omfattning>
    <identitet>be_annat03</identitet>
    <Lage>
      <planomrade>true</planomrade>
    </Lage>
    <Indelning>
      <tema>Beskrivning av detaljplanen</tema>
      <grupp>Annat</grupp>
    </Indelning>
  </Omfattning>
  <Omfattning>
    <identitet>be_annat04</identitet>
    <Lage>
      <planomrade>true</planomrade>
    </Lage>
    <Indelning>
      <tema>Beskrivning av detaljplanen</tema>
      <grupp>Annat</grupp>
    </Indelning>
  </Omfattning>
  <Omfattning>
    <identitet>be_allmänplats02</identitet>
    <Lage>
      <planomrade>true</planomrade>
    </Lage>
    <Indelning>
      <tema>Beskrivning av detaljplanen</tema>
      <grupp>Allmän plats</grupp>
    </Indelning>
  </Omfattning>
  <Omfattning>
    <identitet>be_huvudmannaskap02</identitet>
    <Lage>
      <planomrade>true</planomrade>
    </Lage>
    <Indelning>
      <tema>Beskrivning av detaljplanen</tema>
      <grupp>Allmän plats</grupp>
      <undergrupp>Huvudmannaskap</undergrupp>
    </Indelning>
  </Omfattning>
  <Omfattning>
    <identitet>be_kvartersmark02</identitet>
    <Lage>
      <planomrade>true</planomrade>
    </Lage>
    <Indelning>
      <tema>Beskrivning av detaljplanen</tema>
      <grupp>Kvartersmark</grupp>
    </Indelning>
  </Omfattning>
  <Omfattning>
    <identitet>be_genomförandetid02</identitet>
    <Lage>
      <planomrade>true</planomrade>
    </Lage>
    <Indelning>
      <tema>Beskrivning av detaljplanen</tema>
      <grupp>Genomförandetid</grupp>
    </Indelning>
  </Omfattning>
  <Omfattning>
    <identitet>be_befintligt02</identitet>
    <Lage>
      <planomrade>true</planomrade>
    </Lage>
    <Indelning>
      <tema>Beskrivning av detaljplanen</tema>
      <grupp>Befintligt</grupp>
    </Indelning>
  </Omfattning>
  <Omfattning>
    <identitet>be_vattenområde02</identitet>
    <Lage>
      <planomrade>true</planomrade>
    </Lage>
    <Indelning>
      <tema>Beskrivning av detaljplanen</tema>
      <grupp>Vattenområde</grupp>
    </Indelning>
  </Omfattning>
  <Omfattning>
    <identitet>mo_motivtillreglering01</identitet>
    <Lage>
      <lmg:Yta>
        <lmg:absolutLagesosakerhetPlan>0</lmg:absolutLagesosakerhetPlan>
        <lmg:absolutLagesosakerhetHojd>0</lmg:absolutLagesosakerhetHojd>
        <lmg:hojdsystem>RH 2000</lmg:hojdsystem>
        <gml:Polygon gml:id="ID_939c4d4e-187d-4b68-9b19-0b8e115f8f5e" srsName="EPSG:3009" srsDimension="2">
          <gml:exterior>
            <gml:LinearRing gml:id="ID_69a7d448-7175-46dd-8e15-40653116c521">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Lage>
      <lmg:Yta>
        <lmg:absolutLagesosakerhetPlan>0</lmg:absolutLagesosakerhetPlan>
        <lmg:absolutLagesosakerhetHojd>0</lmg:absolutLagesosakerhetHojd>
        <lmg:hojdsystem>RH 2000</lmg:hojdsystem>
        <gml:Polygon gml:id="ID_a5970723-a224-4095-85f7-dc8cfd8423bb" srsName="EPSG:3009" srsDimension="2">
          <gml:exterior>
            <gml:LinearRing gml:id="ID_bebacd9d-58aa-41c4-89aa-0e7b0618a9f2">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6339cf95-f67d-41cb-9ec8-bfc63825bd23" srsName="EPSG:3009" srsDimension="2">
          <gml:exterior>
            <gml:LinearRing gml:id="ID_1bef2d29-2366-4b24-a4f1-aaca8e63e6b0">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21a53249-305f-44cc-91c8-d84ccf4a06d2" srsName="EPSG:3009" srsDimension="2">
          <gml:exterior>
            <gml:LinearRing gml:id="ID_40f8d6c1-d8d1-4dfb-94ba-97f3dda5c35b">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760572f6-d1d4-4ce1-b691-d9e294190685" srsName="EPSG:3009" srsDimension="2">
          <gml:exterior>
            <gml:LinearRing gml:id="ID_350719c0-8f53-4674-94cd-7b112f7832b6">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b19c91a5-2c82-4a30-a19e-a914608166c9" srsName="EPSG:3009" srsDimension="2">
          <gml:exterior>
            <gml:LinearRing gml:id="ID_0b235994-47a1-44ba-97d9-6e16f9768215">
              <gml:posList>6492740.717 154168.734 6492735.099 154175.564 6492715.67 154171.728 6492693.396 154164.73 6492692.638 154164.276 6492703.518 154149.661 6492740.717 154168.734</gml:posList>
            </gml:LinearRing>
          </gml:exterior>
        </gml:Polygon>
      </lmg:Yta>
      <planbestammelsereferens>b231a722-84be-408c-9421-a52decfbdb47</planbestammelsereferens>
    </Lage>
    <Lage>
      <lmg:Yta>
        <lmg:absolutLagesosakerhetPlan>0</lmg:absolutLagesosakerhetPlan>
        <lmg:absolutLagesosakerhetHojd>0</lmg:absolutLagesosakerhetHojd>
        <lmg:hojdsystem>RH 2000</lmg:hojdsystem>
        <gml:Polygon gml:id="ID_57ed6cd2-03b0-4ce2-bcc7-0f95d8dc0180" srsName="EPSG:3009" srsDimension="2">
          <gml:exterior>
            <gml:LinearRing gml:id="ID_1ac23772-9feb-4e3a-bb8e-3e291ae5aec4">
              <gml:posList>6492740.717 154168.734 6492735.099 154175.564 6492715.67 154171.728 6492693.396 154164.73 6492692.638 154164.276 6492703.518 154149.661 6492740.717 154168.734</gml:posList>
            </gml:LinearRing>
          </gml:exterior>
        </gml:Polygon>
      </lmg:Yta>
      <planbestammelsereferens>b231a722-84be-408c-9421-a52decfbdb47</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fd561d61-82f9-4217-a5be-b8be80ff28ee" srsName="EPSG:3009" srsDimension="2">
          <gml:exterior>
            <gml:LinearRing gml:id="ID_fb49fb92-ed33-4a53-a299-d9ca1660792a">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a589e864-3840-411d-a24b-14417b241273" srsName="EPSG:3009" srsDimension="2">
          <gml:exterior>
            <gml:LinearRing gml:id="ID_222f25aa-a6b0-4514-8367-5498816cd394">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8507488e-35fa-4082-9466-8a88f58a4d16" srsName="EPSG:3009" srsDimension="2">
          <gml:exterior>
            <gml:LinearRing gml:id="ID_87240e17-b39d-43ea-820e-7976c54b9a78">
              <gml:posList>6492693.396 154164.73 6492692.638 154164.276 6492703.518 154149.661 6492719.981 154127.545 6492737.635 154140.478 6492746.769 154147.169 6492754.058 154152.509 6492740.717 154168.734 6492735.099 154175.564 6492715.67 154171.728 6492693.396 154164.73</gml:posList>
            </gml:LinearRing>
          </gml:exterior>
        </gml:Polygon>
      </lmg:Yta>
      <planbestammelsereferens>0c1d6d07-2cf7-4dc6-838f-8c6b77201de1</planbestammelsereferens>
    </Lage>
    <Indelning>
      <tema>Motiv till detaljplanens regleringar</tema>
      <grupp>Motiv till reglering</grupp>
    </Indelning>
  </Omfattning>
  <Omfattning>
    <identitet>pf_översiktsplan02</identitet>
    <Lage>
      <planomrade>true</planomrade>
    </Lage>
    <Indelning>
      <tema>Planeringsförutsättningar</tema>
      <grupp>Kommunala</grupp>
      <undergrupp>Översiktsplan</undergrupp>
    </Indelning>
  </Omfattning>
  <Omfattning>
    <identitet>pf_planprogram01</identitet>
    <Lage>
      <planomrade>true</planomrade>
    </Lage>
    <Indelning>
      <tema>Planeringsförutsättningar</tema>
      <grupp>Kommunala</grupp>
      <undergrupp>Planprogram</undergrupp>
    </Indelning>
  </Omfattning>
  <Omfattning>
    <identitet>pf_detaljplan02</identitet>
    <Lage>
      <planomrade>true</planomrade>
    </Lage>
    <Indelning>
      <tema>Planeringsförutsättningar</tema>
      <grupp>Kommunala</grupp>
      <undergrupp>Detaljplan</undergrupp>
    </Indelning>
  </Omfattning>
  <Omfattning>
    <identitet>pf_planbesked02</identitet>
    <Lage>
      <planomrade>true</planomrade>
    </Lage>
    <Indelning>
      <tema>Planeringsförutsättningar</tema>
      <grupp>Kommunala</grupp>
      <undergrupp>Planbesked</undergrupp>
    </Indelning>
  </Omfattning>
  <Omfattning>
    <identitet>pf_regionplan01</identitet>
    <Lage>
      <planomrade>true</planomrade>
    </Lage>
    <Indelning>
      <tema>Planeringsförutsättningar</tema>
      <grupp>Regionala</grupp>
      <undergrupp>Regionplan</undergrupp>
    </Indelning>
  </Omfattning>
  <Omfattning>
    <identitet>pf_friluftsliv02</identitet>
    <Lage>
      <planomrade>true</planomrade>
    </Lage>
    <Indelning>
      <tema>Planeringsförutsättningar</tema>
      <grupp>Riksintressen</grupp>
      <undergrupp>Friluftsliv</undergrupp>
    </Indelning>
  </Omfattning>
  <Omfattning>
    <identitet>pf_kulturmiljövård02</identitet>
    <Lage>
      <planomrade>true</planomrade>
    </Lage>
    <Indelning>
      <tema>Planeringsförutsättningar</tema>
      <grupp>Riksintressen</grupp>
      <undergrupp>Kulturmiljövård</undergrupp>
    </Indelning>
  </Omfattning>
  <Omfattning>
    <identitet>pf_totalförsvar02</identitet>
    <Lage>
      <planomrade>true</planomrade>
    </Lage>
    <Indelning>
      <tema>Planeringsförutsättningar</tema>
      <grupp>Riksintressen</grupp>
      <undergrupp>Totalförsvar</undergrupp>
    </Indelning>
  </Omfattning>
  <Omfattning>
    <identitet>pf_luft02</identitet>
    <Lage>
      <planomrade>true</planomrade>
    </Lage>
    <Indelning>
      <tema>Planeringsförutsättningar</tema>
      <grupp>Miljökvalitetsnormer</grupp>
      <undergrupp>Luft</undergrupp>
    </Indelning>
  </Omfattning>
  <Omfattning>
    <identitet>pf_vatten02</identitet>
    <Lage>
      <planomrade>true</planomrade>
    </Lage>
    <Indelning>
      <tema>Planeringsförutsättningar</tema>
      <grupp>Miljökvalitetsnormer</grupp>
      <undergrupp>Vatten</undergrupp>
    </Indelning>
  </Omfattning>
  <Omfattning>
    <identitet>pf_buller02</identitet>
    <Lage>
      <planomrade>true</planomrade>
    </Lage>
    <Indelning>
      <tema>Planeringsförutsättningar</tema>
      <grupp>Miljökvalitetsnormer</grupp>
      <undergrupp>Buller</undergrupp>
    </Indelning>
  </Omfattning>
  <Omfattning>
    <identitet>pf_föroreningar01</identitet>
    <Lage>
      <planomrade>true</planomrade>
    </Lage>
    <Indelning>
      <tema>Planeringsförutsättningar</tema>
      <grupp>Hälsa och säkerhet</grupp>
      <undergrupp>Föroreningar</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pf_riskförskred02</identitet>
    <Lage>
      <planomrade>true</planomrade>
    </Lage>
    <Indelning>
      <tema>Planeringsförutsättningar</tema>
      <grupp>Hälsa och säkerhet</grupp>
      <undergrupp>Risk för skred</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pf_riskföröversvämning02</identitet>
    <Lage>
      <planomrade>true</planomrade>
    </Lage>
    <Indelning>
      <tema>Planeringsförutsättningar</tema>
      <grupp>Hälsa och säkerhet</grupp>
      <undergrupp>Risk för översvämning</undergrupp>
    </Indelning>
  </Omfattning>
  <Omfattning>
    <identitet>pf_naturochvegetation01</identitet>
    <Lage>
      <planomrade>true</planomrade>
    </Lage>
    <Indelning>
      <tema>Planeringsförutsättningar</tema>
      <grupp>Miljö</grupp>
      <undergrupp>Natur och vegetation</undergrupp>
    </Indelning>
  </Omfattning>
  <Omfattning>
    <identitet>pf_strandskydd01</identitet>
    <Lage>
      <planomrade>true</planomrade>
    </Lage>
    <Indelning>
      <tema>Planeringsförutsättningar</tema>
      <grupp>Miljö</grupp>
      <undergrupp>Strandskydd</undergrupp>
    </Indelning>
  </Omfattning>
  <Omfattning>
    <identitet>pf_geotekniskaförhållanden02</identitet>
    <Lage>
      <planomrade>true</planomrade>
    </Lage>
    <Indelning>
      <tema>Planeringsförutsättningar</tema>
      <grupp>Geotekniska förhållanden</grupp>
    </Indelning>
  </Omfattning>
  <Omfattning>
    <identitet>pf_radon01</identitet>
    <Lage>
      <planomrade>true</planomrade>
    </Lage>
    <Indelning>
      <tema>Planeringsförutsättningar</tema>
      <grupp>Miljö</grupp>
      <undergrupp>Radon</undergrupp>
    </Indelning>
  </Omfattning>
  <Omfattning>
    <identitet>pf_dagvatten02</identitet>
    <Lage>
      <planomrade>true</planomrade>
    </Lage>
    <Indelning>
      <tema>Planeringsförutsättningar</tema>
      <grupp>Miljö</grupp>
      <undergrupp>Dagvatten</undergrupp>
    </Indelning>
  </Omfattning>
  <Omfattning>
    <identitet>pf_kulturhistoriskbebyggelsemiljö01</identitet>
    <Lage>
      <planomrade>true</planomrade>
    </Lage>
    <Indelning>
      <tema>Planeringsförutsättningar</tema>
      <grupp>Kulturmiljö</grupp>
      <undergrupp>Kulturhistorisk bebyggelsemiljö</undergrupp>
    </Indelning>
  </Omfattning>
  <Omfattning>
    <identitet>pf_stadsochlandskapsbild01</identitet>
    <Lage>
      <planomrade>true</planomrade>
    </Lage>
    <Indelning>
      <tema>Planeringsförutsättningar</tema>
      <grupp>Fysisk miljö</grupp>
      <undergrupp>Stads- och landskapsbild</undergrupp>
    </Indelning>
  </Omfattning>
  <Omfattning>
    <identitet>pf_gestaltning01</identitet>
    <Lage>
      <planomrade>true</planomrade>
    </Lage>
    <Indelning>
      <tema>Planeringsförutsättningar</tema>
      <grupp>Fysisk miljö</grupp>
      <undergrupp>Gestaltning</undergrupp>
    </Indelning>
  </Omfattning>
  <Omfattning>
    <identitet>pf_skola01</identitet>
    <Lage>
      <planomrade>true</planomrade>
    </Lage>
    <Indelning>
      <tema>Planeringsförutsättningar</tema>
      <grupp>Service</grupp>
      <undergrupp>Skola</undergrupp>
    </Indelning>
  </Omfattning>
  <Omfattning>
    <identitet>pf_vård01</identitet>
    <Lage>
      <planomrade>true</planomrade>
    </Lage>
    <Indelning>
      <tema>Planeringsförutsättningar</tema>
      <grupp>Service</grupp>
      <undergrupp>Vård</undergrupp>
    </Indelning>
  </Omfattning>
  <Omfattning>
    <identitet>pf_kommersiellservice01</identitet>
    <Lage>
      <planomrade>true</planomrade>
    </Lage>
    <Indelning>
      <tema>Planeringsförutsättningar</tema>
      <grupp>Service</grupp>
      <undergrupp>Kommersiell service</undergrupp>
    </Indelning>
  </Omfattning>
  <Omfattning>
    <identitet>pf_motortrafik01</identitet>
    <Lage>
      <planomrade>true</planomrade>
    </Lage>
    <Indelning>
      <tema>Planeringsförutsättningar</tema>
      <grupp>Trafik</grupp>
      <undergrupp>Motortrafik</undergrupp>
    </Indelning>
  </Omfattning>
  <Omfattning>
    <identitet>pf_gångochcykeltrafik01</identitet>
    <Lage>
      <planomrade>true</planomrade>
    </Lage>
    <Indelning>
      <tema>Planeringsförutsättningar</tema>
      <grupp>Trafik</grupp>
      <undergrupp>Gång- och cykeltrafik</undergrupp>
    </Indelning>
  </Omfattning>
  <Omfattning>
    <identitet>pf_kollektivtrafik01</identitet>
    <Lage>
      <planomrade>true</planomrade>
    </Lage>
    <Indelning>
      <tema>Planeringsförutsättningar</tema>
      <grupp>Trafik</grupp>
      <undergrupp>Kollektivtrafik</undergrupp>
    </Indelning>
  </Omfattning>
  <Omfattning>
    <identitet>pf_utryckningstrafik01</identitet>
    <Lage>
      <planomrade>true</planomrade>
    </Lage>
    <Indelning>
      <tema>Planeringsförutsättningar</tema>
      <grupp>Trafik</grupp>
      <undergrupp>Utryckningstrafik</undergrupp>
    </Indelning>
  </Omfattning>
  <Omfattning>
    <identitet>pf_parkering01</identitet>
    <Lage>
      <planomrade>true</planomrade>
    </Lage>
    <Indelning>
      <tema>Planeringsförutsättningar</tema>
      <grupp>Trafik</grupp>
      <undergrupp>Parkering</undergrupp>
    </Indelning>
  </Omfattning>
  <Omfattning>
    <identitet>pf_utfarter01</identitet>
    <Lage>
      <planomrade>true</planomrade>
    </Lage>
    <Indelning>
      <tema>Planeringsförutsättningar</tema>
      <grupp>Trafik</grupp>
      <undergrupp>Utfarter</undergrupp>
    </Indelning>
  </Omfattning>
  <Omfattning>
    <identitet>pf_vattenochspillvattennät01</identitet>
    <Lage>
      <planomrade>true</planomrade>
    </Lage>
    <Indelning>
      <tema>Planeringsförutsättningar</tema>
      <grupp>Teknik</grupp>
      <undergrupp>Vatten- och spillvattennät</undergrupp>
    </Indelning>
  </Omfattning>
  <Omfattning>
    <identitet>pf_dagvattennät01</identitet>
    <Lage>
      <planomrade>true</planomrade>
    </Lage>
    <Indelning>
      <tema>Planeringsförutsättningar</tema>
      <grupp>Teknik</grupp>
      <undergrupp>Dagvattennät</undergrupp>
    </Indelning>
  </Omfattning>
  <Omfattning>
    <identitet>pf_brandvattenförsörjning01</identitet>
    <Lage>
      <planomrade>true</planomrade>
    </Lage>
    <Indelning>
      <tema>Planeringsförutsättningar</tema>
      <grupp>Teknik</grupp>
      <undergrupp>Brandvattenförsörjning</undergrupp>
    </Indelning>
  </Omfattning>
  <Omfattning>
    <identitet>pf_fjärrvärmenät01</identitet>
    <Lage>
      <planomrade>true</planomrade>
    </Lage>
    <Indelning>
      <tema>Planeringsförutsättningar</tema>
      <grupp>Teknik</grupp>
      <undergrupp>Fjärrvärmenät</undergrupp>
    </Indelning>
  </Omfattning>
  <Omfattning>
    <identitet>pf_elnät01</identitet>
    <Lage>
      <planomrade>true</planomrade>
    </Lage>
    <Indelning>
      <tema>Planeringsförutsättningar</tema>
      <grupp>Teknik</grupp>
      <undergrupp>Elnät</undergrupp>
    </Indelning>
  </Omfattning>
  <Omfattning>
    <identitet>pf_fibernät01</identitet>
    <Lage>
      <planomrade>true</planomrade>
    </Lage>
    <Indelning>
      <tema>Planeringsförutsättningar</tema>
      <grupp>Teknik</grupp>
      <undergrupp>Fibernät</undergrupp>
    </Indelning>
  </Omfattning>
  <Omfattning>
    <identitet>pf_avfall01</identitet>
    <Lage>
      <planomrade>true</planomrade>
    </Lage>
    <Indelning>
      <tema>Planeringsförutsättningar</tema>
      <grupp>Teknik</grupp>
      <undergrupp>Avfall</under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ko_miljöbedömning01</identitet>
    <Lage>
      <planomrade>true</planomrade>
    </Lage>
    <Indelning>
      <tema>Konsekvenser</tema>
      <grupp>Miljö</grupp>
      <undergrupp>Miljöbedömning</undergrupp>
    </Indelning>
  </Omfattning>
  <Omfattning>
    <identitet>ko_miljökonsekvensbeskrivning02</identitet>
    <Lage>
      <planomrade>true</planomrade>
    </Lage>
    <Indelning>
      <tema>Konsekvenser</tema>
      <grupp>Miljö</grupp>
      <undergrupp>Miljökonsekvens-beskrivning</undergrupp>
    </Indelning>
  </Omfattning>
  <Omfattning>
    <identitet>gf_ansvarsfördelning01</identitet>
    <Lage>
      <planomrade>true</planomrade>
    </Lage>
    <Indelning>
      <tema>Genomförandefrågor</tema>
      <grupp>Organisatoriska frågor</grupp>
      <undergrupp>Ansvarsfördelning</undergrupp>
    </Indelning>
  </Omfattning>
  <Omfattning>
    <identitet>gf_fastighetsägare01</identitet>
    <Lage>
      <planomrade>true</planomrade>
    </Lage>
    <Indelning>
      <tema>Genomförandefrågor</tema>
      <grupp>Fastighetsrättsliga frågor</grupp>
      <undergrupp>Fastighetsägare</undergrupp>
    </Indelning>
  </Omfattning>
  <Omfattning>
    <identitet>gf_planekonomiskbedömning02</identitet>
    <Lage>
      <planomrade>true</planomrade>
    </Lage>
    <Indelning>
      <tema>Genomförandefrågor</tema>
      <grupp>Ekonomiska frågor</grupp>
      <undergrupp>Planekonomisk bedömning</undergrupp>
    </Indelning>
  </Omfattning>
  <Omfattning>
    <identitet>gf_plankostnadsavtal01</identitet>
    <Lage>
      <planomrade>true</planomrade>
    </Lage>
    <Indelning>
      <tema>Genomförandefrågor</tema>
      <grupp>Ekonomiska frågor</grupp>
      <undergrupp>Plankostnadsavtal</undergrupp>
    </Indelning>
  </Omfattning>
  <Omfattning>
    <identitet>gf_planavgift02</identitet>
    <Lage>
      <planomrade>true</planomrade>
    </Lage>
    <Indelning>
      <tema>Genomförandefrågor</tema>
      <grupp>Ekonomiska frågor</grupp>
      <undergrupp>Planavgift</undergrupp>
    </Indelning>
  </Omfattning>
  <Omfattning>
    <identitet>gf_driftvattenochavlopp02</identitet>
    <Lage>
      <planomrade>true</planomrade>
    </Lage>
    <Indelning>
      <tema>Genomförandefrågor</tema>
      <grupp>Ekonomiska frågor</grupp>
      <undergrupp>Drift vatten och avlopp</undergrupp>
    </Indelning>
  </Omfattning>
  <Omfattning>
    <identitet>gf_utbyggnadvattenochavlopp02</identitet>
    <Lage>
      <planomrade>true</planomrade>
    </Lage>
    <Indelning>
      <tema>Genomförandefrågor</tema>
      <grupp>Tekniska frågor</grupp>
      <undergrupp>Utbyggnad vatten och avlopp</undergrupp>
    </Indelning>
  </Omfattning>
  <Omfattning>
    <identitet>gf_prövningenlannanlagstiftning01</identitet>
    <Lage>
      <planomrade>true</planomrade>
    </Lage>
    <Indelning>
      <tema>Genomförandefrågor</tema>
      <grupp>Prövning enligt annan lagstiftning</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pu_grundkarta01</identitet>
    <Lage>
      <planomrade>true</planomrade>
    </Lage>
    <Indelning>
      <tema>Planeringsunderlag</tema>
      <grupp>Kommunala</grupp>
      <undergrupp>Grundkarta</undergrupp>
    </Indelning>
  </Omfattning>
  <Omfattning>
    <identitet>pu_särskiltbeslutombetydandemiljöpåver02</identitet>
    <Lage>
      <planomrade>true</planomrade>
    </Lage>
    <Indelning>
      <tema>Planeringsunderlag</tema>
      <grupp>Kommunala</grupp>
      <undergrupp>Särskilt beslut om betydande miljöpåverkan</undergrupp>
    </Indelning>
  </Omfattning>
  <Omfattning>
    <identitet>pu_översiktsplan01</identitet>
    <Lage>
      <planomrade>true</planomrade>
    </Lage>
    <Indelning>
      <tema>Planeringsunderlag</tema>
      <grupp>Kommunala</grupp>
      <undergrupp>Översiktsplan</undergrupp>
    </Indelning>
  </Omfattning>
  <Omfattning>
    <identitet>pu_detaljplan01</identitet>
    <Lage>
      <planomrade>true</planomrade>
    </Lage>
    <Indelning>
      <tema>Planeringsunderlag</tema>
      <grupp>Kommunala</grupp>
      <undergrupp>Detaljplan</undergrupp>
    </Indelning>
  </Omfattning>
  <Omfattning>
    <identitet>pu_regionplan01</identitet>
    <Lage>
      <planomrade>true</planomrade>
    </Lage>
    <Indelning>
      <tema>Planeringsunderlag</tema>
      <grupp>Regionala</grupp>
      <undergrupp>Regionplan</undergrupp>
    </Indelning>
  </Omfattning>
  <Omfattning>
    <identitet>pu_geotekniskutredning01</identitet>
    <Lage>
      <planomrade>true</planomrade>
    </Lage>
    <Indelning>
      <tema>Planeringsunderlag</tema>
      <grupp>Utredningar</grupp>
      <undergrupp>Geoteknisk utredning</undergrupp>
    </Indelning>
  </Omfattning>
</Planbeskrivning>
</file>

<file path=customXml/itemProps1.xml><?xml version="1.0" encoding="utf-8"?>
<ds:datastoreItem xmlns:ds="http://schemas.openxmlformats.org/officeDocument/2006/customXml" ds:itemID="{f2aa660a-2790-4f19-ace4-f9d3b29820f8}">
  <ds:schemaRefs>
    <ds:schemaRef ds:uri="http://schemas.microsoft.com/vsto/samples"/>
  </ds:schemaRefs>
</ds:datastoreItem>
</file>

<file path=customXml/itemProps2.xml><?xml version="1.0" encoding="utf-8"?>
<ds:datastoreItem xmlns:ds="http://schemas.openxmlformats.org/officeDocument/2006/customXml" ds:itemID="4e075f4a-838b-4200-abdc-dde845cfc3a9">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Motala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Motala kommun</dc:creator>
  <dcterms:created xsi:type="dcterms:W3CDTF">2023-11-21T15:52:00Z</dcterms:created>
  <dc:description>Namn, titel</dc:description>
  <cp:lastModifiedBy>Sanna Pyhäsalmi</cp:lastModifiedBy>
  <cp:lastPrinted>2020-05-26T13:21:00Z</cp:lastPrinted>
  <dcterms:modified xsi:type="dcterms:W3CDTF">2025-01-31T09:35:28Z</dcterms:modified>
  <cp:revision>72</cp:revision>
  <dc:title>Planbeskrivning Detaljplan för Hyvelspånet 3</dc:title>
</cp:coreProperties>
</file>