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7B3EB" w14:textId="0518E456" w:rsidR="00CD140D" w:rsidRPr="005F0B01" w:rsidRDefault="0028482E">
      <w:pPr>
        <w:rPr>
          <w:rFonts w:ascii="Raisonne Pro" w:hAnsi="Raisonne Pro"/>
          <w:sz w:val="48"/>
          <w:szCs w:val="48"/>
        </w:rPr>
      </w:pPr>
      <w:r>
        <w:rPr>
          <w:rFonts w:ascii="Raisonne Pro" w:hAnsi="Raisonne Pro"/>
          <w:sz w:val="48"/>
          <w:szCs w:val="48"/>
        </w:rPr>
        <w:t>Tolkningsbilaga för P73-16</w:t>
      </w:r>
    </w:p>
    <w:p w14:paraId="3504EB32" w14:textId="0B695AEC" w:rsidR="00ED5404" w:rsidRPr="00EB7435" w:rsidRDefault="00ED5404">
      <w:pPr>
        <w:rPr>
          <w:rFonts w:ascii="Avenir Next LT Pro" w:hAnsi="Avenir Next LT Pro"/>
        </w:rPr>
      </w:pPr>
      <w:r>
        <w:rPr>
          <w:rFonts w:ascii="Avenir Next LT Pro" w:hAnsi="Avenir Next LT Pro"/>
        </w:rPr>
        <w:t>Förslag till stadsplan för Harg (</w:t>
      </w:r>
      <w:proofErr w:type="spellStart"/>
      <w:r>
        <w:rPr>
          <w:rFonts w:ascii="Avenir Next LT Pro" w:hAnsi="Avenir Next LT Pro"/>
        </w:rPr>
        <w:t>delplan</w:t>
      </w:r>
      <w:proofErr w:type="spellEnd"/>
      <w:r>
        <w:rPr>
          <w:rFonts w:ascii="Avenir Next LT Pro" w:hAnsi="Avenir Next LT Pro"/>
        </w:rPr>
        <w:t xml:space="preserve"> II) ”Krikonbacken”</w:t>
      </w:r>
    </w:p>
    <w:p w14:paraId="3D90FB44" w14:textId="77777777" w:rsidR="0028482E" w:rsidRPr="00EB7435" w:rsidRDefault="0028482E" w:rsidP="0028482E">
      <w:pPr>
        <w:autoSpaceDE w:val="0"/>
        <w:autoSpaceDN w:val="0"/>
        <w:adjustRightInd w:val="0"/>
        <w:spacing w:after="0" w:line="240" w:lineRule="auto"/>
        <w:rPr>
          <w:rFonts w:ascii="Avenir Next LT Pro" w:hAnsi="Avenir Next LT Pro" w:cs="TimesNewRomanPS-ItalicMT"/>
          <w:i/>
          <w:iCs/>
          <w:sz w:val="24"/>
          <w:szCs w:val="24"/>
        </w:rPr>
      </w:pPr>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p w14:paraId="2127EDE7" w14:textId="09AE65D5" w:rsidR="00CD140D" w:rsidRPr="00EB7435" w:rsidRDefault="00CD140D" w:rsidP="00CD140D">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CD140D" w:rsidRPr="00EB7435" w14:paraId="106A6DCA" w14:textId="77777777" w:rsidTr="00CD140D">
        <w:tc>
          <w:tcPr>
            <w:tcW w:w="4531" w:type="dxa"/>
          </w:tcPr>
          <w:p w14:paraId="031F64F5" w14:textId="7FEC105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 xml:space="preserve">Lantmäteriets </w:t>
            </w:r>
            <w:proofErr w:type="spellStart"/>
            <w:r w:rsidRPr="00EB7435">
              <w:rPr>
                <w:rFonts w:ascii="Avenir Next LT Pro" w:hAnsi="Avenir Next LT Pro" w:cs="TimesNewRomanPS-BoldMT"/>
                <w:sz w:val="24"/>
                <w:szCs w:val="24"/>
              </w:rPr>
              <w:t>aktbeteckning</w:t>
            </w:r>
            <w:proofErr w:type="spellEnd"/>
          </w:p>
        </w:tc>
        <w:tc>
          <w:tcPr>
            <w:tcW w:w="4531" w:type="dxa"/>
          </w:tcPr>
          <w:p w14:paraId="6670CCB7" w14:textId="0D827149" w:rsidR="00CD140D" w:rsidRPr="00997EA1" w:rsidRDefault="00997EA1" w:rsidP="00F37C84">
            <w:pPr>
              <w:autoSpaceDE w:val="0"/>
              <w:autoSpaceDN w:val="0"/>
              <w:adjustRightInd w:val="0"/>
              <w:rPr>
                <w:rFonts w:ascii="Calibri" w:hAnsi="Calibri" w:cs="Calibri"/>
                <w:color w:val="000000"/>
              </w:rPr>
            </w:pPr>
            <w:r w:rsidRPr="00F37C84">
              <w:rPr>
                <w:rFonts w:ascii="Avenir Next LT Pro" w:hAnsi="Avenir Next LT Pro" w:cs="TimesNewRomanPS-BoldMT"/>
                <w:sz w:val="24"/>
                <w:szCs w:val="24"/>
              </w:rPr>
              <w:t>04-NYS-280</w:t>
            </w:r>
          </w:p>
        </w:tc>
      </w:tr>
      <w:tr w:rsidR="00CD140D" w:rsidRPr="00EB7435" w14:paraId="5DB422A8" w14:textId="77777777" w:rsidTr="00CD140D">
        <w:tc>
          <w:tcPr>
            <w:tcW w:w="4531" w:type="dxa"/>
          </w:tcPr>
          <w:p w14:paraId="5E0298AD" w14:textId="208D1B6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Byggnadsnämndens diarienummer</w:t>
            </w:r>
          </w:p>
        </w:tc>
        <w:tc>
          <w:tcPr>
            <w:tcW w:w="4531" w:type="dxa"/>
          </w:tcPr>
          <w:p w14:paraId="24A80AD4" w14:textId="29F32B81" w:rsidR="00CD140D" w:rsidRPr="005F0B01" w:rsidRDefault="00997EA1"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P73-16</w:t>
            </w:r>
          </w:p>
        </w:tc>
      </w:tr>
      <w:tr w:rsidR="00CD140D" w:rsidRPr="00EB7435" w14:paraId="0D093868" w14:textId="77777777" w:rsidTr="00CD140D">
        <w:tc>
          <w:tcPr>
            <w:tcW w:w="4531" w:type="dxa"/>
          </w:tcPr>
          <w:p w14:paraId="6F2E0040" w14:textId="7943BCFD"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Upprättad</w:t>
            </w:r>
          </w:p>
        </w:tc>
        <w:tc>
          <w:tcPr>
            <w:tcW w:w="4531" w:type="dxa"/>
          </w:tcPr>
          <w:p w14:paraId="52CC91FB" w14:textId="2E3DD653" w:rsidR="00CD140D" w:rsidRPr="005F0B01" w:rsidRDefault="00997EA1"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Oktober 1972</w:t>
            </w:r>
          </w:p>
        </w:tc>
      </w:tr>
      <w:tr w:rsidR="00CD140D" w:rsidRPr="00EB7435" w14:paraId="04BC562B" w14:textId="77777777" w:rsidTr="00CD140D">
        <w:tc>
          <w:tcPr>
            <w:tcW w:w="4531" w:type="dxa"/>
          </w:tcPr>
          <w:p w14:paraId="62A27759" w14:textId="2A933CA3"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Antagen</w:t>
            </w:r>
          </w:p>
        </w:tc>
        <w:tc>
          <w:tcPr>
            <w:tcW w:w="4531" w:type="dxa"/>
          </w:tcPr>
          <w:p w14:paraId="0DC975E4" w14:textId="7D072E90" w:rsidR="00CD140D" w:rsidRPr="005F0B01" w:rsidRDefault="00997EA1"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1973-05-15</w:t>
            </w:r>
          </w:p>
        </w:tc>
      </w:tr>
      <w:tr w:rsidR="00CD140D" w:rsidRPr="00EB7435" w14:paraId="3B3BCF63" w14:textId="77777777" w:rsidTr="00CD140D">
        <w:tc>
          <w:tcPr>
            <w:tcW w:w="4531" w:type="dxa"/>
          </w:tcPr>
          <w:p w14:paraId="484254C9" w14:textId="3D78DBB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Laga kraft</w:t>
            </w:r>
          </w:p>
        </w:tc>
        <w:tc>
          <w:tcPr>
            <w:tcW w:w="4531" w:type="dxa"/>
          </w:tcPr>
          <w:p w14:paraId="33BB8075" w14:textId="75C3340D" w:rsidR="00CD140D" w:rsidRPr="005F0B01" w:rsidRDefault="00997EA1"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1973-10-29</w:t>
            </w:r>
          </w:p>
        </w:tc>
      </w:tr>
    </w:tbl>
    <w:p w14:paraId="173527FF" w14:textId="77777777" w:rsidR="00EB7435" w:rsidRDefault="00EB7435" w:rsidP="00EB7435">
      <w:pPr>
        <w:autoSpaceDE w:val="0"/>
        <w:autoSpaceDN w:val="0"/>
        <w:adjustRightInd w:val="0"/>
        <w:spacing w:after="0" w:line="240" w:lineRule="auto"/>
        <w:rPr>
          <w:rFonts w:ascii="Avenir Next LT Pro" w:hAnsi="Avenir Next LT Pro" w:cs="TimesNewRomanPSMT"/>
          <w:sz w:val="24"/>
          <w:szCs w:val="24"/>
        </w:rPr>
      </w:pPr>
    </w:p>
    <w:p w14:paraId="6DC5D313" w14:textId="5BE7D525"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Originalhandlingar är ritade enligt planbestämmelsekatalog: </w:t>
      </w:r>
      <w:proofErr w:type="gramStart"/>
      <w:r w:rsidRPr="00EB7435">
        <w:rPr>
          <w:rFonts w:ascii="Avenir Next LT Pro" w:hAnsi="Avenir Next LT Pro" w:cs="TimesNewRomanPSMT"/>
          <w:sz w:val="24"/>
          <w:szCs w:val="24"/>
        </w:rPr>
        <w:t>19</w:t>
      </w:r>
      <w:r w:rsidR="0028482E">
        <w:rPr>
          <w:rFonts w:ascii="Avenir Next LT Pro" w:hAnsi="Avenir Next LT Pro" w:cs="TimesNewRomanPSMT"/>
          <w:sz w:val="24"/>
          <w:szCs w:val="24"/>
        </w:rPr>
        <w:t>70-1987</w:t>
      </w:r>
      <w:proofErr w:type="gramEnd"/>
    </w:p>
    <w:p w14:paraId="593F7D7B" w14:textId="68DA62A5"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Tolkade handlingar är ritade enligt planbestämmelsekatalog: 2022-</w:t>
      </w:r>
      <w:r w:rsidR="005F0B01">
        <w:rPr>
          <w:rFonts w:ascii="Avenir Next LT Pro" w:hAnsi="Avenir Next LT Pro" w:cs="TimesNewRomanPSMT"/>
          <w:sz w:val="24"/>
          <w:szCs w:val="24"/>
        </w:rPr>
        <w:t>11</w:t>
      </w:r>
      <w:r w:rsidRPr="00EB7435">
        <w:rPr>
          <w:rFonts w:ascii="Avenir Next LT Pro" w:hAnsi="Avenir Next LT Pro" w:cs="TimesNewRomanPSMT"/>
          <w:sz w:val="24"/>
          <w:szCs w:val="24"/>
        </w:rPr>
        <w:t>-</w:t>
      </w:r>
      <w:r w:rsidR="005F0B01">
        <w:rPr>
          <w:rFonts w:ascii="Avenir Next LT Pro" w:hAnsi="Avenir Next LT Pro" w:cs="TimesNewRomanPSMT"/>
          <w:sz w:val="24"/>
          <w:szCs w:val="24"/>
        </w:rPr>
        <w:t>01</w:t>
      </w:r>
      <w:r w:rsidRPr="00EB7435">
        <w:rPr>
          <w:rFonts w:ascii="Avenir Next LT Pro" w:hAnsi="Avenir Next LT Pro" w:cs="TimesNewRomanPSMT"/>
          <w:sz w:val="24"/>
          <w:szCs w:val="24"/>
        </w:rPr>
        <w:t xml:space="preserve"> och</w:t>
      </w:r>
    </w:p>
    <w:p w14:paraId="73BDC201" w14:textId="77777777"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6B950CBF" w14:textId="14467C49" w:rsidR="00CD140D" w:rsidRPr="00EB7435" w:rsidRDefault="00CD140D" w:rsidP="00EB7435">
      <w:pPr>
        <w:rPr>
          <w:rFonts w:ascii="Avenir Next LT Pro" w:hAnsi="Avenir Next LT Pro"/>
        </w:rPr>
      </w:pPr>
      <w:r w:rsidRPr="00EB7435">
        <w:rPr>
          <w:rFonts w:ascii="Avenir Next LT Pro" w:hAnsi="Avenir Next LT Pro" w:cs="TimesNewRomanPSMT"/>
          <w:sz w:val="24"/>
          <w:szCs w:val="24"/>
        </w:rPr>
        <w:t>Detaljplanens genomförandetid är</w:t>
      </w:r>
      <w:r w:rsidR="0028482E">
        <w:rPr>
          <w:rFonts w:ascii="Avenir Next LT Pro" w:hAnsi="Avenir Next LT Pro" w:cs="TimesNewRomanPSMT"/>
          <w:sz w:val="24"/>
          <w:szCs w:val="24"/>
        </w:rPr>
        <w:t xml:space="preserve"> 0</w:t>
      </w:r>
      <w:r w:rsidR="005F0B01" w:rsidRPr="005F0B01">
        <w:rPr>
          <w:rFonts w:ascii="Avenir Next LT Pro" w:hAnsi="Avenir Next LT Pro" w:cs="TimesNewRomanPSMT"/>
          <w:sz w:val="24"/>
          <w:szCs w:val="24"/>
        </w:rPr>
        <w:t xml:space="preserve"> år.</w:t>
      </w:r>
    </w:p>
    <w:p w14:paraId="19853689" w14:textId="530B1123" w:rsidR="00CD140D" w:rsidRDefault="0028482E">
      <w:pPr>
        <w:rPr>
          <w:rFonts w:ascii="Avenir Next LT Pro" w:hAnsi="Avenir Next LT Pro"/>
        </w:rPr>
      </w:pPr>
      <w:r w:rsidRPr="0028482E">
        <w:rPr>
          <w:rFonts w:ascii="Avenir Next LT Pro" w:hAnsi="Avenir Next LT Pro"/>
          <w:noProof/>
        </w:rPr>
        <w:drawing>
          <wp:inline distT="0" distB="0" distL="0" distR="0" wp14:anchorId="40561DB6" wp14:editId="0350EFC5">
            <wp:extent cx="4914900" cy="4348754"/>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22616" cy="4355581"/>
                    </a:xfrm>
                    <a:prstGeom prst="rect">
                      <a:avLst/>
                    </a:prstGeom>
                  </pic:spPr>
                </pic:pic>
              </a:graphicData>
            </a:graphic>
          </wp:inline>
        </w:drawing>
      </w:r>
    </w:p>
    <w:p w14:paraId="29F9322D" w14:textId="77777777" w:rsidR="0028482E" w:rsidRDefault="0028482E" w:rsidP="0028482E">
      <w:pPr>
        <w:rPr>
          <w:rFonts w:ascii="Avenir Next LT Pro" w:hAnsi="Avenir Next LT Pro"/>
          <w:i/>
          <w:iCs/>
        </w:rPr>
      </w:pPr>
      <w:r w:rsidRPr="00A939D3">
        <w:rPr>
          <w:rFonts w:ascii="Avenir Next LT Pro" w:hAnsi="Avenir Next LT Pro"/>
          <w:i/>
          <w:iCs/>
        </w:rPr>
        <w:t xml:space="preserve">Bild på </w:t>
      </w:r>
      <w:r>
        <w:rPr>
          <w:rFonts w:ascii="Avenir Next LT Pro" w:hAnsi="Avenir Next LT Pro"/>
          <w:i/>
          <w:iCs/>
        </w:rPr>
        <w:t>gällande plankarta. Röda gränser visar ungefär de delar som ännu är gällande.</w:t>
      </w:r>
    </w:p>
    <w:p w14:paraId="3500BEDB" w14:textId="77777777" w:rsidR="00F37C84" w:rsidRDefault="00F37C84" w:rsidP="0028482E">
      <w:pPr>
        <w:rPr>
          <w:rFonts w:ascii="Avenir Next LT Pro" w:hAnsi="Avenir Next LT Pro"/>
          <w:i/>
          <w:iCs/>
        </w:rPr>
      </w:pPr>
    </w:p>
    <w:p w14:paraId="75355DA6" w14:textId="77777777" w:rsidR="00CD140D" w:rsidRPr="00EB7435" w:rsidRDefault="00CD140D" w:rsidP="00CD140D">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lastRenderedPageBreak/>
        <w:t>Syfte</w:t>
      </w:r>
    </w:p>
    <w:p w14:paraId="77A9DD61" w14:textId="52C7CBC7" w:rsidR="00CD140D" w:rsidRPr="00CB2C86" w:rsidRDefault="00ED5404" w:rsidP="00CD140D">
      <w:pPr>
        <w:autoSpaceDE w:val="0"/>
        <w:autoSpaceDN w:val="0"/>
        <w:adjustRightInd w:val="0"/>
        <w:spacing w:after="0" w:line="240" w:lineRule="auto"/>
        <w:rPr>
          <w:rFonts w:ascii="Avenir Next LT Pro" w:hAnsi="Avenir Next LT Pro" w:cs="TimesNewRomanPSMT"/>
          <w:sz w:val="24"/>
          <w:szCs w:val="24"/>
        </w:rPr>
      </w:pPr>
      <w:r w:rsidRPr="00CB2C86">
        <w:rPr>
          <w:rFonts w:ascii="Avenir Next LT Pro" w:hAnsi="Avenir Next LT Pro" w:cs="TimesNewRomanPSMT"/>
          <w:sz w:val="24"/>
          <w:szCs w:val="24"/>
        </w:rPr>
        <w:t xml:space="preserve">Syftet med detaljplanen är att expandera staden norrut, på andra sidan </w:t>
      </w:r>
      <w:proofErr w:type="spellStart"/>
      <w:r w:rsidRPr="00CB2C86">
        <w:rPr>
          <w:rFonts w:ascii="Avenir Next LT Pro" w:hAnsi="Avenir Next LT Pro" w:cs="TimesNewRomanPSMT"/>
          <w:sz w:val="24"/>
          <w:szCs w:val="24"/>
        </w:rPr>
        <w:t>Nyköpingsån</w:t>
      </w:r>
      <w:proofErr w:type="spellEnd"/>
      <w:r w:rsidRPr="00CB2C86">
        <w:rPr>
          <w:rFonts w:ascii="Avenir Next LT Pro" w:hAnsi="Avenir Next LT Pro" w:cs="TimesNewRomanPSMT"/>
          <w:sz w:val="24"/>
          <w:szCs w:val="24"/>
        </w:rPr>
        <w:t xml:space="preserve">. För den nya bebyggelsen eftersträvas bilfria miljöer. En matargata föreslås från Eskilstunavägen, och viktiga gång- och cykelstråk planläggs för att </w:t>
      </w:r>
      <w:r w:rsidR="00CB2C86" w:rsidRPr="00CB2C86">
        <w:rPr>
          <w:rFonts w:ascii="Avenir Next LT Pro" w:hAnsi="Avenir Next LT Pro" w:cs="TimesNewRomanPSMT"/>
          <w:sz w:val="24"/>
          <w:szCs w:val="24"/>
        </w:rPr>
        <w:t>koppla samman området norrut och längs strandpromenaden (parkvägsstråket). En gång- och cykelväg planeras i sydväst.</w:t>
      </w:r>
    </w:p>
    <w:p w14:paraId="4DEC89CA" w14:textId="77777777" w:rsidR="00CD140D" w:rsidRPr="00EB7435" w:rsidRDefault="00CD140D" w:rsidP="00CD140D">
      <w:pPr>
        <w:autoSpaceDE w:val="0"/>
        <w:autoSpaceDN w:val="0"/>
        <w:adjustRightInd w:val="0"/>
        <w:spacing w:after="0" w:line="240" w:lineRule="auto"/>
        <w:rPr>
          <w:rFonts w:ascii="Avenir Next LT Pro" w:hAnsi="Avenir Next LT Pro" w:cs="TimesNewRomanPSMT"/>
          <w:sz w:val="24"/>
          <w:szCs w:val="24"/>
        </w:rPr>
      </w:pPr>
    </w:p>
    <w:p w14:paraId="4A9ECC4C" w14:textId="706A6C52" w:rsidR="00CD140D" w:rsidRDefault="00CD140D" w:rsidP="00CD140D">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t>Gränser</w:t>
      </w:r>
    </w:p>
    <w:p w14:paraId="5370AAB6" w14:textId="6AA277F9" w:rsidR="00CB2C86" w:rsidRPr="00EB7435" w:rsidRDefault="00264379" w:rsidP="00CD140D">
      <w:pPr>
        <w:autoSpaceDE w:val="0"/>
        <w:autoSpaceDN w:val="0"/>
        <w:adjustRightInd w:val="0"/>
        <w:spacing w:after="0" w:line="240" w:lineRule="auto"/>
        <w:rPr>
          <w:rFonts w:ascii="Avenir Next LT Pro" w:hAnsi="Avenir Next LT Pro" w:cs="TimesNewRomanPSMT"/>
          <w:sz w:val="24"/>
          <w:szCs w:val="24"/>
        </w:rPr>
      </w:pPr>
      <w:bookmarkStart w:id="0" w:name="_Hlk157588859"/>
      <w:r>
        <w:rPr>
          <w:rFonts w:ascii="Avenir Next LT Pro" w:hAnsi="Avenir Next LT Pro" w:cs="TimesNewRomanPSMT"/>
          <w:sz w:val="24"/>
          <w:szCs w:val="24"/>
        </w:rPr>
        <w:t>Planens g</w:t>
      </w:r>
      <w:r w:rsidRPr="008B1D87">
        <w:rPr>
          <w:rFonts w:ascii="Avenir Next LT Pro" w:hAnsi="Avenir Next LT Pro" w:cs="TimesNewRomanPSMT"/>
          <w:sz w:val="24"/>
          <w:szCs w:val="24"/>
        </w:rPr>
        <w:t xml:space="preserve">ränser </w:t>
      </w:r>
      <w:r>
        <w:rPr>
          <w:rFonts w:ascii="Avenir Next LT Pro" w:hAnsi="Avenir Next LT Pro" w:cs="TimesNewRomanPSMT"/>
          <w:sz w:val="24"/>
          <w:szCs w:val="24"/>
        </w:rPr>
        <w:t xml:space="preserve">har </w:t>
      </w:r>
      <w:r w:rsidRPr="008B1D87">
        <w:rPr>
          <w:rFonts w:ascii="Avenir Next LT Pro" w:hAnsi="Avenir Next LT Pro" w:cs="TimesNewRomanPSMT"/>
          <w:sz w:val="24"/>
          <w:szCs w:val="24"/>
        </w:rPr>
        <w:t>tolkats</w:t>
      </w:r>
      <w:r w:rsidR="00CB2C86">
        <w:rPr>
          <w:rFonts w:ascii="Avenir Next LT Pro" w:hAnsi="Avenir Next LT Pro" w:cs="TimesNewRomanPSMT"/>
          <w:sz w:val="24"/>
          <w:szCs w:val="24"/>
        </w:rPr>
        <w:t xml:space="preserve"> via georeferering. Där det är lämpligt har gränser </w:t>
      </w:r>
      <w:r w:rsidR="005D67D4">
        <w:rPr>
          <w:rFonts w:ascii="Avenir Next LT Pro" w:hAnsi="Avenir Next LT Pro" w:cs="TimesNewRomanPSMT"/>
          <w:sz w:val="24"/>
          <w:szCs w:val="24"/>
        </w:rPr>
        <w:t>korrigerats</w:t>
      </w:r>
      <w:r w:rsidR="00CB2C86">
        <w:rPr>
          <w:rFonts w:ascii="Avenir Next LT Pro" w:hAnsi="Avenir Next LT Pro" w:cs="TimesNewRomanPSMT"/>
          <w:sz w:val="24"/>
          <w:szCs w:val="24"/>
        </w:rPr>
        <w:t xml:space="preserve"> till</w:t>
      </w:r>
      <w:r w:rsidRPr="008B1D87">
        <w:rPr>
          <w:rFonts w:ascii="Avenir Next LT Pro" w:hAnsi="Avenir Next LT Pro" w:cs="TimesNewRomanPSMT"/>
          <w:sz w:val="24"/>
          <w:szCs w:val="24"/>
        </w:rPr>
        <w:t xml:space="preserve"> fastighetsgräns</w:t>
      </w:r>
      <w:r w:rsidR="00CB2C86">
        <w:rPr>
          <w:rFonts w:ascii="Avenir Next LT Pro" w:hAnsi="Avenir Next LT Pro" w:cs="TimesNewRomanPSMT"/>
          <w:sz w:val="24"/>
          <w:szCs w:val="24"/>
        </w:rPr>
        <w:t>.</w:t>
      </w:r>
      <w:r w:rsidR="005D67D4">
        <w:rPr>
          <w:rFonts w:ascii="Avenir Next LT Pro" w:hAnsi="Avenir Next LT Pro" w:cs="TimesNewRomanPSMT"/>
          <w:sz w:val="24"/>
          <w:szCs w:val="24"/>
        </w:rPr>
        <w:t xml:space="preserve"> Inom det aktuella område har ingen kvalitets-förbättring gjorts då gränserna redan var av god kvalitet.</w:t>
      </w:r>
      <w:r w:rsidR="00CB2C86">
        <w:rPr>
          <w:rFonts w:ascii="Avenir Next LT Pro" w:hAnsi="Avenir Next LT Pro" w:cs="TimesNewRomanPSMT"/>
          <w:sz w:val="24"/>
          <w:szCs w:val="24"/>
        </w:rPr>
        <w:t xml:space="preserve"> E</w:t>
      </w:r>
      <w:r>
        <w:rPr>
          <w:rFonts w:ascii="Avenir Next LT Pro" w:hAnsi="Avenir Next LT Pro" w:cs="TimesNewRomanPSMT"/>
          <w:sz w:val="24"/>
          <w:szCs w:val="24"/>
        </w:rPr>
        <w:t xml:space="preserve">genskapsgränserna är tolkade genom georeferering. Fastighetsgränser är av god kvalitet. Detaljplanen är komplett digitaliserad, då inga bestämmelser har exkluderats från den digitala planen (bortsett från </w:t>
      </w:r>
      <w:r w:rsidR="00065E6D">
        <w:rPr>
          <w:rFonts w:ascii="Avenir Next LT Pro" w:hAnsi="Avenir Next LT Pro" w:cs="TimesNewRomanPSMT"/>
          <w:sz w:val="24"/>
          <w:szCs w:val="24"/>
        </w:rPr>
        <w:t>bestämmelser om</w:t>
      </w:r>
      <w:r>
        <w:rPr>
          <w:rFonts w:ascii="Avenir Next LT Pro" w:hAnsi="Avenir Next LT Pro" w:cs="TimesNewRomanPSMT"/>
          <w:sz w:val="24"/>
          <w:szCs w:val="24"/>
        </w:rPr>
        <w:t xml:space="preserve"> gatuhöjder, läs mer om detta under rubrik</w:t>
      </w:r>
      <w:r w:rsidR="00065E6D">
        <w:rPr>
          <w:rFonts w:ascii="Avenir Next LT Pro" w:hAnsi="Avenir Next LT Pro" w:cs="TimesNewRomanPSMT"/>
          <w:sz w:val="24"/>
          <w:szCs w:val="24"/>
        </w:rPr>
        <w:t>en</w:t>
      </w:r>
      <w:r>
        <w:rPr>
          <w:rFonts w:ascii="Avenir Next LT Pro" w:hAnsi="Avenir Next LT Pro" w:cs="TimesNewRomanPSMT"/>
          <w:sz w:val="24"/>
          <w:szCs w:val="24"/>
        </w:rPr>
        <w:t xml:space="preserve"> </w:t>
      </w:r>
      <w:r w:rsidRPr="00065E6D">
        <w:rPr>
          <w:rFonts w:ascii="Avenir Next LT Pro" w:hAnsi="Avenir Next LT Pro" w:cs="TimesNewRomanPSMT"/>
          <w:i/>
          <w:iCs/>
          <w:sz w:val="24"/>
          <w:szCs w:val="24"/>
        </w:rPr>
        <w:t>Gatuhöjder</w:t>
      </w:r>
      <w:r>
        <w:rPr>
          <w:rFonts w:ascii="Avenir Next LT Pro" w:hAnsi="Avenir Next LT Pro" w:cs="TimesNewRomanPSMT"/>
          <w:sz w:val="24"/>
          <w:szCs w:val="24"/>
        </w:rPr>
        <w:t>). Då planen upprättades 19</w:t>
      </w:r>
      <w:r w:rsidR="0097385A">
        <w:rPr>
          <w:rFonts w:ascii="Avenir Next LT Pro" w:hAnsi="Avenir Next LT Pro" w:cs="TimesNewRomanPSMT"/>
          <w:sz w:val="24"/>
          <w:szCs w:val="24"/>
        </w:rPr>
        <w:t>73</w:t>
      </w:r>
      <w:r>
        <w:rPr>
          <w:rFonts w:ascii="Avenir Next LT Pro" w:hAnsi="Avenir Next LT Pro" w:cs="TimesNewRomanPSMT"/>
          <w:sz w:val="24"/>
          <w:szCs w:val="24"/>
        </w:rPr>
        <w:t xml:space="preserve"> så har vissa linjer i plankartan varit svåra att tolka och fastställa. Kvaliteten på en på en plankarta från denna tid anses inte ha lika hög kvalitet som i digitalt upprättade planer. Planen bedöms därför ha </w:t>
      </w:r>
      <w:r>
        <w:rPr>
          <w:rFonts w:ascii="Avenir Next LT Pro" w:hAnsi="Avenir Next LT Pro" w:cs="TimesNewRomanPSMT"/>
          <w:b/>
          <w:bCs/>
          <w:sz w:val="24"/>
          <w:szCs w:val="24"/>
        </w:rPr>
        <w:t>låg</w:t>
      </w:r>
      <w:r>
        <w:rPr>
          <w:rFonts w:ascii="Avenir Next LT Pro" w:hAnsi="Avenir Next LT Pro" w:cs="TimesNewRomanPSMT"/>
          <w:sz w:val="24"/>
          <w:szCs w:val="24"/>
        </w:rPr>
        <w:t xml:space="preserve"> användbarhet </w:t>
      </w:r>
      <w:r w:rsidR="00312804">
        <w:rPr>
          <w:rFonts w:ascii="Avenir Next LT Pro" w:hAnsi="Avenir Next LT Pro" w:cs="TimesNewRomanPSMT"/>
          <w:sz w:val="24"/>
          <w:szCs w:val="24"/>
        </w:rPr>
        <w:t>men</w:t>
      </w:r>
      <w:r>
        <w:rPr>
          <w:rFonts w:ascii="Avenir Next LT Pro" w:hAnsi="Avenir Next LT Pro" w:cs="TimesNewRomanPSMT"/>
          <w:sz w:val="24"/>
          <w:szCs w:val="24"/>
        </w:rPr>
        <w:t xml:space="preserve"> vara </w:t>
      </w:r>
      <w:r w:rsidRPr="002146BB">
        <w:rPr>
          <w:rFonts w:ascii="Avenir Next LT Pro" w:hAnsi="Avenir Next LT Pro" w:cs="TimesNewRomanPSMT"/>
          <w:b/>
          <w:bCs/>
          <w:sz w:val="24"/>
          <w:szCs w:val="24"/>
        </w:rPr>
        <w:t>komplett</w:t>
      </w:r>
      <w:r>
        <w:rPr>
          <w:rFonts w:ascii="Avenir Next LT Pro" w:hAnsi="Avenir Next LT Pro" w:cs="TimesNewRomanPSMT"/>
          <w:sz w:val="24"/>
          <w:szCs w:val="24"/>
        </w:rPr>
        <w:t xml:space="preserve"> digitaliserad.</w:t>
      </w:r>
    </w:p>
    <w:bookmarkEnd w:id="0"/>
    <w:p w14:paraId="4F68E2BA" w14:textId="77777777" w:rsidR="00CD140D" w:rsidRPr="00EB7435" w:rsidRDefault="00CD140D" w:rsidP="00CD140D">
      <w:pPr>
        <w:autoSpaceDE w:val="0"/>
        <w:autoSpaceDN w:val="0"/>
        <w:adjustRightInd w:val="0"/>
        <w:spacing w:after="0" w:line="240" w:lineRule="auto"/>
        <w:rPr>
          <w:rFonts w:ascii="Avenir Next LT Pro" w:hAnsi="Avenir Next LT Pro" w:cs="TimesNewRomanPSMT"/>
          <w:sz w:val="24"/>
          <w:szCs w:val="24"/>
        </w:rPr>
      </w:pPr>
    </w:p>
    <w:p w14:paraId="7510E7E5" w14:textId="77777777" w:rsidR="00CD140D" w:rsidRPr="003C29DC" w:rsidRDefault="00CD140D" w:rsidP="00CD140D">
      <w:pPr>
        <w:autoSpaceDE w:val="0"/>
        <w:autoSpaceDN w:val="0"/>
        <w:adjustRightInd w:val="0"/>
        <w:spacing w:after="0" w:line="240" w:lineRule="auto"/>
        <w:rPr>
          <w:rFonts w:ascii="Avenir Next LT Pro" w:hAnsi="Avenir Next LT Pro" w:cs="Arial-BoldMT"/>
          <w:b/>
          <w:bCs/>
          <w:sz w:val="24"/>
          <w:szCs w:val="24"/>
        </w:rPr>
      </w:pPr>
      <w:r w:rsidRPr="003C29DC">
        <w:rPr>
          <w:rFonts w:ascii="Avenir Next LT Pro" w:hAnsi="Avenir Next LT Pro" w:cs="Arial-BoldMT"/>
          <w:b/>
          <w:bCs/>
          <w:sz w:val="24"/>
          <w:szCs w:val="24"/>
        </w:rPr>
        <w:t>Gränser ej avsedda att fastställas</w:t>
      </w:r>
    </w:p>
    <w:p w14:paraId="65D01911" w14:textId="625382E7" w:rsidR="004E0906" w:rsidRDefault="004E0906" w:rsidP="004E0906">
      <w:pPr>
        <w:autoSpaceDE w:val="0"/>
        <w:autoSpaceDN w:val="0"/>
        <w:adjustRightInd w:val="0"/>
        <w:spacing w:after="0" w:line="240" w:lineRule="auto"/>
        <w:rPr>
          <w:rFonts w:ascii="Avenir Next LT Pro" w:hAnsi="Avenir Next LT Pro" w:cs="TimesNewRomanPSMT"/>
          <w:sz w:val="24"/>
          <w:szCs w:val="24"/>
        </w:rPr>
      </w:pPr>
      <w:bookmarkStart w:id="1" w:name="_Hlk154138695"/>
      <w:r>
        <w:rPr>
          <w:rFonts w:ascii="Avenir Next LT Pro" w:hAnsi="Avenir Next LT Pro" w:cs="TimesNewRomanPSMT"/>
          <w:sz w:val="24"/>
          <w:szCs w:val="24"/>
        </w:rPr>
        <w:t xml:space="preserve">Enligt plankartan finns gränslinjer (prickade) som är ej avsedda att fastställas. Dessa finns mellan vägområdet och gatuplanteringen och syftar till att hålla gränsen öppen ”och således inte bindas igenom planens fastställande”. Vägområdets dragning får således flexibilitet och gatuplantering ska möjliggöras. Idag uppnås en sådan reglering bäst genom att planlägga hela området som VÄG med en egenskapsbestämmelse om att plantering ska </w:t>
      </w:r>
      <w:r w:rsidR="00065E6D">
        <w:rPr>
          <w:rFonts w:ascii="Avenir Next LT Pro" w:hAnsi="Avenir Next LT Pro" w:cs="TimesNewRomanPSMT"/>
          <w:sz w:val="24"/>
          <w:szCs w:val="24"/>
        </w:rPr>
        <w:t>anordnas</w:t>
      </w:r>
      <w:r>
        <w:rPr>
          <w:rFonts w:ascii="Avenir Next LT Pro" w:hAnsi="Avenir Next LT Pro" w:cs="TimesNewRomanPSMT"/>
          <w:sz w:val="24"/>
          <w:szCs w:val="24"/>
        </w:rPr>
        <w:t xml:space="preserve"> längs med de</w:t>
      </w:r>
      <w:r w:rsidR="00065E6D">
        <w:rPr>
          <w:rFonts w:ascii="Avenir Next LT Pro" w:hAnsi="Avenir Next LT Pro" w:cs="TimesNewRomanPSMT"/>
          <w:sz w:val="24"/>
          <w:szCs w:val="24"/>
        </w:rPr>
        <w:t>n</w:t>
      </w:r>
      <w:r>
        <w:rPr>
          <w:rFonts w:ascii="Avenir Next LT Pro" w:hAnsi="Avenir Next LT Pro" w:cs="TimesNewRomanPSMT"/>
          <w:sz w:val="24"/>
          <w:szCs w:val="24"/>
        </w:rPr>
        <w:t xml:space="preserve"> aktuella </w:t>
      </w:r>
      <w:r w:rsidR="00065E6D">
        <w:rPr>
          <w:rFonts w:ascii="Avenir Next LT Pro" w:hAnsi="Avenir Next LT Pro" w:cs="TimesNewRomanPSMT"/>
          <w:sz w:val="24"/>
          <w:szCs w:val="24"/>
        </w:rPr>
        <w:t>gatan</w:t>
      </w:r>
      <w:r>
        <w:rPr>
          <w:rFonts w:ascii="Avenir Next LT Pro" w:hAnsi="Avenir Next LT Pro" w:cs="TimesNewRomanPSMT"/>
          <w:sz w:val="24"/>
          <w:szCs w:val="24"/>
        </w:rPr>
        <w:t xml:space="preserve">. Att planlägga gatuplanteringen som </w:t>
      </w:r>
      <w:r w:rsidRPr="00BA26D6">
        <w:rPr>
          <w:rFonts w:ascii="Avenir Next LT Pro" w:hAnsi="Avenir Next LT Pro" w:cs="TimesNewRomanPSMT"/>
          <w:i/>
          <w:iCs/>
          <w:sz w:val="24"/>
          <w:szCs w:val="24"/>
        </w:rPr>
        <w:t>Park</w:t>
      </w:r>
      <w:r>
        <w:rPr>
          <w:rFonts w:ascii="Avenir Next LT Pro" w:hAnsi="Avenir Next LT Pro" w:cs="TimesNewRomanPSMT"/>
          <w:sz w:val="24"/>
          <w:szCs w:val="24"/>
        </w:rPr>
        <w:t xml:space="preserve"> anses olämpligt i och med ytornas karaktär och skötsel. Det tolkas inte heller vara syftet med regleringen. Någon form av plantering längs med vägområdet har dock varit nödvändig att säkra, vilket alltså görs med en egenskapsbestämmelse i den tolkade detaljplanen. </w:t>
      </w:r>
    </w:p>
    <w:p w14:paraId="7B5E8BB8" w14:textId="77777777" w:rsidR="004E0906" w:rsidRDefault="004E0906" w:rsidP="004E0906">
      <w:pPr>
        <w:autoSpaceDE w:val="0"/>
        <w:autoSpaceDN w:val="0"/>
        <w:adjustRightInd w:val="0"/>
        <w:spacing w:after="0" w:line="240" w:lineRule="auto"/>
        <w:rPr>
          <w:rFonts w:ascii="Avenir Next LT Pro" w:hAnsi="Avenir Next LT Pro" w:cs="TimesNewRomanPSMT"/>
          <w:sz w:val="24"/>
          <w:szCs w:val="24"/>
        </w:rPr>
      </w:pPr>
    </w:p>
    <w:p w14:paraId="75231D48" w14:textId="3B1BC8C2" w:rsidR="004E0906" w:rsidRPr="001E555F" w:rsidRDefault="004E0906" w:rsidP="004E0906">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Värt att tillägga är att det finns ett rättsfall som berör den här typen av gränser (</w:t>
      </w:r>
      <w:r w:rsidRPr="001C6E27">
        <w:rPr>
          <w:rFonts w:ascii="Avenir Next LT Pro" w:hAnsi="Avenir Next LT Pro" w:cs="TimesNewRomanPSMT"/>
          <w:sz w:val="24"/>
          <w:szCs w:val="24"/>
        </w:rPr>
        <w:t xml:space="preserve">mål nr P </w:t>
      </w:r>
      <w:proofErr w:type="gramStart"/>
      <w:r w:rsidRPr="001C6E27">
        <w:rPr>
          <w:rFonts w:ascii="Avenir Next LT Pro" w:hAnsi="Avenir Next LT Pro" w:cs="TimesNewRomanPSMT"/>
          <w:sz w:val="24"/>
          <w:szCs w:val="24"/>
        </w:rPr>
        <w:t>7444-13</w:t>
      </w:r>
      <w:proofErr w:type="gramEnd"/>
      <w:r w:rsidRPr="001C6E27">
        <w:rPr>
          <w:rFonts w:ascii="Avenir Next LT Pro" w:hAnsi="Avenir Next LT Pro" w:cs="TimesNewRomanPSMT"/>
          <w:sz w:val="24"/>
          <w:szCs w:val="24"/>
        </w:rPr>
        <w:t>)</w:t>
      </w:r>
      <w:r>
        <w:rPr>
          <w:rFonts w:ascii="Avenir Next LT Pro" w:hAnsi="Avenir Next LT Pro" w:cs="TimesNewRomanPSMT"/>
          <w:sz w:val="24"/>
          <w:szCs w:val="24"/>
        </w:rPr>
        <w:t>. I domslutet konstateras det att för stora avvikelser från dessa icke-fastställda gränser anses vara avsteg från planen, vilket alltså bör ses som den generella riktlinjen. I detaljplaneanvisningarna från 1970 så anges att formuleringen ”</w:t>
      </w:r>
      <w:r w:rsidRPr="001E555F">
        <w:rPr>
          <w:rFonts w:ascii="Avenir Next LT Pro" w:hAnsi="Avenir Next LT Pro" w:cs="TimesNewRomanPSMT"/>
          <w:i/>
          <w:iCs/>
          <w:sz w:val="24"/>
          <w:szCs w:val="24"/>
        </w:rPr>
        <w:t xml:space="preserve">Gränser ej avsedda att fastställas” </w:t>
      </w:r>
      <w:r>
        <w:rPr>
          <w:rFonts w:ascii="Avenir Next LT Pro" w:hAnsi="Avenir Next LT Pro" w:cs="TimesNewRomanPSMT"/>
          <w:sz w:val="24"/>
          <w:szCs w:val="24"/>
        </w:rPr>
        <w:t>tillåter ”mindre gränsavvikelser”. Kommunens bedömning är att i båda fall så kan avvikelser vara möjliga, och således bör gatuplanteringen längs vägområdet inte tolkas som en faktisk markanvändning, samtidigt får allt förstora avvikelser inte medges från dessa illustrationslinjer.</w:t>
      </w:r>
    </w:p>
    <w:bookmarkEnd w:id="1"/>
    <w:p w14:paraId="11B909D9" w14:textId="77777777" w:rsidR="004E0906" w:rsidRDefault="004E0906" w:rsidP="00CD140D">
      <w:pPr>
        <w:autoSpaceDE w:val="0"/>
        <w:autoSpaceDN w:val="0"/>
        <w:adjustRightInd w:val="0"/>
        <w:spacing w:after="0" w:line="240" w:lineRule="auto"/>
        <w:rPr>
          <w:rFonts w:ascii="Avenir Next LT Pro" w:hAnsi="Avenir Next LT Pro" w:cs="TimesNewRomanPSMT"/>
          <w:sz w:val="24"/>
          <w:szCs w:val="24"/>
        </w:rPr>
      </w:pPr>
    </w:p>
    <w:p w14:paraId="12AF805B" w14:textId="77777777" w:rsidR="008A0789" w:rsidRPr="0074210E" w:rsidRDefault="008A0789" w:rsidP="008A0789">
      <w:pPr>
        <w:autoSpaceDE w:val="0"/>
        <w:autoSpaceDN w:val="0"/>
        <w:adjustRightInd w:val="0"/>
        <w:spacing w:after="0" w:line="240" w:lineRule="auto"/>
        <w:rPr>
          <w:rFonts w:ascii="Avenir Next LT Pro" w:hAnsi="Avenir Next LT Pro" w:cs="Arial-BoldMT"/>
          <w:b/>
          <w:bCs/>
          <w:sz w:val="24"/>
          <w:szCs w:val="24"/>
        </w:rPr>
      </w:pPr>
      <w:r w:rsidRPr="0074210E">
        <w:rPr>
          <w:rFonts w:ascii="Avenir Next LT Pro" w:hAnsi="Avenir Next LT Pro" w:cs="Arial-BoldMT"/>
          <w:b/>
          <w:bCs/>
          <w:sz w:val="24"/>
          <w:szCs w:val="24"/>
        </w:rPr>
        <w:t>Markanvändningar</w:t>
      </w:r>
    </w:p>
    <w:p w14:paraId="45ECBA22" w14:textId="088E52DB" w:rsidR="005760A6" w:rsidRPr="00856BB5" w:rsidRDefault="008A0789" w:rsidP="00856BB5">
      <w:pPr>
        <w:pStyle w:val="Liststycke"/>
        <w:numPr>
          <w:ilvl w:val="0"/>
          <w:numId w:val="3"/>
        </w:numPr>
        <w:autoSpaceDE w:val="0"/>
        <w:autoSpaceDN w:val="0"/>
        <w:adjustRightInd w:val="0"/>
        <w:spacing w:after="0" w:line="240" w:lineRule="auto"/>
        <w:rPr>
          <w:rFonts w:ascii="Avenir Next LT Pro" w:hAnsi="Avenir Next LT Pro" w:cs="TimesNewRomanPSMT"/>
          <w:color w:val="FF0000"/>
          <w:sz w:val="24"/>
          <w:szCs w:val="24"/>
        </w:rPr>
      </w:pPr>
      <w:r w:rsidRPr="00165338">
        <w:rPr>
          <w:rFonts w:ascii="Avenir Next LT Pro" w:hAnsi="Avenir Next LT Pro" w:cs="TimesNewRomanPSMT"/>
          <w:i/>
          <w:iCs/>
          <w:sz w:val="24"/>
          <w:szCs w:val="24"/>
        </w:rPr>
        <w:t>Gata eller torg</w:t>
      </w:r>
      <w:r w:rsidR="00CB2C86">
        <w:rPr>
          <w:rFonts w:ascii="Avenir Next LT Pro" w:hAnsi="Avenir Next LT Pro" w:cs="TimesNewRomanPSMT"/>
          <w:sz w:val="24"/>
          <w:szCs w:val="24"/>
        </w:rPr>
        <w:t xml:space="preserve">: </w:t>
      </w:r>
      <w:r w:rsidR="00CB2C86" w:rsidRPr="00C40C18">
        <w:rPr>
          <w:rFonts w:ascii="Avenir Next LT Pro" w:hAnsi="Avenir Next LT Pro" w:cs="TimesNewRomanPSMT"/>
          <w:sz w:val="24"/>
          <w:szCs w:val="24"/>
        </w:rPr>
        <w:t>När planen</w:t>
      </w:r>
      <w:r w:rsidR="00CB2C86">
        <w:rPr>
          <w:rFonts w:ascii="Avenir Next LT Pro" w:hAnsi="Avenir Next LT Pro" w:cs="TimesNewRomanPSMT"/>
          <w:sz w:val="24"/>
          <w:szCs w:val="24"/>
        </w:rPr>
        <w:t xml:space="preserve"> togs fram planlades samtliga vägar, gator, </w:t>
      </w:r>
      <w:proofErr w:type="spellStart"/>
      <w:r w:rsidR="00CB2C86">
        <w:rPr>
          <w:rFonts w:ascii="Avenir Next LT Pro" w:hAnsi="Avenir Next LT Pro" w:cs="TimesNewRomanPSMT"/>
          <w:sz w:val="24"/>
          <w:szCs w:val="24"/>
        </w:rPr>
        <w:t>gc</w:t>
      </w:r>
      <w:proofErr w:type="spellEnd"/>
      <w:r w:rsidR="00CB2C86">
        <w:rPr>
          <w:rFonts w:ascii="Avenir Next LT Pro" w:hAnsi="Avenir Next LT Pro" w:cs="TimesNewRomanPSMT"/>
          <w:sz w:val="24"/>
          <w:szCs w:val="24"/>
        </w:rPr>
        <w:t xml:space="preserve">-vägar och torg som </w:t>
      </w:r>
      <w:r w:rsidR="00CB2C86" w:rsidRPr="00EA00AE">
        <w:rPr>
          <w:rFonts w:ascii="Avenir Next LT Pro" w:hAnsi="Avenir Next LT Pro" w:cs="TimesNewRomanPSMT"/>
          <w:i/>
          <w:iCs/>
          <w:sz w:val="24"/>
          <w:szCs w:val="24"/>
        </w:rPr>
        <w:t>Gata eller torg</w:t>
      </w:r>
      <w:r w:rsidR="00CB2C86">
        <w:rPr>
          <w:rFonts w:ascii="Avenir Next LT Pro" w:hAnsi="Avenir Next LT Pro" w:cs="TimesNewRomanPSMT"/>
          <w:i/>
          <w:iCs/>
          <w:sz w:val="24"/>
          <w:szCs w:val="24"/>
        </w:rPr>
        <w:t xml:space="preserve"> </w:t>
      </w:r>
      <w:r w:rsidR="00CB2C86" w:rsidRPr="00EC58A9">
        <w:rPr>
          <w:rFonts w:ascii="Avenir Next LT Pro" w:hAnsi="Avenir Next LT Pro" w:cs="TimesNewRomanPSMT"/>
          <w:sz w:val="24"/>
          <w:szCs w:val="24"/>
        </w:rPr>
        <w:t xml:space="preserve">i framtagandet av </w:t>
      </w:r>
      <w:r w:rsidR="00CB2C86">
        <w:rPr>
          <w:rFonts w:ascii="Avenir Next LT Pro" w:hAnsi="Avenir Next LT Pro" w:cs="TimesNewRomanPSMT"/>
          <w:sz w:val="24"/>
          <w:szCs w:val="24"/>
        </w:rPr>
        <w:t xml:space="preserve">stadsplaner. I dagens planbestämmelsekatalog finns ett bredare urval i form av väg, gata, gång- och cykelväg, torg mm. Utifrån </w:t>
      </w:r>
      <w:r w:rsidR="00CB2C86" w:rsidRPr="00002449">
        <w:rPr>
          <w:rFonts w:ascii="Avenir Next LT Pro" w:hAnsi="Avenir Next LT Pro" w:cs="TimesNewRomanPSMT"/>
          <w:sz w:val="24"/>
          <w:szCs w:val="24"/>
        </w:rPr>
        <w:t xml:space="preserve">vägnätets hierarki, </w:t>
      </w:r>
      <w:r w:rsidR="00CB2C86">
        <w:rPr>
          <w:rFonts w:ascii="Avenir Next LT Pro" w:hAnsi="Avenir Next LT Pro" w:cs="TimesNewRomanPSMT"/>
          <w:sz w:val="24"/>
          <w:szCs w:val="24"/>
        </w:rPr>
        <w:t>gatornas</w:t>
      </w:r>
      <w:r w:rsidR="00CB2C86" w:rsidRPr="00002449">
        <w:rPr>
          <w:rFonts w:ascii="Avenir Next LT Pro" w:hAnsi="Avenir Next LT Pro" w:cs="TimesNewRomanPSMT"/>
          <w:sz w:val="24"/>
          <w:szCs w:val="24"/>
        </w:rPr>
        <w:t xml:space="preserve"> karaktär och huvudmannaskap så </w:t>
      </w:r>
      <w:r w:rsidR="00CB2C86">
        <w:rPr>
          <w:rFonts w:ascii="Avenir Next LT Pro" w:hAnsi="Avenir Next LT Pro" w:cs="TimesNewRomanPSMT"/>
          <w:sz w:val="24"/>
          <w:szCs w:val="24"/>
        </w:rPr>
        <w:t xml:space="preserve">tolkas Eskilstunavägen och dess tillhörande vägområde som </w:t>
      </w:r>
      <w:r w:rsidR="00CB2C86" w:rsidRPr="00EA00AE">
        <w:rPr>
          <w:rFonts w:ascii="Avenir Next LT Pro" w:hAnsi="Avenir Next LT Pro" w:cs="TimesNewRomanPSMT"/>
          <w:i/>
          <w:iCs/>
          <w:sz w:val="24"/>
          <w:szCs w:val="24"/>
        </w:rPr>
        <w:t>Väg</w:t>
      </w:r>
      <w:r w:rsidR="00CB2C86">
        <w:rPr>
          <w:rFonts w:ascii="Avenir Next LT Pro" w:hAnsi="Avenir Next LT Pro" w:cs="TimesNewRomanPSMT"/>
          <w:i/>
          <w:iCs/>
          <w:sz w:val="24"/>
          <w:szCs w:val="24"/>
        </w:rPr>
        <w:t xml:space="preserve"> </w:t>
      </w:r>
      <w:r w:rsidR="00CB2C86" w:rsidRPr="00CB2C86">
        <w:rPr>
          <w:rFonts w:ascii="Avenir Next LT Pro" w:hAnsi="Avenir Next LT Pro" w:cs="TimesNewRomanPSMT"/>
          <w:sz w:val="24"/>
          <w:szCs w:val="24"/>
        </w:rPr>
        <w:t>(det område som sköts av Trafikverket</w:t>
      </w:r>
      <w:r w:rsidR="00CB2C86">
        <w:rPr>
          <w:rFonts w:ascii="Avenir Next LT Pro" w:hAnsi="Avenir Next LT Pro" w:cs="TimesNewRomanPSMT"/>
          <w:i/>
          <w:iCs/>
          <w:sz w:val="24"/>
          <w:szCs w:val="24"/>
        </w:rPr>
        <w:t>)</w:t>
      </w:r>
      <w:r w:rsidR="00CB2C86">
        <w:rPr>
          <w:rFonts w:ascii="Avenir Next LT Pro" w:hAnsi="Avenir Next LT Pro" w:cs="TimesNewRomanPSMT"/>
          <w:sz w:val="24"/>
          <w:szCs w:val="24"/>
        </w:rPr>
        <w:t xml:space="preserve">, medan alla lokalgator planläggs som </w:t>
      </w:r>
      <w:r w:rsidR="00CB2C86" w:rsidRPr="00DE7B09">
        <w:rPr>
          <w:rFonts w:ascii="Avenir Next LT Pro" w:hAnsi="Avenir Next LT Pro" w:cs="TimesNewRomanPSMT"/>
          <w:i/>
          <w:iCs/>
          <w:sz w:val="24"/>
          <w:szCs w:val="24"/>
        </w:rPr>
        <w:t>Gata</w:t>
      </w:r>
      <w:r w:rsidR="00CB2C86">
        <w:rPr>
          <w:rFonts w:ascii="Avenir Next LT Pro" w:hAnsi="Avenir Next LT Pro" w:cs="TimesNewRomanPSMT"/>
          <w:sz w:val="24"/>
          <w:szCs w:val="24"/>
        </w:rPr>
        <w:t xml:space="preserve">. Gång- och cykelvägar tolkas som just </w:t>
      </w:r>
      <w:r w:rsidR="00CB2C86" w:rsidRPr="00CB2C86">
        <w:rPr>
          <w:rFonts w:ascii="Avenir Next LT Pro" w:hAnsi="Avenir Next LT Pro" w:cs="TimesNewRomanPSMT"/>
          <w:i/>
          <w:iCs/>
          <w:sz w:val="24"/>
          <w:szCs w:val="24"/>
        </w:rPr>
        <w:t>Gång- och cykelväg</w:t>
      </w:r>
      <w:r w:rsidR="00CB2C86">
        <w:rPr>
          <w:rFonts w:ascii="Avenir Next LT Pro" w:hAnsi="Avenir Next LT Pro" w:cs="TimesNewRomanPSMT"/>
          <w:sz w:val="24"/>
          <w:szCs w:val="24"/>
        </w:rPr>
        <w:t>. Det är möjligt att anlägga gång- och cykelvägar i parkområden, men då vikten av dessa betonas i planens syfte anses det nödvändigt att tolka samtliga som gång- och cykelvägar.</w:t>
      </w:r>
      <w:r w:rsidR="00856BB5">
        <w:rPr>
          <w:rFonts w:ascii="Avenir Next LT Pro" w:hAnsi="Avenir Next LT Pro" w:cs="TimesNewRomanPSMT"/>
          <w:sz w:val="24"/>
          <w:szCs w:val="24"/>
        </w:rPr>
        <w:t xml:space="preserve"> </w:t>
      </w:r>
    </w:p>
    <w:p w14:paraId="2F14E7F5" w14:textId="4C224530" w:rsidR="005760A6" w:rsidRPr="005760A6" w:rsidRDefault="008A0789" w:rsidP="00F37C84">
      <w:pPr>
        <w:pStyle w:val="Liststycke"/>
        <w:numPr>
          <w:ilvl w:val="0"/>
          <w:numId w:val="3"/>
        </w:numPr>
        <w:autoSpaceDE w:val="0"/>
        <w:autoSpaceDN w:val="0"/>
        <w:adjustRightInd w:val="0"/>
        <w:spacing w:after="0" w:line="240" w:lineRule="auto"/>
        <w:rPr>
          <w:rFonts w:ascii="Avenir Next LT Pro" w:hAnsi="Avenir Next LT Pro" w:cs="TimesNewRomanPSMT"/>
          <w:color w:val="FF0000"/>
          <w:sz w:val="24"/>
          <w:szCs w:val="24"/>
        </w:rPr>
      </w:pPr>
      <w:r>
        <w:rPr>
          <w:rFonts w:ascii="Avenir Next LT Pro" w:hAnsi="Avenir Next LT Pro" w:cs="TimesNewRomanPSMT"/>
          <w:i/>
          <w:iCs/>
          <w:sz w:val="24"/>
          <w:szCs w:val="24"/>
        </w:rPr>
        <w:t>Park eller planterin</w:t>
      </w:r>
      <w:r w:rsidR="00C77580">
        <w:rPr>
          <w:rFonts w:ascii="Avenir Next LT Pro" w:hAnsi="Avenir Next LT Pro" w:cs="TimesNewRomanPSMT"/>
          <w:i/>
          <w:iCs/>
          <w:sz w:val="24"/>
          <w:szCs w:val="24"/>
        </w:rPr>
        <w:t>g</w:t>
      </w:r>
      <w:r>
        <w:rPr>
          <w:rFonts w:ascii="Avenir Next LT Pro" w:hAnsi="Avenir Next LT Pro" w:cs="TimesNewRomanPSMT"/>
          <w:i/>
          <w:iCs/>
          <w:sz w:val="24"/>
          <w:szCs w:val="24"/>
        </w:rPr>
        <w:t xml:space="preserve">: </w:t>
      </w:r>
      <w:r w:rsidRPr="00C40C18">
        <w:rPr>
          <w:rFonts w:ascii="Avenir Next LT Pro" w:hAnsi="Avenir Next LT Pro" w:cs="TimesNewRomanPSMT"/>
          <w:sz w:val="24"/>
          <w:szCs w:val="24"/>
        </w:rPr>
        <w:t>När planen</w:t>
      </w:r>
      <w:r>
        <w:rPr>
          <w:rFonts w:ascii="Avenir Next LT Pro" w:hAnsi="Avenir Next LT Pro" w:cs="TimesNewRomanPSMT"/>
          <w:sz w:val="24"/>
          <w:szCs w:val="24"/>
        </w:rPr>
        <w:t xml:space="preserve"> togs fram 19</w:t>
      </w:r>
      <w:r w:rsidR="004E0906">
        <w:rPr>
          <w:rFonts w:ascii="Avenir Next LT Pro" w:hAnsi="Avenir Next LT Pro" w:cs="TimesNewRomanPSMT"/>
          <w:sz w:val="24"/>
          <w:szCs w:val="24"/>
        </w:rPr>
        <w:t>73</w:t>
      </w:r>
      <w:r>
        <w:rPr>
          <w:rFonts w:ascii="Avenir Next LT Pro" w:hAnsi="Avenir Next LT Pro" w:cs="TimesNewRomanPSMT"/>
          <w:sz w:val="24"/>
          <w:szCs w:val="24"/>
        </w:rPr>
        <w:t xml:space="preserve"> planlades all</w:t>
      </w:r>
      <w:r w:rsidR="005760A6">
        <w:rPr>
          <w:rFonts w:ascii="Avenir Next LT Pro" w:hAnsi="Avenir Next LT Pro" w:cs="TimesNewRomanPSMT"/>
          <w:sz w:val="24"/>
          <w:szCs w:val="24"/>
        </w:rPr>
        <w:t>a grönområden</w:t>
      </w:r>
      <w:r>
        <w:rPr>
          <w:rFonts w:ascii="Avenir Next LT Pro" w:hAnsi="Avenir Next LT Pro" w:cs="TimesNewRomanPSMT"/>
          <w:sz w:val="24"/>
          <w:szCs w:val="24"/>
        </w:rPr>
        <w:t xml:space="preserve"> som </w:t>
      </w:r>
      <w:r w:rsidRPr="00C40C18">
        <w:rPr>
          <w:rFonts w:ascii="Avenir Next LT Pro" w:hAnsi="Avenir Next LT Pro" w:cs="TimesNewRomanPSMT"/>
          <w:i/>
          <w:iCs/>
          <w:sz w:val="24"/>
          <w:szCs w:val="24"/>
        </w:rPr>
        <w:t>Park eller plantering</w:t>
      </w:r>
      <w:r>
        <w:rPr>
          <w:rFonts w:ascii="Avenir Next LT Pro" w:hAnsi="Avenir Next LT Pro" w:cs="TimesNewRomanPSMT"/>
          <w:sz w:val="24"/>
          <w:szCs w:val="24"/>
        </w:rPr>
        <w:t xml:space="preserve"> om det inte var en del av ett naturreservat. I dagens planbestämmelsekatalog finns ett bredare urval i form av parkmark, naturmark och skyddsområde, och valet av dessa beror på vilken karaktär och skötselnivå som området ska ha. Vid tolkning av detaljplaner från denna tidsperiod så måste hänsyn tas utifrån områdets karaktär och tänkt skötselnivå. </w:t>
      </w:r>
      <w:r w:rsidR="00F37C84">
        <w:rPr>
          <w:rFonts w:ascii="Avenir Next LT Pro" w:hAnsi="Avenir Next LT Pro" w:cs="TimesNewRomanPSMT"/>
          <w:sz w:val="24"/>
          <w:szCs w:val="24"/>
        </w:rPr>
        <w:t xml:space="preserve">Utifrån ytornas karaktär och skötsel tolkas </w:t>
      </w:r>
      <w:r w:rsidR="00C77580">
        <w:rPr>
          <w:rFonts w:ascii="Avenir Next LT Pro" w:hAnsi="Avenir Next LT Pro" w:cs="TimesNewRomanPSMT"/>
          <w:sz w:val="24"/>
          <w:szCs w:val="24"/>
        </w:rPr>
        <w:t xml:space="preserve">i princip </w:t>
      </w:r>
      <w:r w:rsidR="00F37C84">
        <w:rPr>
          <w:rFonts w:ascii="Avenir Next LT Pro" w:hAnsi="Avenir Next LT Pro" w:cs="TimesNewRomanPSMT"/>
          <w:sz w:val="24"/>
          <w:szCs w:val="24"/>
        </w:rPr>
        <w:t xml:space="preserve">samtliga ytor som </w:t>
      </w:r>
      <w:r w:rsidR="00F37C84" w:rsidRPr="00F37C84">
        <w:rPr>
          <w:rFonts w:ascii="Avenir Next LT Pro" w:hAnsi="Avenir Next LT Pro" w:cs="TimesNewRomanPSMT"/>
          <w:i/>
          <w:iCs/>
          <w:sz w:val="24"/>
          <w:szCs w:val="24"/>
        </w:rPr>
        <w:t>Park</w:t>
      </w:r>
      <w:r w:rsidR="00F37C84">
        <w:rPr>
          <w:rFonts w:ascii="Avenir Next LT Pro" w:hAnsi="Avenir Next LT Pro" w:cs="TimesNewRomanPSMT"/>
          <w:sz w:val="24"/>
          <w:szCs w:val="24"/>
        </w:rPr>
        <w:t>.</w:t>
      </w:r>
      <w:r w:rsidR="00C77580">
        <w:rPr>
          <w:rFonts w:ascii="Avenir Next LT Pro" w:hAnsi="Avenir Next LT Pro" w:cs="TimesNewRomanPSMT"/>
          <w:sz w:val="24"/>
          <w:szCs w:val="24"/>
        </w:rPr>
        <w:t xml:space="preserve"> Längst i öster finns ett mycket litet område som inte uppfyller dessa krav. Denna yta tolkas som </w:t>
      </w:r>
      <w:r w:rsidR="00C77580" w:rsidRPr="00C77580">
        <w:rPr>
          <w:rFonts w:ascii="Avenir Next LT Pro" w:hAnsi="Avenir Next LT Pro" w:cs="TimesNewRomanPSMT"/>
          <w:i/>
          <w:iCs/>
          <w:sz w:val="24"/>
          <w:szCs w:val="24"/>
        </w:rPr>
        <w:t>Användningen är angiven som ”Park och plantering”. Bestämmelsen har inte tolkats då användningen inte går att översätta till dagens lagstiftning utan att försvåra drift- och ansvarsfrågor</w:t>
      </w:r>
      <w:r w:rsidR="00C77580">
        <w:rPr>
          <w:rFonts w:ascii="Avenir Next LT Pro" w:hAnsi="Avenir Next LT Pro" w:cs="TimesNewRomanPSMT"/>
          <w:sz w:val="24"/>
          <w:szCs w:val="24"/>
        </w:rPr>
        <w:t>.</w:t>
      </w:r>
    </w:p>
    <w:p w14:paraId="1AABF0FA" w14:textId="77777777" w:rsidR="008A0789" w:rsidRPr="0097385A" w:rsidRDefault="008A0789" w:rsidP="008A0789">
      <w:pPr>
        <w:pStyle w:val="Liststycke"/>
        <w:numPr>
          <w:ilvl w:val="0"/>
          <w:numId w:val="3"/>
        </w:numPr>
        <w:autoSpaceDE w:val="0"/>
        <w:autoSpaceDN w:val="0"/>
        <w:adjustRightInd w:val="0"/>
        <w:spacing w:after="0" w:line="240" w:lineRule="auto"/>
        <w:rPr>
          <w:rFonts w:ascii="Avenir Next LT Pro" w:hAnsi="Avenir Next LT Pro" w:cs="TimesNewRomanPSMT"/>
          <w:color w:val="FF0000"/>
          <w:sz w:val="24"/>
          <w:szCs w:val="24"/>
        </w:rPr>
      </w:pPr>
      <w:r w:rsidRPr="00856BB5">
        <w:rPr>
          <w:rFonts w:ascii="Avenir Next LT Pro" w:hAnsi="Avenir Next LT Pro" w:cs="Arial-BoldMT"/>
          <w:i/>
          <w:iCs/>
          <w:sz w:val="24"/>
          <w:szCs w:val="24"/>
        </w:rPr>
        <w:t>Bostadsändamål, fristående hus</w:t>
      </w:r>
      <w:r>
        <w:rPr>
          <w:rFonts w:ascii="Avenir Next LT Pro" w:hAnsi="Avenir Next LT Pro" w:cs="Arial-BoldMT"/>
          <w:sz w:val="24"/>
          <w:szCs w:val="24"/>
        </w:rPr>
        <w:t xml:space="preserve"> (BF) </w:t>
      </w:r>
      <w:r>
        <w:rPr>
          <w:rFonts w:ascii="Avenir Next LT Pro" w:hAnsi="Avenir Next LT Pro" w:cs="TimesNewRomanPSMT"/>
          <w:sz w:val="24"/>
          <w:szCs w:val="24"/>
        </w:rPr>
        <w:t xml:space="preserve">har tolkats som </w:t>
      </w:r>
      <w:r w:rsidRPr="00F51AE9">
        <w:rPr>
          <w:rFonts w:ascii="Avenir Next LT Pro" w:hAnsi="Avenir Next LT Pro" w:cs="TimesNewRomanPSMT"/>
          <w:i/>
          <w:iCs/>
          <w:sz w:val="24"/>
          <w:szCs w:val="24"/>
        </w:rPr>
        <w:t>Bostäder</w:t>
      </w:r>
      <w:r>
        <w:rPr>
          <w:rFonts w:ascii="Avenir Next LT Pro" w:hAnsi="Avenir Next LT Pro" w:cs="TimesNewRomanPSMT"/>
          <w:sz w:val="24"/>
          <w:szCs w:val="24"/>
        </w:rPr>
        <w:t xml:space="preserve">. </w:t>
      </w:r>
      <w:r w:rsidRPr="00F51AE9">
        <w:rPr>
          <w:rFonts w:ascii="Avenir Next LT Pro" w:hAnsi="Avenir Next LT Pro" w:cs="TimesNewRomanPSMT"/>
          <w:sz w:val="24"/>
          <w:szCs w:val="24"/>
        </w:rPr>
        <w:t xml:space="preserve">En egenskapsbestämmelse (utformning) om att </w:t>
      </w:r>
      <w:r>
        <w:rPr>
          <w:rFonts w:ascii="Avenir Next LT Pro" w:hAnsi="Avenir Next LT Pro" w:cs="TimesNewRomanPSMT"/>
          <w:sz w:val="24"/>
          <w:szCs w:val="24"/>
        </w:rPr>
        <w:t>”</w:t>
      </w:r>
      <w:r w:rsidRPr="0074210E">
        <w:rPr>
          <w:rFonts w:ascii="Avenir Next LT Pro" w:hAnsi="Avenir Next LT Pro" w:cs="TimesNewRomanPSMT"/>
          <w:i/>
          <w:iCs/>
          <w:sz w:val="24"/>
          <w:szCs w:val="24"/>
        </w:rPr>
        <w:t xml:space="preserve">Endast </w:t>
      </w:r>
      <w:r>
        <w:rPr>
          <w:rFonts w:ascii="Avenir Next LT Pro" w:hAnsi="Avenir Next LT Pro" w:cs="TimesNewRomanPSMT"/>
          <w:i/>
          <w:iCs/>
          <w:sz w:val="24"/>
          <w:szCs w:val="24"/>
        </w:rPr>
        <w:t>friliggande hus</w:t>
      </w:r>
      <w:r>
        <w:rPr>
          <w:rFonts w:ascii="Avenir Next LT Pro" w:hAnsi="Avenir Next LT Pro" w:cs="TimesNewRomanPSMT"/>
          <w:sz w:val="24"/>
          <w:szCs w:val="24"/>
        </w:rPr>
        <w:t>”</w:t>
      </w:r>
      <w:r w:rsidRPr="00F51AE9">
        <w:rPr>
          <w:rFonts w:ascii="Avenir Next LT Pro" w:hAnsi="Avenir Next LT Pro" w:cs="TimesNewRomanPSMT"/>
          <w:sz w:val="24"/>
          <w:szCs w:val="24"/>
        </w:rPr>
        <w:t xml:space="preserve"> får </w:t>
      </w:r>
      <w:r>
        <w:rPr>
          <w:rFonts w:ascii="Avenir Next LT Pro" w:hAnsi="Avenir Next LT Pro" w:cs="TimesNewRomanPSMT"/>
          <w:sz w:val="24"/>
          <w:szCs w:val="24"/>
        </w:rPr>
        <w:t>uppföras</w:t>
      </w:r>
      <w:r w:rsidRPr="00F51AE9">
        <w:rPr>
          <w:rFonts w:ascii="Avenir Next LT Pro" w:hAnsi="Avenir Next LT Pro" w:cs="TimesNewRomanPSMT"/>
          <w:sz w:val="24"/>
          <w:szCs w:val="24"/>
        </w:rPr>
        <w:t xml:space="preserve"> har kompletterats</w:t>
      </w:r>
      <w:r>
        <w:rPr>
          <w:rFonts w:ascii="Avenir Next LT Pro" w:hAnsi="Avenir Next LT Pro" w:cs="TimesNewRomanPSMT"/>
          <w:sz w:val="24"/>
          <w:szCs w:val="24"/>
        </w:rPr>
        <w:t xml:space="preserve"> i plankartan</w:t>
      </w:r>
      <w:r w:rsidRPr="00F51AE9">
        <w:rPr>
          <w:rFonts w:ascii="Avenir Next LT Pro" w:hAnsi="Avenir Next LT Pro" w:cs="TimesNewRomanPSMT"/>
          <w:sz w:val="24"/>
          <w:szCs w:val="24"/>
        </w:rPr>
        <w:t>.</w:t>
      </w:r>
    </w:p>
    <w:p w14:paraId="7D4F638B" w14:textId="698894FD" w:rsidR="0097385A" w:rsidRPr="00E2501D" w:rsidRDefault="0097385A" w:rsidP="008A0789">
      <w:pPr>
        <w:pStyle w:val="Liststycke"/>
        <w:numPr>
          <w:ilvl w:val="0"/>
          <w:numId w:val="3"/>
        </w:numPr>
        <w:autoSpaceDE w:val="0"/>
        <w:autoSpaceDN w:val="0"/>
        <w:adjustRightInd w:val="0"/>
        <w:spacing w:after="0" w:line="240" w:lineRule="auto"/>
        <w:rPr>
          <w:rFonts w:ascii="Avenir Next LT Pro" w:hAnsi="Avenir Next LT Pro" w:cs="TimesNewRomanPSMT"/>
          <w:color w:val="FF0000"/>
          <w:sz w:val="24"/>
          <w:szCs w:val="24"/>
        </w:rPr>
      </w:pPr>
      <w:r>
        <w:rPr>
          <w:rFonts w:ascii="Avenir Next LT Pro" w:hAnsi="Avenir Next LT Pro" w:cs="Arial-BoldMT"/>
          <w:i/>
          <w:iCs/>
          <w:sz w:val="24"/>
          <w:szCs w:val="24"/>
        </w:rPr>
        <w:t xml:space="preserve">Transformatorstation </w:t>
      </w:r>
      <w:r>
        <w:rPr>
          <w:rFonts w:ascii="Avenir Next LT Pro" w:hAnsi="Avenir Next LT Pro" w:cs="Arial-BoldMT"/>
          <w:sz w:val="24"/>
          <w:szCs w:val="24"/>
        </w:rPr>
        <w:t xml:space="preserve">har tolkats som </w:t>
      </w:r>
      <w:r w:rsidRPr="0097385A">
        <w:rPr>
          <w:rFonts w:ascii="Avenir Next LT Pro" w:hAnsi="Avenir Next LT Pro" w:cs="Arial-BoldMT"/>
          <w:i/>
          <w:iCs/>
          <w:sz w:val="24"/>
          <w:szCs w:val="24"/>
        </w:rPr>
        <w:t>Teknisk anläggning</w:t>
      </w:r>
      <w:r>
        <w:rPr>
          <w:rFonts w:ascii="Avenir Next LT Pro" w:hAnsi="Avenir Next LT Pro" w:cs="Arial-BoldMT"/>
          <w:sz w:val="24"/>
          <w:szCs w:val="24"/>
        </w:rPr>
        <w:t>.</w:t>
      </w:r>
    </w:p>
    <w:p w14:paraId="05139280" w14:textId="65D6CD00" w:rsidR="008E558B" w:rsidRPr="00E4569B" w:rsidRDefault="008A0789" w:rsidP="00CD140D">
      <w:pPr>
        <w:pStyle w:val="Liststycke"/>
        <w:numPr>
          <w:ilvl w:val="0"/>
          <w:numId w:val="3"/>
        </w:numPr>
        <w:autoSpaceDE w:val="0"/>
        <w:autoSpaceDN w:val="0"/>
        <w:adjustRightInd w:val="0"/>
        <w:spacing w:after="0" w:line="240" w:lineRule="auto"/>
        <w:rPr>
          <w:rFonts w:ascii="Avenir Next LT Pro" w:hAnsi="Avenir Next LT Pro" w:cs="TimesNewRomanPSMT"/>
          <w:color w:val="FF0000"/>
          <w:sz w:val="24"/>
          <w:szCs w:val="24"/>
        </w:rPr>
      </w:pPr>
      <w:r w:rsidRPr="00F32345">
        <w:rPr>
          <w:rFonts w:ascii="Avenir Next LT Pro" w:hAnsi="Avenir Next LT Pro" w:cs="Arial-BoldMT"/>
          <w:i/>
          <w:iCs/>
          <w:sz w:val="24"/>
          <w:szCs w:val="24"/>
        </w:rPr>
        <w:t>Vattenområde</w:t>
      </w:r>
      <w:r>
        <w:rPr>
          <w:rFonts w:ascii="Avenir Next LT Pro" w:hAnsi="Avenir Next LT Pro" w:cs="Arial-BoldMT"/>
          <w:i/>
          <w:iCs/>
          <w:sz w:val="24"/>
          <w:szCs w:val="24"/>
        </w:rPr>
        <w:t xml:space="preserve"> (V)</w:t>
      </w:r>
      <w:r>
        <w:rPr>
          <w:rFonts w:ascii="Avenir Next LT Pro" w:hAnsi="Avenir Next LT Pro" w:cs="Arial-BoldMT"/>
          <w:sz w:val="24"/>
          <w:szCs w:val="24"/>
        </w:rPr>
        <w:t xml:space="preserve"> tolkas som en fritextbestämmelse med formuleringen </w:t>
      </w:r>
      <w:r w:rsidRPr="00601265">
        <w:rPr>
          <w:rFonts w:ascii="Avenir Next LT Pro" w:hAnsi="Avenir Next LT Pro" w:cs="Arial-BoldMT"/>
          <w:i/>
          <w:iCs/>
          <w:sz w:val="24"/>
          <w:szCs w:val="24"/>
        </w:rPr>
        <w:t>Vattenområde som inte får utfyllas eller överbyggas</w:t>
      </w:r>
      <w:r>
        <w:rPr>
          <w:rFonts w:ascii="Avenir Next LT Pro" w:hAnsi="Avenir Next LT Pro" w:cs="Arial-BoldMT"/>
          <w:sz w:val="24"/>
          <w:szCs w:val="24"/>
        </w:rPr>
        <w:t>.</w:t>
      </w:r>
    </w:p>
    <w:p w14:paraId="0C691D9C" w14:textId="5897E7A4" w:rsidR="008E558B" w:rsidRDefault="008E558B" w:rsidP="00CD140D">
      <w:pPr>
        <w:autoSpaceDE w:val="0"/>
        <w:autoSpaceDN w:val="0"/>
        <w:adjustRightInd w:val="0"/>
        <w:spacing w:after="0" w:line="240" w:lineRule="auto"/>
        <w:rPr>
          <w:rFonts w:ascii="Avenir Next LT Pro" w:hAnsi="Avenir Next LT Pro" w:cs="TimesNewRomanPSMT"/>
          <w:sz w:val="24"/>
          <w:szCs w:val="24"/>
        </w:rPr>
      </w:pPr>
    </w:p>
    <w:p w14:paraId="517D28CC" w14:textId="77777777" w:rsidR="003C29DC" w:rsidRDefault="003C29DC" w:rsidP="003C29DC">
      <w:pPr>
        <w:autoSpaceDE w:val="0"/>
        <w:autoSpaceDN w:val="0"/>
        <w:adjustRightInd w:val="0"/>
        <w:spacing w:after="0" w:line="240" w:lineRule="auto"/>
        <w:rPr>
          <w:rFonts w:ascii="Avenir Next LT Pro" w:hAnsi="Avenir Next LT Pro" w:cs="TimesNewRomanPSMT"/>
          <w:color w:val="FF0000"/>
          <w:sz w:val="24"/>
          <w:szCs w:val="24"/>
        </w:rPr>
      </w:pPr>
      <w:r w:rsidRPr="00842C0A">
        <w:rPr>
          <w:rFonts w:ascii="Avenir Next LT Pro" w:hAnsi="Avenir Next LT Pro" w:cs="TimesNewRomanPSMT"/>
          <w:b/>
          <w:bCs/>
          <w:sz w:val="24"/>
          <w:szCs w:val="24"/>
        </w:rPr>
        <w:t>Marken får inte bebyggas</w:t>
      </w:r>
    </w:p>
    <w:p w14:paraId="4992ECAE" w14:textId="77777777" w:rsidR="003C29DC" w:rsidRDefault="003C29DC" w:rsidP="003C29DC">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Enligt tidens anvisningar gällande begränsningar av markens bebyggande under perioden </w:t>
      </w:r>
      <w:r w:rsidRPr="00DE2A21">
        <w:rPr>
          <w:rFonts w:ascii="Avenir Next LT Pro" w:hAnsi="Avenir Next LT Pro" w:cs="TimesNewRomanPSMT"/>
          <w:sz w:val="24"/>
          <w:szCs w:val="24"/>
        </w:rPr>
        <w:t xml:space="preserve">1949–1986 </w:t>
      </w:r>
      <w:r>
        <w:rPr>
          <w:rFonts w:ascii="Avenir Next LT Pro" w:hAnsi="Avenir Next LT Pro" w:cs="TimesNewRomanPSMT"/>
          <w:sz w:val="24"/>
          <w:szCs w:val="24"/>
        </w:rPr>
        <w:t xml:space="preserve">kan man utläsa att </w:t>
      </w:r>
      <w:r w:rsidRPr="00037E5E">
        <w:rPr>
          <w:rFonts w:ascii="Avenir Next LT Pro" w:hAnsi="Avenir Next LT Pro" w:cs="TimesNewRomanPSMT"/>
          <w:i/>
          <w:iCs/>
          <w:sz w:val="24"/>
          <w:szCs w:val="24"/>
        </w:rPr>
        <w:t>Mark som inte får bebyggas</w:t>
      </w:r>
      <w:r w:rsidRPr="00842C0A">
        <w:rPr>
          <w:rFonts w:ascii="Avenir Next LT Pro" w:hAnsi="Avenir Next LT Pro" w:cs="TimesNewRomanPSMT"/>
          <w:sz w:val="24"/>
          <w:szCs w:val="24"/>
        </w:rPr>
        <w:t xml:space="preserve"> </w:t>
      </w:r>
      <w:r>
        <w:rPr>
          <w:rFonts w:ascii="Avenir Next LT Pro" w:hAnsi="Avenir Next LT Pro" w:cs="TimesNewRomanPSMT"/>
          <w:sz w:val="24"/>
          <w:szCs w:val="24"/>
        </w:rPr>
        <w:t xml:space="preserve">ska förstås som </w:t>
      </w:r>
      <w:r w:rsidRPr="00842C0A">
        <w:rPr>
          <w:rFonts w:ascii="Avenir Next LT Pro" w:hAnsi="Avenir Next LT Pro" w:cs="TimesNewRomanPSMT"/>
          <w:sz w:val="24"/>
          <w:szCs w:val="24"/>
        </w:rPr>
        <w:t>”</w:t>
      </w:r>
      <w:r w:rsidRPr="00037E5E">
        <w:rPr>
          <w:rFonts w:ascii="Avenir Next LT Pro" w:hAnsi="Avenir Next LT Pro" w:cs="TimesNewRomanPSMT"/>
          <w:i/>
          <w:iCs/>
          <w:sz w:val="24"/>
          <w:szCs w:val="24"/>
        </w:rPr>
        <w:t>Marken får inte förse med byggnad, plank och mur</w:t>
      </w:r>
      <w:r w:rsidRPr="00842C0A">
        <w:rPr>
          <w:rFonts w:ascii="Avenir Next LT Pro" w:hAnsi="Avenir Next LT Pro" w:cs="TimesNewRomanPSMT"/>
          <w:sz w:val="24"/>
          <w:szCs w:val="24"/>
        </w:rPr>
        <w:t>”</w:t>
      </w:r>
      <w:r>
        <w:rPr>
          <w:rFonts w:ascii="Avenir Next LT Pro" w:hAnsi="Avenir Next LT Pro" w:cs="TimesNewRomanPSMT"/>
          <w:sz w:val="24"/>
          <w:szCs w:val="24"/>
        </w:rPr>
        <w:t xml:space="preserve">. Bestämmelsen tolkas i enlighet med detta. </w:t>
      </w:r>
    </w:p>
    <w:p w14:paraId="352BCE98" w14:textId="77777777" w:rsidR="003C29DC" w:rsidRPr="00EB7435" w:rsidRDefault="003C29DC" w:rsidP="00CD140D">
      <w:pPr>
        <w:autoSpaceDE w:val="0"/>
        <w:autoSpaceDN w:val="0"/>
        <w:adjustRightInd w:val="0"/>
        <w:spacing w:after="0" w:line="240" w:lineRule="auto"/>
        <w:rPr>
          <w:rFonts w:ascii="Avenir Next LT Pro" w:hAnsi="Avenir Next LT Pro" w:cs="TimesNewRomanPSMT"/>
          <w:sz w:val="24"/>
          <w:szCs w:val="24"/>
        </w:rPr>
      </w:pPr>
    </w:p>
    <w:p w14:paraId="115103F7" w14:textId="4568F80A" w:rsidR="00CD140D" w:rsidRPr="00EB7435" w:rsidRDefault="008E558B" w:rsidP="00CD140D">
      <w:pPr>
        <w:autoSpaceDE w:val="0"/>
        <w:autoSpaceDN w:val="0"/>
        <w:adjustRightInd w:val="0"/>
        <w:spacing w:after="0" w:line="240" w:lineRule="auto"/>
        <w:rPr>
          <w:rFonts w:ascii="Avenir Next LT Pro" w:hAnsi="Avenir Next LT Pro" w:cs="Arial-BoldMT"/>
          <w:b/>
          <w:bCs/>
          <w:sz w:val="24"/>
          <w:szCs w:val="24"/>
        </w:rPr>
      </w:pPr>
      <w:r>
        <w:rPr>
          <w:rFonts w:ascii="Avenir Next LT Pro" w:hAnsi="Avenir Next LT Pro" w:cs="Arial-BoldMT"/>
          <w:b/>
          <w:bCs/>
          <w:sz w:val="24"/>
          <w:szCs w:val="24"/>
        </w:rPr>
        <w:t>Markreservatsbestämmelser</w:t>
      </w:r>
    </w:p>
    <w:p w14:paraId="04AA3BB4" w14:textId="6A006CA8" w:rsidR="00CD140D" w:rsidRDefault="008E558B" w:rsidP="00CD140D">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mark som ska vara allmänt tillgängliga:</w:t>
      </w:r>
    </w:p>
    <w:p w14:paraId="2D5568C9" w14:textId="779F85DF" w:rsidR="008E558B" w:rsidRPr="001D7E60" w:rsidRDefault="008E558B" w:rsidP="008E558B">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1D7E60">
        <w:rPr>
          <w:rFonts w:ascii="Avenir Next LT Pro" w:hAnsi="Avenir Next LT Pro" w:cs="TimesNewRomanPSMT"/>
          <w:i/>
          <w:iCs/>
          <w:sz w:val="24"/>
          <w:szCs w:val="24"/>
        </w:rPr>
        <w:t>Inom z betecknad del av vattenområde får allmän gatutrafik framföras på bro över vattnet.</w:t>
      </w:r>
    </w:p>
    <w:p w14:paraId="363BA5E9" w14:textId="5E04C251" w:rsidR="008E558B" w:rsidRPr="001D7E60" w:rsidRDefault="008E558B" w:rsidP="008E558B">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1D7E60">
        <w:rPr>
          <w:rFonts w:ascii="Avenir Next LT Pro" w:hAnsi="Avenir Next LT Pro" w:cs="TimesNewRomanPSMT"/>
          <w:i/>
          <w:iCs/>
          <w:sz w:val="24"/>
          <w:szCs w:val="24"/>
        </w:rPr>
        <w:t>Inom x betecknad del av vattenområde får allmän gångtrafik framföras på bro över vattnet.</w:t>
      </w:r>
    </w:p>
    <w:p w14:paraId="2D48B335" w14:textId="3DFAEA8C" w:rsidR="008E558B" w:rsidRPr="001D7E60" w:rsidRDefault="008E558B" w:rsidP="008E558B">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1D7E60">
        <w:rPr>
          <w:rFonts w:ascii="Avenir Next LT Pro" w:hAnsi="Avenir Next LT Pro" w:cs="TimesNewRomanPSMT"/>
          <w:i/>
          <w:iCs/>
          <w:sz w:val="24"/>
          <w:szCs w:val="24"/>
        </w:rPr>
        <w:t>Inom x betecknat område får icke vidtagas anordningar som hindrar att området används för allmän gångtrafik.</w:t>
      </w:r>
    </w:p>
    <w:p w14:paraId="3FE3CAE9" w14:textId="68DEFAC8" w:rsidR="008E558B" w:rsidRDefault="008E558B" w:rsidP="00E4569B">
      <w:pPr>
        <w:autoSpaceDE w:val="0"/>
        <w:autoSpaceDN w:val="0"/>
        <w:adjustRightInd w:val="0"/>
        <w:spacing w:after="0" w:line="240" w:lineRule="auto"/>
        <w:rPr>
          <w:rFonts w:ascii="Avenir Next LT Pro" w:hAnsi="Avenir Next LT Pro" w:cs="TimesNewRomanPSMT"/>
          <w:sz w:val="24"/>
          <w:szCs w:val="24"/>
        </w:rPr>
      </w:pPr>
    </w:p>
    <w:p w14:paraId="4D47BF78" w14:textId="2B5C9EB2" w:rsidR="00E4569B" w:rsidRDefault="00E4569B" w:rsidP="00E4569B">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Bestämmelserna tolkas till följande:</w:t>
      </w:r>
    </w:p>
    <w:p w14:paraId="023A395C" w14:textId="77777777" w:rsidR="001D7E60" w:rsidRPr="001D7E60" w:rsidRDefault="001D7E60" w:rsidP="001D7E60">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1D7E60">
        <w:rPr>
          <w:rFonts w:ascii="Avenir Next LT Pro" w:hAnsi="Avenir Next LT Pro" w:cs="TimesNewRomanPSMT"/>
          <w:i/>
          <w:iCs/>
          <w:sz w:val="24"/>
          <w:szCs w:val="24"/>
        </w:rPr>
        <w:t>Markreservat för bro för allmännyttig körtrafik</w:t>
      </w:r>
    </w:p>
    <w:p w14:paraId="27E39182" w14:textId="62858B2B" w:rsidR="001D7E60" w:rsidRPr="001D7E60" w:rsidRDefault="001D7E60" w:rsidP="001D7E60">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1D7E60">
        <w:rPr>
          <w:rFonts w:ascii="Avenir Next LT Pro" w:hAnsi="Avenir Next LT Pro" w:cs="TimesNewRomanPSMT"/>
          <w:i/>
          <w:iCs/>
          <w:sz w:val="24"/>
          <w:szCs w:val="24"/>
        </w:rPr>
        <w:t>Markreservat för bro för allmän gång- och cykeltrafik</w:t>
      </w:r>
      <w:r>
        <w:rPr>
          <w:rFonts w:ascii="Avenir Next LT Pro" w:hAnsi="Avenir Next LT Pro" w:cs="TimesNewRomanPSMT"/>
          <w:sz w:val="24"/>
          <w:szCs w:val="24"/>
        </w:rPr>
        <w:t>. Bestämmelsen anses vara tillräckligt heltäckande för båda x-bestämmelserna i detaljplanen.</w:t>
      </w:r>
    </w:p>
    <w:p w14:paraId="443FAD4B" w14:textId="59E80105" w:rsidR="002207EB" w:rsidRDefault="002207EB" w:rsidP="00CD140D">
      <w:pPr>
        <w:autoSpaceDE w:val="0"/>
        <w:autoSpaceDN w:val="0"/>
        <w:adjustRightInd w:val="0"/>
        <w:spacing w:after="0" w:line="240" w:lineRule="auto"/>
        <w:rPr>
          <w:rFonts w:ascii="Avenir Next LT Pro" w:hAnsi="Avenir Next LT Pro" w:cs="TimesNewRomanPSMT"/>
          <w:sz w:val="24"/>
          <w:szCs w:val="24"/>
        </w:rPr>
      </w:pPr>
    </w:p>
    <w:p w14:paraId="293F84C1" w14:textId="01633EEF" w:rsidR="00A93D08" w:rsidRPr="00E734D5" w:rsidRDefault="00E734D5" w:rsidP="00CD140D">
      <w:pPr>
        <w:autoSpaceDE w:val="0"/>
        <w:autoSpaceDN w:val="0"/>
        <w:adjustRightInd w:val="0"/>
        <w:spacing w:after="0" w:line="240" w:lineRule="auto"/>
        <w:rPr>
          <w:rFonts w:ascii="Avenir Next LT Pro" w:hAnsi="Avenir Next LT Pro" w:cs="TimesNewRomanPSMT"/>
          <w:b/>
          <w:bCs/>
          <w:sz w:val="24"/>
          <w:szCs w:val="24"/>
        </w:rPr>
      </w:pPr>
      <w:r>
        <w:rPr>
          <w:rFonts w:ascii="Avenir Next LT Pro" w:hAnsi="Avenir Next LT Pro" w:cs="TimesNewRomanPSMT"/>
          <w:b/>
          <w:bCs/>
          <w:sz w:val="24"/>
          <w:szCs w:val="24"/>
        </w:rPr>
        <w:t>Byggnads läge</w:t>
      </w:r>
    </w:p>
    <w:p w14:paraId="744AC0B8" w14:textId="10B847DE" w:rsidR="00E734D5" w:rsidRDefault="00E734D5" w:rsidP="00CD140D">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En bestämmelse i gällande detaljplan reglerar placering av byggnader längs med ett parkstråk mellan bostadskvarteren. Bestämmelsen lyder:</w:t>
      </w:r>
    </w:p>
    <w:p w14:paraId="7381765D" w14:textId="1AA3A642" w:rsidR="00E734D5" w:rsidRDefault="00E734D5" w:rsidP="00E734D5">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E734D5">
        <w:rPr>
          <w:rFonts w:ascii="Avenir Next LT Pro" w:hAnsi="Avenir Next LT Pro" w:cs="TimesNewRomanPSMT"/>
          <w:i/>
          <w:iCs/>
          <w:sz w:val="24"/>
          <w:szCs w:val="24"/>
        </w:rPr>
        <w:t xml:space="preserve">Under förutsättning att avståndet till byggnad på grannfastighet blir minst 8 meter må byggnad uppföras i den fastighetsgräns som ligger på samma sida om byggnaden som särskild områdesgräns försedd med </w:t>
      </w:r>
      <w:r w:rsidRPr="00E734D5">
        <w:rPr>
          <w:rFonts w:ascii="Avenir Next LT Pro" w:hAnsi="Avenir Next LT Pro" w:cs="TimesNewRomanPSMT"/>
          <w:i/>
          <w:iCs/>
          <w:sz w:val="24"/>
          <w:szCs w:val="24"/>
          <w:u w:val="single"/>
        </w:rPr>
        <w:t>ofyllda cirklar</w:t>
      </w:r>
      <w:r>
        <w:rPr>
          <w:rFonts w:ascii="Avenir Next LT Pro" w:hAnsi="Avenir Next LT Pro" w:cs="TimesNewRomanPSMT"/>
          <w:sz w:val="24"/>
          <w:szCs w:val="24"/>
        </w:rPr>
        <w:t>.</w:t>
      </w:r>
    </w:p>
    <w:p w14:paraId="63D698A7" w14:textId="77777777" w:rsidR="00E734D5" w:rsidRDefault="00E734D5" w:rsidP="00E734D5">
      <w:pPr>
        <w:autoSpaceDE w:val="0"/>
        <w:autoSpaceDN w:val="0"/>
        <w:adjustRightInd w:val="0"/>
        <w:spacing w:after="0" w:line="240" w:lineRule="auto"/>
        <w:rPr>
          <w:rFonts w:ascii="Avenir Next LT Pro" w:hAnsi="Avenir Next LT Pro" w:cs="TimesNewRomanPSMT"/>
          <w:sz w:val="24"/>
          <w:szCs w:val="24"/>
        </w:rPr>
      </w:pPr>
    </w:p>
    <w:p w14:paraId="7AF2535F" w14:textId="65E1AC0E" w:rsidR="00E734D5" w:rsidRPr="00E734D5" w:rsidRDefault="00E734D5" w:rsidP="00E734D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003027DB">
        <w:rPr>
          <w:rFonts w:ascii="Avenir Next LT Pro" w:hAnsi="Avenir Next LT Pro" w:cs="TimesNewRomanPSMT"/>
          <w:sz w:val="24"/>
          <w:szCs w:val="24"/>
        </w:rPr>
        <w:t>illustreras</w:t>
      </w:r>
      <w:r>
        <w:rPr>
          <w:rFonts w:ascii="Avenir Next LT Pro" w:hAnsi="Avenir Next LT Pro" w:cs="TimesNewRomanPSMT"/>
          <w:sz w:val="24"/>
          <w:szCs w:val="24"/>
        </w:rPr>
        <w:t xml:space="preserve"> på följande sätt:</w:t>
      </w:r>
    </w:p>
    <w:p w14:paraId="3B9915EB" w14:textId="77777777" w:rsidR="00E734D5" w:rsidRDefault="00E734D5" w:rsidP="00CD140D">
      <w:pPr>
        <w:autoSpaceDE w:val="0"/>
        <w:autoSpaceDN w:val="0"/>
        <w:adjustRightInd w:val="0"/>
        <w:spacing w:after="0" w:line="240" w:lineRule="auto"/>
        <w:rPr>
          <w:rFonts w:ascii="Avenir Next LT Pro" w:hAnsi="Avenir Next LT Pro" w:cs="TimesNewRomanPSMT"/>
          <w:sz w:val="24"/>
          <w:szCs w:val="24"/>
        </w:rPr>
      </w:pPr>
    </w:p>
    <w:p w14:paraId="3830DF7E" w14:textId="77777777" w:rsidR="00E734D5" w:rsidRDefault="00E734D5" w:rsidP="00CD140D">
      <w:pPr>
        <w:autoSpaceDE w:val="0"/>
        <w:autoSpaceDN w:val="0"/>
        <w:adjustRightInd w:val="0"/>
        <w:spacing w:after="0" w:line="240" w:lineRule="auto"/>
        <w:rPr>
          <w:rFonts w:ascii="Avenir Next LT Pro" w:hAnsi="Avenir Next LT Pro" w:cs="TimesNewRomanPSMT"/>
          <w:sz w:val="24"/>
          <w:szCs w:val="24"/>
        </w:rPr>
      </w:pPr>
      <w:r>
        <w:rPr>
          <w:noProof/>
        </w:rPr>
        <w:drawing>
          <wp:inline distT="0" distB="0" distL="0" distR="0" wp14:anchorId="2FC4F372" wp14:editId="31BC1FED">
            <wp:extent cx="3569677" cy="1827728"/>
            <wp:effectExtent l="0" t="0" r="0" b="127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78238" cy="1832111"/>
                    </a:xfrm>
                    <a:prstGeom prst="rect">
                      <a:avLst/>
                    </a:prstGeom>
                  </pic:spPr>
                </pic:pic>
              </a:graphicData>
            </a:graphic>
          </wp:inline>
        </w:drawing>
      </w:r>
    </w:p>
    <w:p w14:paraId="226D5070" w14:textId="77777777" w:rsidR="00E734D5" w:rsidRDefault="00E734D5" w:rsidP="00E734D5">
      <w:pPr>
        <w:autoSpaceDE w:val="0"/>
        <w:autoSpaceDN w:val="0"/>
        <w:adjustRightInd w:val="0"/>
        <w:spacing w:after="0" w:line="240" w:lineRule="auto"/>
        <w:rPr>
          <w:rFonts w:ascii="Avenir Next LT Pro" w:hAnsi="Avenir Next LT Pro" w:cs="TimesNewRomanPSMT"/>
          <w:i/>
          <w:iCs/>
          <w:sz w:val="24"/>
          <w:szCs w:val="24"/>
        </w:rPr>
      </w:pPr>
    </w:p>
    <w:p w14:paraId="28E67691" w14:textId="73230E2F" w:rsidR="00E734D5" w:rsidRDefault="00E734D5" w:rsidP="00CD140D">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Parkstråket är ca 5 meter brett. Bestämmelsen innebär alltså att om en huvudbyggnad placeras i fastighetsgräns så behöver byggnad på andra sidan av parkstråket placeras ca 3 meter från fastighetsgräns. Bestämmelsen har tolkats som en fritextbestämmelse med formuleringen:</w:t>
      </w:r>
    </w:p>
    <w:p w14:paraId="59DB0006" w14:textId="3CF3CAA5" w:rsidR="00E734D5" w:rsidRDefault="00A93D08" w:rsidP="00CD140D">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E734D5">
        <w:rPr>
          <w:rFonts w:ascii="Avenir Next LT Pro" w:hAnsi="Avenir Next LT Pro" w:cs="TimesNewRomanPSMT"/>
          <w:i/>
          <w:iCs/>
          <w:sz w:val="24"/>
          <w:szCs w:val="24"/>
        </w:rPr>
        <w:t>Byggnad får uppföras i fastighetsgräns under förutsättning att avstånd till byggnad på grannfastighet blir minst 8 meter. Bestämmelsen gäller endast där bostadskvarter separeras med parkmark.</w:t>
      </w:r>
    </w:p>
    <w:p w14:paraId="6F170102" w14:textId="77777777" w:rsidR="00A93D08" w:rsidRDefault="00A93D08" w:rsidP="00CD140D">
      <w:pPr>
        <w:autoSpaceDE w:val="0"/>
        <w:autoSpaceDN w:val="0"/>
        <w:adjustRightInd w:val="0"/>
        <w:spacing w:after="0" w:line="240" w:lineRule="auto"/>
        <w:rPr>
          <w:rFonts w:ascii="Avenir Next LT Pro" w:hAnsi="Avenir Next LT Pro" w:cs="TimesNewRomanPSMT"/>
          <w:sz w:val="24"/>
          <w:szCs w:val="24"/>
        </w:rPr>
      </w:pPr>
    </w:p>
    <w:p w14:paraId="347BF070" w14:textId="2E31ACE9" w:rsidR="002207EB" w:rsidRPr="00E4569B" w:rsidRDefault="002207EB" w:rsidP="00CD140D">
      <w:pPr>
        <w:autoSpaceDE w:val="0"/>
        <w:autoSpaceDN w:val="0"/>
        <w:adjustRightInd w:val="0"/>
        <w:spacing w:after="0" w:line="240" w:lineRule="auto"/>
        <w:rPr>
          <w:rFonts w:ascii="Avenir Next LT Pro" w:hAnsi="Avenir Next LT Pro" w:cs="TimesNewRomanPSMT"/>
          <w:b/>
          <w:bCs/>
          <w:sz w:val="24"/>
          <w:szCs w:val="24"/>
        </w:rPr>
      </w:pPr>
      <w:r w:rsidRPr="00E4569B">
        <w:rPr>
          <w:rFonts w:ascii="Avenir Next LT Pro" w:hAnsi="Avenir Next LT Pro" w:cs="TimesNewRomanPSMT"/>
          <w:b/>
          <w:bCs/>
          <w:sz w:val="24"/>
          <w:szCs w:val="24"/>
        </w:rPr>
        <w:t>Minsta tomtstorlek</w:t>
      </w:r>
    </w:p>
    <w:p w14:paraId="67AB8773" w14:textId="03FB3C6F" w:rsidR="00E4569B" w:rsidRDefault="002207EB" w:rsidP="00CD140D">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På med F betecknat område får tomt icke ges mindre areal än 750 kvm har tolkats som Minsta fastighetsstorlek är 750 </w:t>
      </w:r>
      <w:r w:rsidR="00E4569B">
        <w:rPr>
          <w:rFonts w:ascii="Avenir Next LT Pro" w:hAnsi="Avenir Next LT Pro" w:cs="TimesNewRomanPSMT"/>
          <w:sz w:val="24"/>
          <w:szCs w:val="24"/>
        </w:rPr>
        <w:t>m</w:t>
      </w:r>
      <w:r w:rsidR="00E4569B" w:rsidRPr="00E4569B">
        <w:rPr>
          <w:rFonts w:ascii="Avenir Next LT Pro" w:hAnsi="Avenir Next LT Pro" w:cs="TimesNewRomanPSMT"/>
          <w:sz w:val="24"/>
          <w:szCs w:val="24"/>
          <w:vertAlign w:val="superscript"/>
        </w:rPr>
        <w:t>2</w:t>
      </w:r>
      <w:r>
        <w:rPr>
          <w:rFonts w:ascii="Avenir Next LT Pro" w:hAnsi="Avenir Next LT Pro" w:cs="TimesNewRomanPSMT"/>
          <w:sz w:val="24"/>
          <w:szCs w:val="24"/>
        </w:rPr>
        <w:t>. I detta fall anses begreppen tomt och fastighet betyda samma sak.</w:t>
      </w:r>
      <w:r w:rsidR="00E4569B">
        <w:rPr>
          <w:rFonts w:ascii="Avenir Next LT Pro" w:hAnsi="Avenir Next LT Pro" w:cs="TimesNewRomanPSMT"/>
          <w:sz w:val="24"/>
          <w:szCs w:val="24"/>
        </w:rPr>
        <w:t xml:space="preserve"> Bestämmelsen har tolkats till följande:</w:t>
      </w:r>
    </w:p>
    <w:p w14:paraId="4CC7C666" w14:textId="0E00CB21" w:rsidR="00E4569B" w:rsidRPr="001D7E60" w:rsidRDefault="00E4569B" w:rsidP="00E4569B">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1D7E60">
        <w:rPr>
          <w:rFonts w:ascii="Avenir Next LT Pro" w:hAnsi="Avenir Next LT Pro" w:cs="TimesNewRomanPSMT"/>
          <w:i/>
          <w:iCs/>
          <w:sz w:val="24"/>
          <w:szCs w:val="24"/>
        </w:rPr>
        <w:t>Minsta fastighetsstorlek är 750 m</w:t>
      </w:r>
      <w:r w:rsidRPr="001D7E60">
        <w:rPr>
          <w:rFonts w:ascii="Avenir Next LT Pro" w:hAnsi="Avenir Next LT Pro" w:cs="TimesNewRomanPSMT"/>
          <w:i/>
          <w:iCs/>
          <w:sz w:val="24"/>
          <w:szCs w:val="24"/>
          <w:vertAlign w:val="superscript"/>
        </w:rPr>
        <w:t>2</w:t>
      </w:r>
      <w:r w:rsidRPr="001D7E60">
        <w:rPr>
          <w:rFonts w:ascii="Avenir Next LT Pro" w:hAnsi="Avenir Next LT Pro" w:cs="TimesNewRomanPSMT"/>
          <w:i/>
          <w:iCs/>
          <w:sz w:val="24"/>
          <w:szCs w:val="24"/>
        </w:rPr>
        <w:t>.</w:t>
      </w:r>
    </w:p>
    <w:p w14:paraId="1098F1D4" w14:textId="4F8BA887" w:rsidR="002207EB" w:rsidRDefault="002207EB" w:rsidP="00CD140D">
      <w:pPr>
        <w:autoSpaceDE w:val="0"/>
        <w:autoSpaceDN w:val="0"/>
        <w:adjustRightInd w:val="0"/>
        <w:spacing w:after="0" w:line="240" w:lineRule="auto"/>
        <w:rPr>
          <w:rFonts w:ascii="Avenir Next LT Pro" w:hAnsi="Avenir Next LT Pro" w:cs="TimesNewRomanPSMT"/>
          <w:sz w:val="24"/>
          <w:szCs w:val="24"/>
        </w:rPr>
      </w:pPr>
    </w:p>
    <w:p w14:paraId="666DBBCD" w14:textId="77777777" w:rsidR="00E4569B" w:rsidRPr="00A0136B" w:rsidRDefault="00E4569B" w:rsidP="00E4569B">
      <w:pPr>
        <w:autoSpaceDE w:val="0"/>
        <w:autoSpaceDN w:val="0"/>
        <w:adjustRightInd w:val="0"/>
        <w:spacing w:after="0" w:line="240" w:lineRule="auto"/>
        <w:rPr>
          <w:rFonts w:ascii="Avenir Next LT Pro" w:hAnsi="Avenir Next LT Pro" w:cs="TimesNewRomanPSMT"/>
          <w:b/>
          <w:bCs/>
          <w:sz w:val="24"/>
          <w:szCs w:val="24"/>
        </w:rPr>
      </w:pPr>
      <w:r w:rsidRPr="00A0136B">
        <w:rPr>
          <w:rFonts w:ascii="Avenir Next LT Pro" w:hAnsi="Avenir Next LT Pro" w:cs="TimesNewRomanPSMT"/>
          <w:b/>
          <w:bCs/>
          <w:sz w:val="24"/>
          <w:szCs w:val="24"/>
        </w:rPr>
        <w:t>Exploateringsgrad</w:t>
      </w:r>
    </w:p>
    <w:p w14:paraId="1ACAA38E" w14:textId="77777777" w:rsidR="00E4569B" w:rsidRDefault="00E4569B" w:rsidP="00E4569B">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exploateringsgrad i gällande plan:</w:t>
      </w:r>
    </w:p>
    <w:p w14:paraId="6AF150A1" w14:textId="65E1D130" w:rsidR="00E4569B" w:rsidRPr="001D7E60" w:rsidRDefault="00E4569B" w:rsidP="00E4569B">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1D7E60">
        <w:rPr>
          <w:rFonts w:ascii="Avenir Next LT Pro" w:hAnsi="Avenir Next LT Pro" w:cs="TimesNewRomanPSMT"/>
          <w:i/>
          <w:iCs/>
          <w:sz w:val="24"/>
          <w:szCs w:val="24"/>
        </w:rPr>
        <w:t>Av tomt som omfattar med F betecknat område får högst en fjärdedel bebyggas.</w:t>
      </w:r>
    </w:p>
    <w:p w14:paraId="46AF2CB8" w14:textId="6E470F75" w:rsidR="00E4569B" w:rsidRPr="001D7E60" w:rsidRDefault="00E4569B" w:rsidP="00E4569B">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1D7E60">
        <w:rPr>
          <w:rFonts w:ascii="Avenir Next LT Pro" w:hAnsi="Avenir Next LT Pro" w:cs="TimesNewRomanPSMT"/>
          <w:i/>
          <w:iCs/>
          <w:sz w:val="24"/>
          <w:szCs w:val="24"/>
        </w:rPr>
        <w:t>På tomt som omfattar med F och S betecknat område får endast en huvudbyggnad jämte erforderliga gårdsbyggnader uppföras.</w:t>
      </w:r>
    </w:p>
    <w:p w14:paraId="49536EFA" w14:textId="77777777" w:rsidR="00E4569B" w:rsidRDefault="00E4569B" w:rsidP="00E4569B">
      <w:pPr>
        <w:autoSpaceDE w:val="0"/>
        <w:autoSpaceDN w:val="0"/>
        <w:adjustRightInd w:val="0"/>
        <w:spacing w:after="0" w:line="240" w:lineRule="auto"/>
        <w:rPr>
          <w:rFonts w:ascii="Avenir Next LT Pro" w:hAnsi="Avenir Next LT Pro" w:cs="TimesNewRomanPSMT"/>
          <w:sz w:val="24"/>
          <w:szCs w:val="24"/>
        </w:rPr>
      </w:pPr>
    </w:p>
    <w:p w14:paraId="20D54863" w14:textId="77777777" w:rsidR="00E4569B" w:rsidRDefault="00E4569B" w:rsidP="00E4569B">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I detta fall tolkas begreppet tomt betyda samma sak som fastighet. Bestämmelserna har därför tolkats till följande:</w:t>
      </w:r>
    </w:p>
    <w:p w14:paraId="3146B018" w14:textId="5F0BE028" w:rsidR="00E4569B" w:rsidRPr="00A47269" w:rsidRDefault="00E4569B" w:rsidP="00E4569B">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265B5A">
        <w:rPr>
          <w:rFonts w:ascii="Avenir Next LT Pro" w:hAnsi="Avenir Next LT Pro" w:cs="TimesNewRomanPSMT"/>
          <w:i/>
          <w:iCs/>
          <w:sz w:val="24"/>
          <w:szCs w:val="24"/>
        </w:rPr>
        <w:t xml:space="preserve">Högst en </w:t>
      </w:r>
      <w:r>
        <w:rPr>
          <w:rFonts w:ascii="Avenir Next LT Pro" w:hAnsi="Avenir Next LT Pro" w:cs="TimesNewRomanPSMT"/>
          <w:i/>
          <w:iCs/>
          <w:sz w:val="24"/>
          <w:szCs w:val="24"/>
        </w:rPr>
        <w:t>fjärde</w:t>
      </w:r>
      <w:r w:rsidRPr="00265B5A">
        <w:rPr>
          <w:rFonts w:ascii="Avenir Next LT Pro" w:hAnsi="Avenir Next LT Pro" w:cs="TimesNewRomanPSMT"/>
          <w:i/>
          <w:iCs/>
          <w:sz w:val="24"/>
          <w:szCs w:val="24"/>
        </w:rPr>
        <w:t xml:space="preserve">del </w:t>
      </w:r>
      <w:r>
        <w:rPr>
          <w:rFonts w:ascii="Avenir Next LT Pro" w:hAnsi="Avenir Next LT Pro" w:cs="TimesNewRomanPSMT"/>
          <w:i/>
          <w:iCs/>
          <w:sz w:val="24"/>
          <w:szCs w:val="24"/>
        </w:rPr>
        <w:t>per</w:t>
      </w:r>
      <w:r w:rsidRPr="00265B5A">
        <w:rPr>
          <w:rFonts w:ascii="Avenir Next LT Pro" w:hAnsi="Avenir Next LT Pro" w:cs="TimesNewRomanPSMT"/>
          <w:i/>
          <w:iCs/>
          <w:sz w:val="24"/>
          <w:szCs w:val="24"/>
        </w:rPr>
        <w:t xml:space="preserve"> fastighet får bebyggas</w:t>
      </w:r>
      <w:r>
        <w:rPr>
          <w:rFonts w:ascii="Avenir Next LT Pro" w:hAnsi="Avenir Next LT Pro" w:cs="TimesNewRomanPSMT"/>
          <w:sz w:val="24"/>
          <w:szCs w:val="24"/>
        </w:rPr>
        <w:t xml:space="preserve">. </w:t>
      </w:r>
    </w:p>
    <w:p w14:paraId="04565A8A" w14:textId="57746D26" w:rsidR="00E4569B" w:rsidRPr="00E4569B" w:rsidRDefault="00E4569B" w:rsidP="00CD140D">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265B5A">
        <w:rPr>
          <w:rFonts w:ascii="Avenir Next LT Pro" w:hAnsi="Avenir Next LT Pro" w:cs="TimesNewRomanPSMT"/>
          <w:i/>
          <w:iCs/>
          <w:sz w:val="24"/>
          <w:szCs w:val="24"/>
        </w:rPr>
        <w:t>Endast en huvudbyggnad och komplementbyggnad per fastighet</w:t>
      </w:r>
      <w:r>
        <w:rPr>
          <w:rFonts w:ascii="Avenir Next LT Pro" w:hAnsi="Avenir Next LT Pro" w:cs="TimesNewRomanPSMT"/>
          <w:sz w:val="24"/>
          <w:szCs w:val="24"/>
        </w:rPr>
        <w:t>.</w:t>
      </w:r>
    </w:p>
    <w:p w14:paraId="1EC6E9DB" w14:textId="2249613D" w:rsidR="002207EB" w:rsidRDefault="002207EB" w:rsidP="00CD140D">
      <w:pPr>
        <w:autoSpaceDE w:val="0"/>
        <w:autoSpaceDN w:val="0"/>
        <w:adjustRightInd w:val="0"/>
        <w:spacing w:after="0" w:line="240" w:lineRule="auto"/>
        <w:rPr>
          <w:rFonts w:ascii="Avenir Next LT Pro" w:hAnsi="Avenir Next LT Pro" w:cs="TimesNewRomanPSMT"/>
          <w:sz w:val="24"/>
          <w:szCs w:val="24"/>
        </w:rPr>
      </w:pPr>
    </w:p>
    <w:p w14:paraId="13D2A573" w14:textId="77777777" w:rsidR="00E4569B" w:rsidRPr="00D02DF7" w:rsidRDefault="00E4569B" w:rsidP="00E4569B">
      <w:pPr>
        <w:autoSpaceDE w:val="0"/>
        <w:autoSpaceDN w:val="0"/>
        <w:adjustRightInd w:val="0"/>
        <w:spacing w:after="0" w:line="240" w:lineRule="auto"/>
        <w:rPr>
          <w:rFonts w:ascii="Avenir Next LT Pro" w:hAnsi="Avenir Next LT Pro" w:cs="TimesNewRomanPSMT"/>
          <w:b/>
          <w:bCs/>
          <w:sz w:val="24"/>
          <w:szCs w:val="24"/>
        </w:rPr>
      </w:pPr>
      <w:r w:rsidRPr="00D02DF7">
        <w:rPr>
          <w:rFonts w:ascii="Avenir Next LT Pro" w:hAnsi="Avenir Next LT Pro" w:cs="TimesNewRomanPSMT"/>
          <w:b/>
          <w:bCs/>
          <w:sz w:val="24"/>
          <w:szCs w:val="24"/>
        </w:rPr>
        <w:t>Höjd</w:t>
      </w:r>
    </w:p>
    <w:p w14:paraId="1321DB16" w14:textId="77777777" w:rsidR="00E4569B" w:rsidRPr="00842C0A" w:rsidRDefault="00E4569B" w:rsidP="00E4569B">
      <w:pPr>
        <w:autoSpaceDE w:val="0"/>
        <w:autoSpaceDN w:val="0"/>
        <w:adjustRightInd w:val="0"/>
        <w:spacing w:after="0" w:line="240" w:lineRule="auto"/>
        <w:rPr>
          <w:rFonts w:ascii="Avenir Next LT Pro" w:hAnsi="Avenir Next LT Pro" w:cs="TimesNewRomanPSMT"/>
          <w:sz w:val="24"/>
          <w:szCs w:val="24"/>
        </w:rPr>
      </w:pPr>
      <w:r w:rsidRPr="00842C0A">
        <w:rPr>
          <w:rFonts w:ascii="Avenir Next LT Pro" w:hAnsi="Avenir Next LT Pro" w:cs="TimesNewRomanPSMT"/>
          <w:sz w:val="24"/>
          <w:szCs w:val="24"/>
        </w:rPr>
        <w:t>Följande bestämme</w:t>
      </w:r>
      <w:r>
        <w:rPr>
          <w:rFonts w:ascii="Avenir Next LT Pro" w:hAnsi="Avenir Next LT Pro" w:cs="TimesNewRomanPSMT"/>
          <w:sz w:val="24"/>
          <w:szCs w:val="24"/>
        </w:rPr>
        <w:t>lser</w:t>
      </w:r>
      <w:r w:rsidRPr="00842C0A">
        <w:rPr>
          <w:rFonts w:ascii="Avenir Next LT Pro" w:hAnsi="Avenir Next LT Pro" w:cs="TimesNewRomanPSMT"/>
          <w:sz w:val="24"/>
          <w:szCs w:val="24"/>
        </w:rPr>
        <w:t xml:space="preserve"> reglerar bebyggelsens höjd</w:t>
      </w:r>
      <w:r>
        <w:rPr>
          <w:rFonts w:ascii="Avenir Next LT Pro" w:hAnsi="Avenir Next LT Pro" w:cs="TimesNewRomanPSMT"/>
          <w:sz w:val="24"/>
          <w:szCs w:val="24"/>
        </w:rPr>
        <w:t xml:space="preserve"> i gällande plan</w:t>
      </w:r>
      <w:r w:rsidRPr="00842C0A">
        <w:rPr>
          <w:rFonts w:ascii="Avenir Next LT Pro" w:hAnsi="Avenir Next LT Pro" w:cs="TimesNewRomanPSMT"/>
          <w:sz w:val="24"/>
          <w:szCs w:val="24"/>
        </w:rPr>
        <w:t>:</w:t>
      </w:r>
    </w:p>
    <w:p w14:paraId="14DE9836" w14:textId="46B64121" w:rsidR="00E4569B" w:rsidRPr="001D7E60" w:rsidRDefault="00E4569B" w:rsidP="00E4569B">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1D7E60">
        <w:rPr>
          <w:rFonts w:ascii="Avenir Next LT Pro" w:hAnsi="Avenir Next LT Pro" w:cs="TimesNewRomanPSMT"/>
          <w:i/>
          <w:iCs/>
          <w:sz w:val="24"/>
          <w:szCs w:val="24"/>
        </w:rPr>
        <w:t xml:space="preserve">I (romersk siffra) – Antal våningar </w:t>
      </w:r>
    </w:p>
    <w:p w14:paraId="3A821274" w14:textId="1B4DEAD5" w:rsidR="00E4569B" w:rsidRDefault="00E4569B" w:rsidP="00E4569B">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1D7E60">
        <w:rPr>
          <w:rFonts w:ascii="Avenir Next LT Pro" w:hAnsi="Avenir Next LT Pro" w:cs="TimesNewRomanPSMT"/>
          <w:i/>
          <w:iCs/>
          <w:sz w:val="24"/>
          <w:szCs w:val="24"/>
        </w:rPr>
        <w:t xml:space="preserve">På med I betecknat område får byggnad </w:t>
      </w:r>
      <w:r w:rsidR="004C2C01" w:rsidRPr="001D7E60">
        <w:rPr>
          <w:rFonts w:ascii="Avenir Next LT Pro" w:hAnsi="Avenir Next LT Pro" w:cs="TimesNewRomanPSMT"/>
          <w:i/>
          <w:iCs/>
          <w:sz w:val="24"/>
          <w:szCs w:val="24"/>
        </w:rPr>
        <w:t xml:space="preserve">icke </w:t>
      </w:r>
      <w:r w:rsidRPr="001D7E60">
        <w:rPr>
          <w:rFonts w:ascii="Avenir Next LT Pro" w:hAnsi="Avenir Next LT Pro" w:cs="TimesNewRomanPSMT"/>
          <w:i/>
          <w:iCs/>
          <w:sz w:val="24"/>
          <w:szCs w:val="24"/>
        </w:rPr>
        <w:t>uppföras till större höjd än respektive 4,4</w:t>
      </w:r>
      <w:r w:rsidR="004C2C01" w:rsidRPr="001D7E60">
        <w:rPr>
          <w:rFonts w:ascii="Avenir Next LT Pro" w:hAnsi="Avenir Next LT Pro" w:cs="TimesNewRomanPSMT"/>
          <w:i/>
          <w:iCs/>
          <w:sz w:val="24"/>
          <w:szCs w:val="24"/>
        </w:rPr>
        <w:t xml:space="preserve"> meter.</w:t>
      </w:r>
    </w:p>
    <w:p w14:paraId="458D9B11" w14:textId="29964305" w:rsidR="003027DB" w:rsidRPr="001D7E60" w:rsidRDefault="003027DB" w:rsidP="00E4569B">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På med siffra i romb betecknat område får byggnad uppföras till högst den höjd i meter som siffran anger.</w:t>
      </w:r>
    </w:p>
    <w:p w14:paraId="577C7E4D" w14:textId="77777777" w:rsidR="00E4569B" w:rsidRPr="001C39AB" w:rsidRDefault="00E4569B" w:rsidP="00E4569B">
      <w:pPr>
        <w:autoSpaceDE w:val="0"/>
        <w:autoSpaceDN w:val="0"/>
        <w:adjustRightInd w:val="0"/>
        <w:spacing w:after="0" w:line="240" w:lineRule="auto"/>
        <w:rPr>
          <w:rFonts w:ascii="Avenir Next LT Pro" w:hAnsi="Avenir Next LT Pro" w:cs="TimesNewRomanPSMT"/>
          <w:sz w:val="24"/>
          <w:szCs w:val="24"/>
        </w:rPr>
      </w:pPr>
    </w:p>
    <w:p w14:paraId="5E0644A2" w14:textId="77777777" w:rsidR="00E4569B" w:rsidRDefault="00E4569B" w:rsidP="00E4569B">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Ovanstående bestämmelse har tolkats till följande: </w:t>
      </w:r>
    </w:p>
    <w:p w14:paraId="3183F3F0" w14:textId="77777777" w:rsidR="00E4569B" w:rsidRPr="001D7E60" w:rsidRDefault="00E4569B" w:rsidP="00E4569B">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1D7E60">
        <w:rPr>
          <w:rFonts w:ascii="Avenir Next LT Pro" w:hAnsi="Avenir Next LT Pro" w:cs="TimesNewRomanPSMT"/>
          <w:i/>
          <w:iCs/>
          <w:sz w:val="24"/>
          <w:szCs w:val="24"/>
        </w:rPr>
        <w:t>Antal våningar är angivet som 1. Bestämmelsen har digitaliserats för att möjliggöra analyser, men används inte idag.</w:t>
      </w:r>
    </w:p>
    <w:p w14:paraId="451C4F9C" w14:textId="5A7EBA28" w:rsidR="00E4569B" w:rsidRDefault="00E4569B" w:rsidP="00E4569B">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1D7E60">
        <w:rPr>
          <w:rFonts w:ascii="Avenir Next LT Pro" w:hAnsi="Avenir Next LT Pro" w:cs="TimesNewRomanPSMT"/>
          <w:i/>
          <w:iCs/>
          <w:sz w:val="24"/>
          <w:szCs w:val="24"/>
        </w:rPr>
        <w:t xml:space="preserve">Högsta byggnadshöjd är </w:t>
      </w:r>
      <w:proofErr w:type="gramStart"/>
      <w:r w:rsidR="004C2C01" w:rsidRPr="001D7E60">
        <w:rPr>
          <w:rFonts w:ascii="Avenir Next LT Pro" w:hAnsi="Avenir Next LT Pro" w:cs="TimesNewRomanPSMT"/>
          <w:i/>
          <w:iCs/>
          <w:sz w:val="24"/>
          <w:szCs w:val="24"/>
        </w:rPr>
        <w:t>4.4</w:t>
      </w:r>
      <w:proofErr w:type="gramEnd"/>
      <w:r w:rsidRPr="001D7E60">
        <w:rPr>
          <w:rFonts w:ascii="Avenir Next LT Pro" w:hAnsi="Avenir Next LT Pro" w:cs="TimesNewRomanPSMT"/>
          <w:i/>
          <w:iCs/>
          <w:sz w:val="24"/>
          <w:szCs w:val="24"/>
        </w:rPr>
        <w:t xml:space="preserve"> meter</w:t>
      </w:r>
      <w:r>
        <w:rPr>
          <w:rFonts w:ascii="Avenir Next LT Pro" w:hAnsi="Avenir Next LT Pro" w:cs="TimesNewRomanPSMT"/>
          <w:sz w:val="24"/>
          <w:szCs w:val="24"/>
        </w:rPr>
        <w:t>.</w:t>
      </w:r>
    </w:p>
    <w:p w14:paraId="04B1AC10" w14:textId="19EC8BCC" w:rsidR="003027DB" w:rsidRDefault="003027DB" w:rsidP="00E4569B">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i/>
          <w:iCs/>
          <w:sz w:val="24"/>
          <w:szCs w:val="24"/>
        </w:rPr>
        <w:t xml:space="preserve">Högsta byggnadshöjd är </w:t>
      </w:r>
      <w:proofErr w:type="gramStart"/>
      <w:r>
        <w:rPr>
          <w:rFonts w:ascii="Avenir Next LT Pro" w:hAnsi="Avenir Next LT Pro" w:cs="TimesNewRomanPSMT"/>
          <w:i/>
          <w:iCs/>
          <w:sz w:val="24"/>
          <w:szCs w:val="24"/>
        </w:rPr>
        <w:t>3</w:t>
      </w:r>
      <w:r w:rsidRPr="003027DB">
        <w:rPr>
          <w:rFonts w:ascii="Avenir Next LT Pro" w:hAnsi="Avenir Next LT Pro" w:cs="TimesNewRomanPSMT"/>
          <w:sz w:val="24"/>
          <w:szCs w:val="24"/>
        </w:rPr>
        <w:t>.</w:t>
      </w:r>
      <w:r>
        <w:rPr>
          <w:rFonts w:ascii="Avenir Next LT Pro" w:hAnsi="Avenir Next LT Pro" w:cs="TimesNewRomanPSMT"/>
          <w:sz w:val="24"/>
          <w:szCs w:val="24"/>
        </w:rPr>
        <w:t>5</w:t>
      </w:r>
      <w:proofErr w:type="gramEnd"/>
      <w:r>
        <w:rPr>
          <w:rFonts w:ascii="Avenir Next LT Pro" w:hAnsi="Avenir Next LT Pro" w:cs="TimesNewRomanPSMT"/>
          <w:sz w:val="24"/>
          <w:szCs w:val="24"/>
        </w:rPr>
        <w:t xml:space="preserve"> meter.</w:t>
      </w:r>
    </w:p>
    <w:p w14:paraId="74241455" w14:textId="08D94FAF" w:rsidR="00E4569B" w:rsidRDefault="00E4569B" w:rsidP="00CD140D">
      <w:pPr>
        <w:autoSpaceDE w:val="0"/>
        <w:autoSpaceDN w:val="0"/>
        <w:adjustRightInd w:val="0"/>
        <w:spacing w:after="0" w:line="240" w:lineRule="auto"/>
        <w:rPr>
          <w:rFonts w:ascii="Avenir Next LT Pro" w:hAnsi="Avenir Next LT Pro" w:cs="TimesNewRomanPSMT"/>
          <w:sz w:val="24"/>
          <w:szCs w:val="24"/>
        </w:rPr>
      </w:pPr>
    </w:p>
    <w:p w14:paraId="27C79067" w14:textId="77777777" w:rsidR="004C2C01" w:rsidRPr="00D00A2E" w:rsidRDefault="004C2C01" w:rsidP="004C2C01">
      <w:pPr>
        <w:autoSpaceDE w:val="0"/>
        <w:autoSpaceDN w:val="0"/>
        <w:adjustRightInd w:val="0"/>
        <w:spacing w:after="0" w:line="240" w:lineRule="auto"/>
        <w:rPr>
          <w:rFonts w:ascii="Avenir Next LT Pro" w:hAnsi="Avenir Next LT Pro" w:cs="TimesNewRomanPSMT"/>
          <w:b/>
          <w:bCs/>
          <w:sz w:val="24"/>
          <w:szCs w:val="24"/>
        </w:rPr>
      </w:pPr>
      <w:r w:rsidRPr="00D00A2E">
        <w:rPr>
          <w:rFonts w:ascii="Avenir Next LT Pro" w:hAnsi="Avenir Next LT Pro" w:cs="TimesNewRomanPSMT"/>
          <w:b/>
          <w:bCs/>
          <w:sz w:val="24"/>
          <w:szCs w:val="24"/>
        </w:rPr>
        <w:t>Antal lägenheter</w:t>
      </w:r>
    </w:p>
    <w:p w14:paraId="2DFB95BD" w14:textId="77777777" w:rsidR="004C2C01" w:rsidRDefault="004C2C01" w:rsidP="004C2C01">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 reglerar antalet bostadslägenheter:</w:t>
      </w:r>
    </w:p>
    <w:p w14:paraId="27AC30BB" w14:textId="38497C04" w:rsidR="004C2C01" w:rsidRPr="001D7E60" w:rsidRDefault="004C2C01" w:rsidP="004C2C01">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1D7E60">
        <w:rPr>
          <w:rFonts w:ascii="Avenir Next LT Pro" w:hAnsi="Avenir Next LT Pro" w:cs="TimesNewRomanPSMT"/>
          <w:i/>
          <w:iCs/>
          <w:sz w:val="24"/>
          <w:szCs w:val="24"/>
        </w:rPr>
        <w:t>På med F betecknat område får huvudbyggnad icke inrymma mera än en bostadslägenhet. I gårdsbyggnad får bostad icke inredas.</w:t>
      </w:r>
    </w:p>
    <w:p w14:paraId="13D62AD6" w14:textId="77777777" w:rsidR="004C2C01" w:rsidRDefault="004C2C01" w:rsidP="004C2C01">
      <w:pPr>
        <w:autoSpaceDE w:val="0"/>
        <w:autoSpaceDN w:val="0"/>
        <w:adjustRightInd w:val="0"/>
        <w:spacing w:after="0" w:line="240" w:lineRule="auto"/>
        <w:rPr>
          <w:rFonts w:ascii="Avenir Next LT Pro" w:hAnsi="Avenir Next LT Pro" w:cs="TimesNewRomanPSMT"/>
          <w:sz w:val="24"/>
          <w:szCs w:val="24"/>
        </w:rPr>
      </w:pPr>
    </w:p>
    <w:p w14:paraId="1A36105D" w14:textId="77777777" w:rsidR="004C2C01" w:rsidRDefault="004C2C01" w:rsidP="004C2C01">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Bestämmelsen har delats upp och tolkats till följande:</w:t>
      </w:r>
    </w:p>
    <w:p w14:paraId="271E713D" w14:textId="6E124920" w:rsidR="004C2C01" w:rsidRDefault="004C2C01" w:rsidP="004C2C01">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4C2C01">
        <w:rPr>
          <w:rFonts w:ascii="Avenir Next LT Pro" w:hAnsi="Avenir Next LT Pro" w:cs="TimesNewRomanPSMT"/>
          <w:i/>
          <w:iCs/>
          <w:sz w:val="24"/>
          <w:szCs w:val="24"/>
        </w:rPr>
        <w:t xml:space="preserve">Huvudbyggnad får inte inrymma fler än </w:t>
      </w:r>
      <w:r>
        <w:rPr>
          <w:rFonts w:ascii="Avenir Next LT Pro" w:hAnsi="Avenir Next LT Pro" w:cs="TimesNewRomanPSMT"/>
          <w:i/>
          <w:iCs/>
          <w:sz w:val="24"/>
          <w:szCs w:val="24"/>
        </w:rPr>
        <w:t>en</w:t>
      </w:r>
      <w:r w:rsidRPr="004C2C01">
        <w:rPr>
          <w:rFonts w:ascii="Avenir Next LT Pro" w:hAnsi="Avenir Next LT Pro" w:cs="TimesNewRomanPSMT"/>
          <w:i/>
          <w:iCs/>
          <w:sz w:val="24"/>
          <w:szCs w:val="24"/>
        </w:rPr>
        <w:t xml:space="preserve"> bostadslägenhet</w:t>
      </w:r>
      <w:r>
        <w:rPr>
          <w:rFonts w:ascii="Avenir Next LT Pro" w:hAnsi="Avenir Next LT Pro" w:cs="TimesNewRomanPSMT"/>
          <w:sz w:val="24"/>
          <w:szCs w:val="24"/>
        </w:rPr>
        <w:t xml:space="preserve">. </w:t>
      </w:r>
    </w:p>
    <w:p w14:paraId="657EC414" w14:textId="2DD4B862" w:rsidR="004C2C01" w:rsidRPr="0048356F" w:rsidRDefault="004C2C01" w:rsidP="004C2C01">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4C2C01">
        <w:rPr>
          <w:rFonts w:ascii="Avenir Next LT Pro" w:hAnsi="Avenir Next LT Pro" w:cs="TimesNewRomanPSMT"/>
          <w:i/>
          <w:iCs/>
          <w:sz w:val="24"/>
          <w:szCs w:val="24"/>
        </w:rPr>
        <w:t>Gårdsbyggnad får inte inredas som bostad</w:t>
      </w:r>
      <w:r>
        <w:rPr>
          <w:rFonts w:ascii="Avenir Next LT Pro" w:hAnsi="Avenir Next LT Pro" w:cs="TimesNewRomanPSMT"/>
          <w:sz w:val="24"/>
          <w:szCs w:val="24"/>
        </w:rPr>
        <w:t>.</w:t>
      </w:r>
    </w:p>
    <w:p w14:paraId="746AEE0D" w14:textId="77777777" w:rsidR="00E4569B" w:rsidRPr="00EB7435" w:rsidRDefault="00E4569B" w:rsidP="00CD140D">
      <w:pPr>
        <w:autoSpaceDE w:val="0"/>
        <w:autoSpaceDN w:val="0"/>
        <w:adjustRightInd w:val="0"/>
        <w:spacing w:after="0" w:line="240" w:lineRule="auto"/>
        <w:rPr>
          <w:rFonts w:ascii="Avenir Next LT Pro" w:hAnsi="Avenir Next LT Pro" w:cs="TimesNewRomanPSMT"/>
          <w:sz w:val="24"/>
          <w:szCs w:val="24"/>
        </w:rPr>
      </w:pPr>
    </w:p>
    <w:p w14:paraId="11C110C8" w14:textId="7B2E6EB0" w:rsidR="00CD140D" w:rsidRPr="00EB7435" w:rsidRDefault="004C2C01" w:rsidP="00CD140D">
      <w:pPr>
        <w:autoSpaceDE w:val="0"/>
        <w:autoSpaceDN w:val="0"/>
        <w:adjustRightInd w:val="0"/>
        <w:spacing w:after="0" w:line="240" w:lineRule="auto"/>
        <w:rPr>
          <w:rFonts w:ascii="Avenir Next LT Pro" w:hAnsi="Avenir Next LT Pro" w:cs="Arial-BoldMT"/>
          <w:b/>
          <w:bCs/>
          <w:sz w:val="24"/>
          <w:szCs w:val="24"/>
        </w:rPr>
      </w:pPr>
      <w:r>
        <w:rPr>
          <w:rFonts w:ascii="Avenir Next LT Pro" w:hAnsi="Avenir Next LT Pro" w:cs="Arial-BoldMT"/>
          <w:b/>
          <w:bCs/>
          <w:sz w:val="24"/>
          <w:szCs w:val="24"/>
        </w:rPr>
        <w:t>Utfartsförbud och hägnadsskyldighet</w:t>
      </w:r>
    </w:p>
    <w:p w14:paraId="36AD7876" w14:textId="7C68BEAE" w:rsidR="001D7E60" w:rsidRPr="00EB7435" w:rsidRDefault="00CD140D" w:rsidP="001D7E60">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På plankartan </w:t>
      </w:r>
      <w:r w:rsidR="004C2C01">
        <w:rPr>
          <w:rFonts w:ascii="Avenir Next LT Pro" w:hAnsi="Avenir Next LT Pro" w:cs="TimesNewRomanPSMT"/>
          <w:sz w:val="24"/>
          <w:szCs w:val="24"/>
        </w:rPr>
        <w:t>finns bestämmelser som reglerar utfartsförbud</w:t>
      </w:r>
      <w:r w:rsidR="001D7E60">
        <w:rPr>
          <w:rFonts w:ascii="Avenir Next LT Pro" w:hAnsi="Avenir Next LT Pro" w:cs="TimesNewRomanPSMT"/>
          <w:sz w:val="24"/>
          <w:szCs w:val="24"/>
        </w:rPr>
        <w:t xml:space="preserve"> (öppning som medger körbar in- och utfart). Denna bestämmelse tolkas som </w:t>
      </w:r>
      <w:r w:rsidR="001D7E60" w:rsidRPr="001D7E60">
        <w:rPr>
          <w:rFonts w:ascii="Avenir Next LT Pro" w:hAnsi="Avenir Next LT Pro" w:cs="TimesNewRomanPSMT"/>
          <w:i/>
          <w:iCs/>
          <w:sz w:val="24"/>
          <w:szCs w:val="24"/>
        </w:rPr>
        <w:t>Utfartsförbud</w:t>
      </w:r>
      <w:r w:rsidR="001D7E60">
        <w:rPr>
          <w:rFonts w:ascii="Avenir Next LT Pro" w:hAnsi="Avenir Next LT Pro" w:cs="TimesNewRomanPSMT"/>
          <w:sz w:val="24"/>
          <w:szCs w:val="24"/>
        </w:rPr>
        <w:t>. Många av dessa linjer ligger i gränsen mellan kvartersmark och parkmark, det är inte tillåtet att anlägga utfart över parkmark, men bestämmelsen tolkas in i planen som ett förstärkt skydd.</w:t>
      </w:r>
    </w:p>
    <w:p w14:paraId="070FF3E4" w14:textId="07634639" w:rsidR="004C2C01" w:rsidRDefault="004C2C01" w:rsidP="00CD140D">
      <w:pPr>
        <w:autoSpaceDE w:val="0"/>
        <w:autoSpaceDN w:val="0"/>
        <w:adjustRightInd w:val="0"/>
        <w:spacing w:after="0" w:line="240" w:lineRule="auto"/>
        <w:rPr>
          <w:rFonts w:ascii="Avenir Next LT Pro" w:hAnsi="Avenir Next LT Pro" w:cs="TimesNewRomanPSMT"/>
          <w:sz w:val="24"/>
          <w:szCs w:val="24"/>
        </w:rPr>
      </w:pPr>
    </w:p>
    <w:p w14:paraId="63798C6D" w14:textId="77777777" w:rsidR="001D7E60" w:rsidRPr="007F432C" w:rsidRDefault="001D7E60" w:rsidP="001D7E60">
      <w:pPr>
        <w:autoSpaceDE w:val="0"/>
        <w:autoSpaceDN w:val="0"/>
        <w:adjustRightInd w:val="0"/>
        <w:spacing w:after="0" w:line="240" w:lineRule="auto"/>
        <w:rPr>
          <w:rFonts w:ascii="Avenir Next LT Pro" w:hAnsi="Avenir Next LT Pro" w:cs="TimesNewRomanPSMT"/>
          <w:b/>
          <w:bCs/>
          <w:color w:val="000000" w:themeColor="text1"/>
          <w:sz w:val="24"/>
          <w:szCs w:val="24"/>
        </w:rPr>
      </w:pPr>
      <w:r w:rsidRPr="007F432C">
        <w:rPr>
          <w:rFonts w:ascii="Avenir Next LT Pro" w:hAnsi="Avenir Next LT Pro" w:cs="TimesNewRomanPSMT"/>
          <w:b/>
          <w:bCs/>
          <w:color w:val="000000" w:themeColor="text1"/>
          <w:sz w:val="24"/>
          <w:szCs w:val="24"/>
        </w:rPr>
        <w:t>Huvudmannaskap</w:t>
      </w:r>
    </w:p>
    <w:p w14:paraId="490D15DA" w14:textId="77777777" w:rsidR="001D7E60" w:rsidRDefault="001D7E60" w:rsidP="001D7E60">
      <w:pPr>
        <w:autoSpaceDE w:val="0"/>
        <w:autoSpaceDN w:val="0"/>
        <w:adjustRightInd w:val="0"/>
        <w:spacing w:after="0" w:line="240" w:lineRule="auto"/>
        <w:rPr>
          <w:rFonts w:ascii="Avenir Next LT Pro" w:hAnsi="Avenir Next LT Pro" w:cs="TimesNewRomanPSMT"/>
          <w:color w:val="000000" w:themeColor="text1"/>
          <w:sz w:val="24"/>
          <w:szCs w:val="24"/>
        </w:rPr>
      </w:pPr>
      <w:r w:rsidRPr="007F432C">
        <w:rPr>
          <w:rFonts w:ascii="Avenir Next LT Pro" w:hAnsi="Avenir Next LT Pro" w:cs="TimesNewRomanPSMT"/>
          <w:color w:val="000000" w:themeColor="text1"/>
          <w:sz w:val="24"/>
          <w:szCs w:val="24"/>
        </w:rPr>
        <w:t xml:space="preserve">Huvudmannaskapet anges inte i plankartan då </w:t>
      </w:r>
      <w:r>
        <w:rPr>
          <w:rFonts w:ascii="Avenir Next LT Pro" w:hAnsi="Avenir Next LT Pro" w:cs="TimesNewRomanPSMT"/>
          <w:color w:val="000000" w:themeColor="text1"/>
          <w:sz w:val="24"/>
          <w:szCs w:val="24"/>
        </w:rPr>
        <w:t xml:space="preserve">det </w:t>
      </w:r>
      <w:r w:rsidRPr="007F432C">
        <w:rPr>
          <w:rFonts w:ascii="Avenir Next LT Pro" w:hAnsi="Avenir Next LT Pro" w:cs="TimesNewRomanPSMT"/>
          <w:color w:val="000000" w:themeColor="text1"/>
          <w:sz w:val="24"/>
          <w:szCs w:val="24"/>
        </w:rPr>
        <w:t xml:space="preserve">är kommunalt. Enbart enskilt huvudmannaskap behöver anges. </w:t>
      </w:r>
    </w:p>
    <w:p w14:paraId="5CCE4E9C" w14:textId="77777777" w:rsidR="00312804" w:rsidRDefault="00312804" w:rsidP="001D7E60">
      <w:pPr>
        <w:autoSpaceDE w:val="0"/>
        <w:autoSpaceDN w:val="0"/>
        <w:adjustRightInd w:val="0"/>
        <w:spacing w:after="0" w:line="240" w:lineRule="auto"/>
        <w:rPr>
          <w:rFonts w:ascii="Avenir Next LT Pro" w:hAnsi="Avenir Next LT Pro" w:cs="TimesNewRomanPSMT"/>
          <w:color w:val="000000" w:themeColor="text1"/>
          <w:sz w:val="24"/>
          <w:szCs w:val="24"/>
        </w:rPr>
      </w:pPr>
    </w:p>
    <w:p w14:paraId="36E709BB" w14:textId="76A2DD6B" w:rsidR="00312804" w:rsidRPr="00B32097" w:rsidRDefault="00312804" w:rsidP="001D7E60">
      <w:pPr>
        <w:autoSpaceDE w:val="0"/>
        <w:autoSpaceDN w:val="0"/>
        <w:adjustRightInd w:val="0"/>
        <w:spacing w:after="0" w:line="240" w:lineRule="auto"/>
        <w:rPr>
          <w:rFonts w:ascii="Avenir Next LT Pro" w:hAnsi="Avenir Next LT Pro" w:cs="TimesNewRomanPSMT"/>
          <w:b/>
          <w:bCs/>
          <w:color w:val="000000" w:themeColor="text1"/>
          <w:sz w:val="24"/>
          <w:szCs w:val="24"/>
        </w:rPr>
      </w:pPr>
      <w:r w:rsidRPr="00B32097">
        <w:rPr>
          <w:rFonts w:ascii="Avenir Next LT Pro" w:hAnsi="Avenir Next LT Pro" w:cs="TimesNewRomanPSMT"/>
          <w:b/>
          <w:bCs/>
          <w:color w:val="000000" w:themeColor="text1"/>
          <w:sz w:val="24"/>
          <w:szCs w:val="24"/>
        </w:rPr>
        <w:t>Gatuhöjder</w:t>
      </w:r>
    </w:p>
    <w:p w14:paraId="087945FC" w14:textId="12F3A620" w:rsidR="00312804" w:rsidRDefault="00312804" w:rsidP="001D7E60">
      <w:pPr>
        <w:autoSpaceDE w:val="0"/>
        <w:autoSpaceDN w:val="0"/>
        <w:adjustRightInd w:val="0"/>
        <w:spacing w:after="0" w:line="240" w:lineRule="auto"/>
        <w:rPr>
          <w:rFonts w:ascii="Avenir Next LT Pro" w:hAnsi="Avenir Next LT Pro" w:cs="TimesNewRomanPSMT"/>
          <w:color w:val="000000" w:themeColor="text1"/>
          <w:sz w:val="24"/>
          <w:szCs w:val="24"/>
        </w:rPr>
      </w:pPr>
      <w:r>
        <w:rPr>
          <w:rFonts w:ascii="Avenir Next LT Pro" w:hAnsi="Avenir Next LT Pro" w:cs="TimesNewRomanPSMT"/>
          <w:color w:val="000000" w:themeColor="text1"/>
          <w:sz w:val="24"/>
          <w:szCs w:val="24"/>
        </w:rPr>
        <w:t>Bestämmelser anges i plankartan för gällande gatuhöjder, föreslagna gatuhöjder och utgående gatuhöjder. Dessa anses inte vara relevanta eller nödvändiga att digitalisera</w:t>
      </w:r>
      <w:r w:rsidR="00B32097">
        <w:rPr>
          <w:rFonts w:ascii="Avenir Next LT Pro" w:hAnsi="Avenir Next LT Pro" w:cs="TimesNewRomanPSMT"/>
          <w:color w:val="000000" w:themeColor="text1"/>
          <w:sz w:val="24"/>
          <w:szCs w:val="24"/>
        </w:rPr>
        <w:t xml:space="preserve"> då gatan är utbyggd. Bestämmelserna</w:t>
      </w:r>
      <w:r>
        <w:rPr>
          <w:rFonts w:ascii="Avenir Next LT Pro" w:hAnsi="Avenir Next LT Pro" w:cs="TimesNewRomanPSMT"/>
          <w:color w:val="000000" w:themeColor="text1"/>
          <w:sz w:val="24"/>
          <w:szCs w:val="24"/>
        </w:rPr>
        <w:t xml:space="preserve"> </w:t>
      </w:r>
      <w:r w:rsidR="00B32097">
        <w:rPr>
          <w:rFonts w:ascii="Avenir Next LT Pro" w:hAnsi="Avenir Next LT Pro" w:cs="TimesNewRomanPSMT"/>
          <w:color w:val="000000" w:themeColor="text1"/>
          <w:sz w:val="24"/>
          <w:szCs w:val="24"/>
        </w:rPr>
        <w:t>utelämnas därför från den digitaliserade tolkningen. Att dessa utelämnas bedöms inte påverka den digitala planens användbarhet eller kvalitet.</w:t>
      </w:r>
    </w:p>
    <w:p w14:paraId="2F16EB43" w14:textId="77777777" w:rsidR="00C77580" w:rsidRDefault="00C77580" w:rsidP="001D7E60">
      <w:pPr>
        <w:autoSpaceDE w:val="0"/>
        <w:autoSpaceDN w:val="0"/>
        <w:adjustRightInd w:val="0"/>
        <w:spacing w:after="0" w:line="240" w:lineRule="auto"/>
        <w:rPr>
          <w:rFonts w:ascii="Avenir Next LT Pro" w:hAnsi="Avenir Next LT Pro" w:cs="TimesNewRomanPSMT"/>
          <w:color w:val="000000" w:themeColor="text1"/>
          <w:sz w:val="24"/>
          <w:szCs w:val="24"/>
        </w:rPr>
      </w:pPr>
    </w:p>
    <w:p w14:paraId="0CE8E4DE" w14:textId="26DBA179" w:rsidR="00C77580" w:rsidRPr="00312804" w:rsidRDefault="00C77580" w:rsidP="001D7E60">
      <w:pPr>
        <w:autoSpaceDE w:val="0"/>
        <w:autoSpaceDN w:val="0"/>
        <w:adjustRightInd w:val="0"/>
        <w:spacing w:after="0" w:line="240" w:lineRule="auto"/>
        <w:rPr>
          <w:rFonts w:ascii="Avenir Next LT Pro" w:hAnsi="Avenir Next LT Pro" w:cs="TimesNewRomanPSMT"/>
          <w:b/>
          <w:bCs/>
          <w:color w:val="000000" w:themeColor="text1"/>
          <w:sz w:val="24"/>
          <w:szCs w:val="24"/>
        </w:rPr>
      </w:pPr>
      <w:r w:rsidRPr="00312804">
        <w:rPr>
          <w:rFonts w:ascii="Avenir Next LT Pro" w:hAnsi="Avenir Next LT Pro" w:cs="TimesNewRomanPSMT"/>
          <w:b/>
          <w:bCs/>
          <w:color w:val="000000" w:themeColor="text1"/>
          <w:sz w:val="24"/>
          <w:szCs w:val="24"/>
        </w:rPr>
        <w:t>Strandskydd</w:t>
      </w:r>
    </w:p>
    <w:p w14:paraId="53B2962A" w14:textId="14B5638F" w:rsidR="00C77580" w:rsidRPr="004045FA" w:rsidRDefault="00A74C05" w:rsidP="001D7E60">
      <w:pPr>
        <w:autoSpaceDE w:val="0"/>
        <w:autoSpaceDN w:val="0"/>
        <w:adjustRightInd w:val="0"/>
        <w:spacing w:after="0" w:line="240" w:lineRule="auto"/>
        <w:rPr>
          <w:rFonts w:ascii="Avenir Next LT Pro" w:hAnsi="Avenir Next LT Pro" w:cs="TimesNewRomanPSMT"/>
          <w:color w:val="000000" w:themeColor="text1"/>
          <w:sz w:val="24"/>
          <w:szCs w:val="24"/>
        </w:rPr>
      </w:pPr>
      <w:r>
        <w:rPr>
          <w:rFonts w:ascii="Avenir Next LT Pro" w:hAnsi="Avenir Next LT Pro" w:cs="TimesNewRomanPSMT"/>
          <w:color w:val="000000" w:themeColor="text1"/>
          <w:sz w:val="24"/>
          <w:szCs w:val="24"/>
        </w:rPr>
        <w:t xml:space="preserve">Planområdet ligger inom dagens strandskyddszon. </w:t>
      </w:r>
      <w:r w:rsidR="00312804">
        <w:rPr>
          <w:rFonts w:ascii="Avenir Next LT Pro" w:hAnsi="Avenir Next LT Pro" w:cs="TimesNewRomanPSMT"/>
          <w:color w:val="000000" w:themeColor="text1"/>
          <w:sz w:val="24"/>
          <w:szCs w:val="24"/>
        </w:rPr>
        <w:t>Då stadsplanen antogs innan strandskyddslagsstiftningen kom till år 1975, och inget särskilt beslut reglerar detta, råder inte strandskyddet inom någon del av planområdet (gäller såväl kvartersmark som allmän plats).</w:t>
      </w:r>
    </w:p>
    <w:p w14:paraId="160C2763" w14:textId="77777777" w:rsidR="001D7E60" w:rsidRDefault="001D7E60" w:rsidP="001D7E60">
      <w:pPr>
        <w:autoSpaceDE w:val="0"/>
        <w:autoSpaceDN w:val="0"/>
        <w:adjustRightInd w:val="0"/>
        <w:spacing w:after="0" w:line="240" w:lineRule="auto"/>
        <w:rPr>
          <w:rFonts w:ascii="Avenir Next LT Pro" w:hAnsi="Avenir Next LT Pro" w:cs="TimesNewRomanPSMT"/>
          <w:sz w:val="24"/>
          <w:szCs w:val="24"/>
        </w:rPr>
      </w:pPr>
    </w:p>
    <w:p w14:paraId="6B4FB69C" w14:textId="77777777" w:rsidR="001D7E60" w:rsidRPr="00E968EA" w:rsidRDefault="001D7E60" w:rsidP="001D7E60">
      <w:pPr>
        <w:autoSpaceDE w:val="0"/>
        <w:autoSpaceDN w:val="0"/>
        <w:adjustRightInd w:val="0"/>
        <w:spacing w:after="0" w:line="240" w:lineRule="auto"/>
        <w:rPr>
          <w:rFonts w:ascii="Avenir Next LT Pro" w:hAnsi="Avenir Next LT Pro" w:cs="TimesNewRomanPSMT"/>
          <w:b/>
          <w:bCs/>
          <w:sz w:val="24"/>
          <w:szCs w:val="24"/>
        </w:rPr>
      </w:pPr>
      <w:r w:rsidRPr="00E968EA">
        <w:rPr>
          <w:rFonts w:ascii="Avenir Next LT Pro" w:hAnsi="Avenir Next LT Pro" w:cs="TimesNewRomanPSMT"/>
          <w:b/>
          <w:bCs/>
          <w:sz w:val="24"/>
          <w:szCs w:val="24"/>
        </w:rPr>
        <w:t xml:space="preserve">Övergångsbestämmelser </w:t>
      </w:r>
      <w:r>
        <w:rPr>
          <w:rFonts w:ascii="Avenir Next LT Pro" w:hAnsi="Avenir Next LT Pro" w:cs="TimesNewRomanPSMT"/>
          <w:b/>
          <w:bCs/>
          <w:sz w:val="24"/>
          <w:szCs w:val="24"/>
        </w:rPr>
        <w:t xml:space="preserve">och dylikt </w:t>
      </w:r>
      <w:r w:rsidRPr="00E968EA">
        <w:rPr>
          <w:rFonts w:ascii="Avenir Next LT Pro" w:hAnsi="Avenir Next LT Pro" w:cs="TimesNewRomanPSMT"/>
          <w:b/>
          <w:bCs/>
          <w:sz w:val="24"/>
          <w:szCs w:val="24"/>
        </w:rPr>
        <w:t xml:space="preserve">som </w:t>
      </w:r>
      <w:r>
        <w:rPr>
          <w:rFonts w:ascii="Avenir Next LT Pro" w:hAnsi="Avenir Next LT Pro" w:cs="TimesNewRomanPSMT"/>
          <w:b/>
          <w:bCs/>
          <w:sz w:val="24"/>
          <w:szCs w:val="24"/>
        </w:rPr>
        <w:t xml:space="preserve">ännu </w:t>
      </w:r>
      <w:r w:rsidRPr="00E968EA">
        <w:rPr>
          <w:rFonts w:ascii="Avenir Next LT Pro" w:hAnsi="Avenir Next LT Pro" w:cs="TimesNewRomanPSMT"/>
          <w:b/>
          <w:bCs/>
          <w:sz w:val="24"/>
          <w:szCs w:val="24"/>
        </w:rPr>
        <w:t>gäller</w:t>
      </w:r>
    </w:p>
    <w:tbl>
      <w:tblPr>
        <w:tblStyle w:val="Tabellrutnt"/>
        <w:tblW w:w="0" w:type="auto"/>
        <w:tblLook w:val="04A0" w:firstRow="1" w:lastRow="0" w:firstColumn="1" w:lastColumn="0" w:noHBand="0" w:noVBand="1"/>
      </w:tblPr>
      <w:tblGrid>
        <w:gridCol w:w="3823"/>
        <w:gridCol w:w="5239"/>
      </w:tblGrid>
      <w:tr w:rsidR="001D7E60" w14:paraId="61768AB8" w14:textId="77777777" w:rsidTr="00370BC5">
        <w:tc>
          <w:tcPr>
            <w:tcW w:w="3823" w:type="dxa"/>
          </w:tcPr>
          <w:p w14:paraId="6C1D80F8" w14:textId="77777777" w:rsidR="001D7E60" w:rsidRDefault="001D7E60" w:rsidP="00370BC5">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Byggnadsstadgan 39 §</w:t>
            </w:r>
            <w:r>
              <w:rPr>
                <w:rFonts w:ascii="Avenir Next LT Pro" w:hAnsi="Avenir Next LT Pro" w:cs="TimesNewRomanPSMT"/>
                <w:sz w:val="24"/>
                <w:szCs w:val="24"/>
              </w:rPr>
              <w:t xml:space="preserve"> gäller </w:t>
            </w:r>
          </w:p>
          <w:p w14:paraId="42E9A580" w14:textId="77777777" w:rsidR="001D7E60" w:rsidRDefault="001D7E60" w:rsidP="00370BC5">
            <w:pPr>
              <w:autoSpaceDE w:val="0"/>
              <w:autoSpaceDN w:val="0"/>
              <w:adjustRightInd w:val="0"/>
              <w:rPr>
                <w:rFonts w:ascii="Avenir Next LT Pro" w:hAnsi="Avenir Next LT Pro" w:cs="TimesNewRomanPSMT"/>
                <w:sz w:val="24"/>
                <w:szCs w:val="24"/>
              </w:rPr>
            </w:pPr>
          </w:p>
          <w:p w14:paraId="187EFFA3" w14:textId="77777777" w:rsidR="001D7E60" w:rsidRPr="000B5DF2" w:rsidRDefault="001D7E60" w:rsidP="00370BC5">
            <w:pPr>
              <w:autoSpaceDE w:val="0"/>
              <w:autoSpaceDN w:val="0"/>
              <w:adjustRightInd w:val="0"/>
              <w:rPr>
                <w:rFonts w:ascii="Avenir Next LT Pro" w:hAnsi="Avenir Next LT Pro" w:cs="TimesNewRomanPSMT"/>
                <w:sz w:val="24"/>
                <w:szCs w:val="24"/>
              </w:rPr>
            </w:pPr>
          </w:p>
        </w:tc>
        <w:tc>
          <w:tcPr>
            <w:tcW w:w="5239" w:type="dxa"/>
          </w:tcPr>
          <w:p w14:paraId="5B21C56A" w14:textId="77777777" w:rsidR="001D7E60" w:rsidRPr="000B5DF2" w:rsidRDefault="001D7E60" w:rsidP="00370BC5">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Byggnadsstadgan 39 § gäller</w:t>
            </w:r>
            <w:r w:rsidRPr="0050456A">
              <w:rPr>
                <w:rFonts w:ascii="Avenir Next LT Pro" w:hAnsi="Avenir Next LT Pro" w:cs="TimesNewRomanPSMT"/>
                <w:sz w:val="24"/>
                <w:szCs w:val="24"/>
              </w:rPr>
              <w:t xml:space="preserve"> för all kvartersmark </w:t>
            </w:r>
            <w:r>
              <w:rPr>
                <w:rFonts w:ascii="Avenir Next LT Pro" w:hAnsi="Avenir Next LT Pro" w:cs="TimesNewRomanPSMT"/>
                <w:sz w:val="24"/>
                <w:szCs w:val="24"/>
              </w:rPr>
              <w:t xml:space="preserve">inom planområdet </w:t>
            </w:r>
            <w:r w:rsidRPr="0050456A">
              <w:rPr>
                <w:rFonts w:ascii="Avenir Next LT Pro" w:hAnsi="Avenir Next LT Pro" w:cs="TimesNewRomanPSMT"/>
                <w:sz w:val="24"/>
                <w:szCs w:val="24"/>
              </w:rPr>
              <w:t>då det saknas bestämmelser om sammanbyggda hus och/eller andra placeringsbestämmelser.</w:t>
            </w:r>
            <w:r>
              <w:rPr>
                <w:rFonts w:ascii="Avenir Next LT Pro" w:hAnsi="Avenir Next LT Pro" w:cs="TimesNewRomanPSMT"/>
                <w:sz w:val="24"/>
                <w:szCs w:val="24"/>
              </w:rPr>
              <w:t xml:space="preserve"> I den digitalt tolkade detaljplanen kompletteras detta med en placeringsbestämmelse i fritext som lyder ”Byggnadsstadgan 39 § gäller inom området”. </w:t>
            </w:r>
          </w:p>
          <w:p w14:paraId="399F4C00" w14:textId="77777777" w:rsidR="001D7E60" w:rsidRPr="000B5DF2" w:rsidRDefault="001D7E60" w:rsidP="00370BC5">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 </w:t>
            </w:r>
          </w:p>
          <w:p w14:paraId="2F336355" w14:textId="77777777" w:rsidR="001D7E60" w:rsidRDefault="001D7E60" w:rsidP="00370BC5">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 xml:space="preserve">Byggnadsstadgan 39 § innebär att byggnader ska placeras i gatulinjen eller inre förgårdslinjen. Bebyggelsen ska placeras på ett avstånd motsvarande hälften av den tillåtna byggnadshöjden från gräns mot granne. Om detta avstånd är mindre än 4,5 meter (om högsta byggnadshöjd är under 9,0 meter), så är minsta tillåtna avstånd fortfarande 4,5 meter från gräns mot granne. Dessutom ska avståndet mellan byggnader </w:t>
            </w:r>
            <w:r w:rsidRPr="00957435">
              <w:rPr>
                <w:rFonts w:ascii="Avenir Next LT Pro" w:hAnsi="Avenir Next LT Pro" w:cs="TimesNewRomanPSMT"/>
                <w:i/>
                <w:iCs/>
                <w:sz w:val="24"/>
                <w:szCs w:val="24"/>
              </w:rPr>
              <w:t>inom</w:t>
            </w:r>
            <w:r>
              <w:rPr>
                <w:rFonts w:ascii="Avenir Next LT Pro" w:hAnsi="Avenir Next LT Pro" w:cs="TimesNewRomanPSMT"/>
                <w:sz w:val="24"/>
                <w:szCs w:val="24"/>
              </w:rPr>
              <w:t xml:space="preserve"> samma tomt vara minst den tillåtna höjden för den högsta av dessa byggnader. Byggnadsnämnden får ge undantag från bestämmelserna om det finns särskilda skäl och kan ske utan fara och utan att lämpligt bebyggande av området försvåras. Kan åtgärden påverka förhållanden på grannens tomt ska denna höras.</w:t>
            </w:r>
          </w:p>
        </w:tc>
      </w:tr>
      <w:tr w:rsidR="001D7E60" w14:paraId="6345D417" w14:textId="77777777" w:rsidTr="00370BC5">
        <w:tc>
          <w:tcPr>
            <w:tcW w:w="3823" w:type="dxa"/>
          </w:tcPr>
          <w:p w14:paraId="1BB4A2B1" w14:textId="77777777" w:rsidR="001D7E60" w:rsidRDefault="001D7E60" w:rsidP="00370BC5">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110 §-förordnanden</w:t>
            </w:r>
          </w:p>
          <w:p w14:paraId="46F13815" w14:textId="40A718FA" w:rsidR="001D7E60" w:rsidRPr="000B5DF2" w:rsidRDefault="001D7E60" w:rsidP="00370BC5">
            <w:pPr>
              <w:autoSpaceDE w:val="0"/>
              <w:autoSpaceDN w:val="0"/>
              <w:adjustRightInd w:val="0"/>
              <w:rPr>
                <w:rFonts w:ascii="Avenir Next LT Pro" w:hAnsi="Avenir Next LT Pro" w:cs="TimesNewRomanPSMT"/>
                <w:sz w:val="24"/>
                <w:szCs w:val="24"/>
              </w:rPr>
            </w:pPr>
          </w:p>
        </w:tc>
        <w:tc>
          <w:tcPr>
            <w:tcW w:w="5239" w:type="dxa"/>
          </w:tcPr>
          <w:p w14:paraId="2F016328" w14:textId="4FE2783E" w:rsidR="001D7E60" w:rsidRDefault="001D7E60" w:rsidP="00370BC5">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Ing</w:t>
            </w:r>
            <w:r w:rsidR="00C77580">
              <w:rPr>
                <w:rFonts w:ascii="Avenir Next LT Pro" w:hAnsi="Avenir Next LT Pro" w:cs="TimesNewRomanPSMT"/>
                <w:sz w:val="24"/>
                <w:szCs w:val="24"/>
              </w:rPr>
              <w:t>et</w:t>
            </w:r>
            <w:r>
              <w:rPr>
                <w:rFonts w:ascii="Avenir Next LT Pro" w:hAnsi="Avenir Next LT Pro" w:cs="TimesNewRomanPSMT"/>
                <w:sz w:val="24"/>
                <w:szCs w:val="24"/>
              </w:rPr>
              <w:t xml:space="preserve"> 110 §-förordnande påverkar den aktuella detaljplanen.</w:t>
            </w:r>
          </w:p>
        </w:tc>
      </w:tr>
      <w:tr w:rsidR="001D7E60" w14:paraId="7FA13D3A" w14:textId="77777777" w:rsidTr="00370BC5">
        <w:tc>
          <w:tcPr>
            <w:tcW w:w="3823" w:type="dxa"/>
          </w:tcPr>
          <w:p w14:paraId="08E6590A" w14:textId="77777777" w:rsidR="001D7E60" w:rsidRPr="000B5DF2" w:rsidRDefault="001D7E60" w:rsidP="00370BC5">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Fastighetsplan</w:t>
            </w:r>
          </w:p>
        </w:tc>
        <w:tc>
          <w:tcPr>
            <w:tcW w:w="5239" w:type="dxa"/>
          </w:tcPr>
          <w:p w14:paraId="07F29094" w14:textId="77777777" w:rsidR="001D7E60" w:rsidRDefault="001D7E60" w:rsidP="00370BC5">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Tomtindelning/fastighetsplan saknas för det aktuella planområdet.</w:t>
            </w:r>
          </w:p>
        </w:tc>
      </w:tr>
      <w:tr w:rsidR="001D7E60" w14:paraId="509D81FF" w14:textId="77777777" w:rsidTr="00370BC5">
        <w:tc>
          <w:tcPr>
            <w:tcW w:w="3823" w:type="dxa"/>
          </w:tcPr>
          <w:p w14:paraId="67B6D480" w14:textId="77777777" w:rsidR="001D7E60" w:rsidRPr="000B5DF2" w:rsidRDefault="001D7E60" w:rsidP="00370BC5">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Länsstyrelsens fastställelsebeslut</w:t>
            </w:r>
          </w:p>
        </w:tc>
        <w:tc>
          <w:tcPr>
            <w:tcW w:w="5239" w:type="dxa"/>
          </w:tcPr>
          <w:p w14:paraId="6C032B35" w14:textId="77777777" w:rsidR="001D7E60" w:rsidRDefault="001D7E60" w:rsidP="00370BC5">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Länsstyrelsens fastställelsebeslut har kontrollerats utan anmärkningar.</w:t>
            </w:r>
          </w:p>
        </w:tc>
      </w:tr>
    </w:tbl>
    <w:p w14:paraId="3C59131A" w14:textId="49228383" w:rsidR="00CD140D" w:rsidRDefault="00CD140D" w:rsidP="0046154A">
      <w:pPr>
        <w:autoSpaceDE w:val="0"/>
        <w:autoSpaceDN w:val="0"/>
        <w:adjustRightInd w:val="0"/>
        <w:spacing w:after="0" w:line="240" w:lineRule="auto"/>
      </w:pPr>
    </w:p>
    <w:p w14:paraId="4C1C2649" w14:textId="6EF5955C" w:rsidR="0046154A" w:rsidRDefault="0046154A" w:rsidP="0046154A">
      <w:pPr>
        <w:autoSpaceDE w:val="0"/>
        <w:autoSpaceDN w:val="0"/>
        <w:adjustRightInd w:val="0"/>
        <w:spacing w:after="0" w:line="240" w:lineRule="auto"/>
      </w:pPr>
    </w:p>
    <w:p w14:paraId="5E6FD844" w14:textId="03C88DA3" w:rsidR="0046154A" w:rsidRDefault="0046154A" w:rsidP="0046154A">
      <w:pPr>
        <w:autoSpaceDE w:val="0"/>
        <w:autoSpaceDN w:val="0"/>
        <w:adjustRightInd w:val="0"/>
        <w:spacing w:after="0" w:line="240" w:lineRule="auto"/>
      </w:pPr>
    </w:p>
    <w:p w14:paraId="3FEE4D07" w14:textId="340DE2D4" w:rsidR="0046154A" w:rsidRDefault="0046154A" w:rsidP="0046154A">
      <w:pPr>
        <w:autoSpaceDE w:val="0"/>
        <w:autoSpaceDN w:val="0"/>
        <w:adjustRightInd w:val="0"/>
        <w:spacing w:after="0" w:line="240" w:lineRule="auto"/>
      </w:pPr>
    </w:p>
    <w:p w14:paraId="631C06CD" w14:textId="77777777" w:rsidR="0046154A" w:rsidRDefault="0046154A">
      <w:r>
        <w:br w:type="page"/>
      </w:r>
    </w:p>
    <w:p w14:paraId="1FDC27EE" w14:textId="77777777" w:rsidR="0046154A" w:rsidRPr="00B37B61" w:rsidRDefault="0046154A" w:rsidP="0046154A">
      <w:pPr>
        <w:rPr>
          <w:rFonts w:ascii="Avenir Next LT Pro" w:hAnsi="Avenir Next LT Pro" w:cs="TimesNewRomanPSMT"/>
          <w:b/>
          <w:bCs/>
          <w:sz w:val="24"/>
          <w:szCs w:val="24"/>
        </w:rPr>
      </w:pPr>
      <w:r w:rsidRPr="00B37B61">
        <w:rPr>
          <w:rFonts w:ascii="Avenir Next LT Pro" w:hAnsi="Avenir Next LT Pro" w:cs="TimesNewRomanPSMT"/>
          <w:b/>
          <w:bCs/>
          <w:sz w:val="24"/>
          <w:szCs w:val="24"/>
        </w:rPr>
        <w:t>Övrig information</w:t>
      </w:r>
    </w:p>
    <w:p w14:paraId="5BF49812" w14:textId="77777777" w:rsidR="0046154A" w:rsidRDefault="0046154A" w:rsidP="0046154A">
      <w:pPr>
        <w:autoSpaceDE w:val="0"/>
        <w:autoSpaceDN w:val="0"/>
        <w:adjustRightInd w:val="0"/>
        <w:spacing w:after="0" w:line="240" w:lineRule="auto"/>
        <w:rPr>
          <w:rFonts w:ascii="Avenir Next LT Pro" w:hAnsi="Avenir Next LT Pro" w:cs="TimesNewRomanPSMT"/>
          <w:sz w:val="24"/>
          <w:szCs w:val="24"/>
        </w:rPr>
      </w:pPr>
      <w:r w:rsidRPr="00402596">
        <w:rPr>
          <w:rFonts w:ascii="Avenir Next LT Pro" w:hAnsi="Avenir Next LT Pro" w:cs="TimesNewRomanPSMT"/>
          <w:sz w:val="24"/>
          <w:szCs w:val="24"/>
        </w:rPr>
        <w:t>Planområdet ligger inom riksintresset för kulturmiljö.</w:t>
      </w:r>
    </w:p>
    <w:p w14:paraId="517AD6BC" w14:textId="77777777" w:rsidR="0046154A" w:rsidRDefault="0046154A" w:rsidP="0046154A">
      <w:pPr>
        <w:autoSpaceDE w:val="0"/>
        <w:autoSpaceDN w:val="0"/>
        <w:adjustRightInd w:val="0"/>
        <w:spacing w:after="0" w:line="240" w:lineRule="auto"/>
        <w:rPr>
          <w:rFonts w:ascii="Avenir Next LT Pro" w:hAnsi="Avenir Next LT Pro" w:cs="TimesNewRomanPSMT"/>
          <w:sz w:val="24"/>
          <w:szCs w:val="24"/>
        </w:rPr>
      </w:pPr>
    </w:p>
    <w:p w14:paraId="708CCF39" w14:textId="2B862AD9" w:rsidR="0046154A" w:rsidRDefault="0046154A" w:rsidP="0046154A">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I </w:t>
      </w:r>
      <w:r w:rsidRPr="00563289">
        <w:rPr>
          <w:rFonts w:ascii="Avenir Next LT Pro" w:hAnsi="Avenir Next LT Pro" w:cs="TimesNewRomanPSMT"/>
          <w:i/>
          <w:iCs/>
          <w:sz w:val="24"/>
          <w:szCs w:val="24"/>
        </w:rPr>
        <w:t>Kulturhistoriska områdesbeskrivningar för Nyköpings tätort</w:t>
      </w:r>
      <w:r>
        <w:rPr>
          <w:rFonts w:ascii="Avenir Next LT Pro" w:hAnsi="Avenir Next LT Pro" w:cs="TimesNewRomanPSMT"/>
          <w:sz w:val="24"/>
          <w:szCs w:val="24"/>
        </w:rPr>
        <w:t xml:space="preserve"> (2019) analyseras viktiga kulturmiljöaspekter att ta i beaktning Nyköping växer. Dokumentet är ett underlag till </w:t>
      </w:r>
      <w:r w:rsidRPr="009A5D69">
        <w:rPr>
          <w:rFonts w:ascii="Avenir Next LT Pro" w:hAnsi="Avenir Next LT Pro" w:cs="TimesNewRomanPSMT"/>
          <w:i/>
          <w:iCs/>
          <w:sz w:val="24"/>
          <w:szCs w:val="24"/>
        </w:rPr>
        <w:t>Nyköpings översiktsplan</w:t>
      </w:r>
      <w:r>
        <w:rPr>
          <w:rFonts w:ascii="Avenir Next LT Pro" w:hAnsi="Avenir Next LT Pro" w:cs="TimesNewRomanPSMT"/>
          <w:sz w:val="24"/>
          <w:szCs w:val="24"/>
        </w:rPr>
        <w:t xml:space="preserve"> (2022) och används som rådgivning och stöd vid bygglovshandläggning. Dokumentet innehåller en bedömning av </w:t>
      </w:r>
      <w:r w:rsidR="00B32097">
        <w:rPr>
          <w:rFonts w:ascii="Avenir Next LT Pro" w:hAnsi="Avenir Next LT Pro" w:cs="TimesNewRomanPSMT"/>
          <w:sz w:val="24"/>
          <w:szCs w:val="24"/>
        </w:rPr>
        <w:t>stadsdelars</w:t>
      </w:r>
      <w:r>
        <w:rPr>
          <w:rFonts w:ascii="Avenir Next LT Pro" w:hAnsi="Avenir Next LT Pro" w:cs="TimesNewRomanPSMT"/>
          <w:sz w:val="24"/>
          <w:szCs w:val="24"/>
        </w:rPr>
        <w:t xml:space="preserve"> känslighet och tålighet för förändringar, samt ett antal riktlinjer för den fortsatta hanteringen av dessa områdens kulturhistoriska värden och kara</w:t>
      </w:r>
      <w:r w:rsidR="00783F3E">
        <w:rPr>
          <w:rFonts w:ascii="Avenir Next LT Pro" w:hAnsi="Avenir Next LT Pro" w:cs="TimesNewRomanPSMT"/>
          <w:sz w:val="24"/>
          <w:szCs w:val="24"/>
        </w:rPr>
        <w:t>k</w:t>
      </w:r>
      <w:r>
        <w:rPr>
          <w:rFonts w:ascii="Avenir Next LT Pro" w:hAnsi="Avenir Next LT Pro" w:cs="TimesNewRomanPSMT"/>
          <w:sz w:val="24"/>
          <w:szCs w:val="24"/>
        </w:rPr>
        <w:t>tärsdrag.</w:t>
      </w:r>
    </w:p>
    <w:p w14:paraId="7BF70926" w14:textId="77777777" w:rsidR="00C77580" w:rsidRDefault="00C77580" w:rsidP="0046154A">
      <w:pPr>
        <w:autoSpaceDE w:val="0"/>
        <w:autoSpaceDN w:val="0"/>
        <w:adjustRightInd w:val="0"/>
        <w:spacing w:after="0" w:line="240" w:lineRule="auto"/>
        <w:rPr>
          <w:rFonts w:ascii="Avenir Next LT Pro" w:hAnsi="Avenir Next LT Pro" w:cs="TimesNewRomanPSMT"/>
          <w:sz w:val="24"/>
          <w:szCs w:val="24"/>
        </w:rPr>
      </w:pPr>
    </w:p>
    <w:p w14:paraId="3D79793B" w14:textId="57AFB2BD" w:rsidR="0046154A" w:rsidRPr="00C77580" w:rsidRDefault="00C77580" w:rsidP="00C77580">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 xml:space="preserve">Det aktuella området beskrivs som </w:t>
      </w:r>
      <w:r w:rsidRPr="00B32097">
        <w:rPr>
          <w:rFonts w:ascii="Avenir Next LT Pro" w:hAnsi="Avenir Next LT Pro" w:cs="TimesNewRomanPSMT"/>
          <w:b/>
          <w:bCs/>
          <w:sz w:val="24"/>
          <w:szCs w:val="24"/>
        </w:rPr>
        <w:t>tåligt</w:t>
      </w:r>
      <w:r>
        <w:rPr>
          <w:rFonts w:ascii="Avenir Next LT Pro" w:hAnsi="Avenir Next LT Pro" w:cs="TimesNewRomanPSMT"/>
          <w:sz w:val="24"/>
          <w:szCs w:val="24"/>
        </w:rPr>
        <w:t xml:space="preserve"> för förändring och </w:t>
      </w:r>
      <w:r w:rsidRPr="00C77580">
        <w:rPr>
          <w:rFonts w:ascii="Avenir Next LT Pro" w:hAnsi="Avenir Next LT Pro" w:cs="TimesNewRomanPSMT"/>
          <w:sz w:val="24"/>
          <w:szCs w:val="24"/>
        </w:rPr>
        <w:t>möjligt att förtäta med nya bebyggelsegrupper i enlighet med hur området successivt byggts ut</w:t>
      </w:r>
      <w:r w:rsidR="00B32097">
        <w:rPr>
          <w:rFonts w:ascii="Avenir Next LT Pro" w:hAnsi="Avenir Next LT Pro" w:cs="TimesNewRomanPSMT"/>
          <w:sz w:val="24"/>
          <w:szCs w:val="24"/>
        </w:rPr>
        <w:t>.</w:t>
      </w:r>
      <w:r w:rsidRPr="00C77580">
        <w:rPr>
          <w:rFonts w:ascii="Avenir Next LT Pro" w:hAnsi="Avenir Next LT Pro" w:cs="TimesNewRomanPSMT"/>
          <w:sz w:val="24"/>
          <w:szCs w:val="24"/>
        </w:rPr>
        <w:t xml:space="preserve"> </w:t>
      </w:r>
      <w:r w:rsidR="00B32097">
        <w:rPr>
          <w:rFonts w:ascii="Avenir Next LT Pro" w:hAnsi="Avenir Next LT Pro" w:cs="TimesNewRomanPSMT"/>
          <w:sz w:val="24"/>
          <w:szCs w:val="24"/>
        </w:rPr>
        <w:t>S</w:t>
      </w:r>
      <w:r w:rsidRPr="00C77580">
        <w:rPr>
          <w:rFonts w:ascii="Avenir Next LT Pro" w:hAnsi="Avenir Next LT Pro" w:cs="TimesNewRomanPSMT"/>
          <w:sz w:val="24"/>
          <w:szCs w:val="24"/>
        </w:rPr>
        <w:t xml:space="preserve">å länge tilläggen sker i nära anslutning till det befintliga kan det nya inordnas helheten. </w:t>
      </w:r>
    </w:p>
    <w:sectPr w:rsidR="0046154A" w:rsidRPr="00C775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aisonne Pro">
    <w:panose1 w:val="020B0503040202040103"/>
    <w:charset w:val="00"/>
    <w:family w:val="swiss"/>
    <w:notTrueType/>
    <w:pitch w:val="variable"/>
    <w:sig w:usb0="00000007" w:usb1="00000000" w:usb2="00000000" w:usb3="00000000" w:csb0="00000013" w:csb1="00000000"/>
  </w:font>
  <w:font w:name="Avenir Next LT Pro">
    <w:altName w:val="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83D89"/>
    <w:multiLevelType w:val="hybridMultilevel"/>
    <w:tmpl w:val="3B22FF62"/>
    <w:lvl w:ilvl="0" w:tplc="22A80DB6">
      <w:start w:val="2012"/>
      <w:numFmt w:val="bullet"/>
      <w:lvlText w:val=""/>
      <w:lvlJc w:val="left"/>
      <w:pPr>
        <w:ind w:left="720" w:hanging="360"/>
      </w:pPr>
      <w:rPr>
        <w:rFonts w:ascii="Symbol" w:eastAsiaTheme="minorHAnsi" w:hAnsi="Symbol" w:cs="Arial-BoldMT" w:hint="default"/>
        <w:b/>
        <w:color w:val="auto"/>
        <w:sz w:val="26"/>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2"/>
  </w:num>
  <w:num w:numId="2" w16cid:durableId="1245455227">
    <w:abstractNumId w:val="1"/>
  </w:num>
  <w:num w:numId="3" w16cid:durableId="1283734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33D8A"/>
    <w:rsid w:val="00065E6D"/>
    <w:rsid w:val="00102657"/>
    <w:rsid w:val="001D7E60"/>
    <w:rsid w:val="002207EB"/>
    <w:rsid w:val="00264379"/>
    <w:rsid w:val="0028482E"/>
    <w:rsid w:val="003027DB"/>
    <w:rsid w:val="00312804"/>
    <w:rsid w:val="003C29DC"/>
    <w:rsid w:val="0046154A"/>
    <w:rsid w:val="00476FE5"/>
    <w:rsid w:val="004C2C01"/>
    <w:rsid w:val="004E0906"/>
    <w:rsid w:val="005760A6"/>
    <w:rsid w:val="005D67D4"/>
    <w:rsid w:val="005F0B01"/>
    <w:rsid w:val="00783F3E"/>
    <w:rsid w:val="007E04B0"/>
    <w:rsid w:val="00856BB5"/>
    <w:rsid w:val="008A0789"/>
    <w:rsid w:val="008E558B"/>
    <w:rsid w:val="0097385A"/>
    <w:rsid w:val="00997EA1"/>
    <w:rsid w:val="00A74C05"/>
    <w:rsid w:val="00A900ED"/>
    <w:rsid w:val="00A93D08"/>
    <w:rsid w:val="00B32097"/>
    <w:rsid w:val="00C77580"/>
    <w:rsid w:val="00CB2C86"/>
    <w:rsid w:val="00CD140D"/>
    <w:rsid w:val="00DC2B1C"/>
    <w:rsid w:val="00E4569B"/>
    <w:rsid w:val="00E734D5"/>
    <w:rsid w:val="00EB7435"/>
    <w:rsid w:val="00ED5404"/>
    <w:rsid w:val="00ED7BB6"/>
    <w:rsid w:val="00F37C84"/>
    <w:rsid w:val="00FF1B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character" w:styleId="Kommentarsreferens">
    <w:name w:val="annotation reference"/>
    <w:basedOn w:val="Standardstycketeckensnitt"/>
    <w:uiPriority w:val="99"/>
    <w:semiHidden/>
    <w:unhideWhenUsed/>
    <w:rsid w:val="00A900ED"/>
    <w:rPr>
      <w:sz w:val="16"/>
      <w:szCs w:val="16"/>
    </w:rPr>
  </w:style>
  <w:style w:type="paragraph" w:styleId="Kommentarer">
    <w:name w:val="annotation text"/>
    <w:basedOn w:val="Normal"/>
    <w:link w:val="KommentarerChar"/>
    <w:uiPriority w:val="99"/>
    <w:unhideWhenUsed/>
    <w:rsid w:val="00A900ED"/>
    <w:pPr>
      <w:spacing w:line="240" w:lineRule="auto"/>
    </w:pPr>
    <w:rPr>
      <w:sz w:val="20"/>
      <w:szCs w:val="20"/>
    </w:rPr>
  </w:style>
  <w:style w:type="character" w:customStyle="1" w:styleId="KommentarerChar">
    <w:name w:val="Kommentarer Char"/>
    <w:basedOn w:val="Standardstycketeckensnitt"/>
    <w:link w:val="Kommentarer"/>
    <w:uiPriority w:val="99"/>
    <w:rsid w:val="00A900ED"/>
    <w:rPr>
      <w:sz w:val="20"/>
      <w:szCs w:val="20"/>
    </w:rPr>
  </w:style>
  <w:style w:type="paragraph" w:styleId="Kommentarsmne">
    <w:name w:val="annotation subject"/>
    <w:basedOn w:val="Kommentarer"/>
    <w:next w:val="Kommentarer"/>
    <w:link w:val="KommentarsmneChar"/>
    <w:uiPriority w:val="99"/>
    <w:semiHidden/>
    <w:unhideWhenUsed/>
    <w:rsid w:val="007E04B0"/>
    <w:rPr>
      <w:b/>
      <w:bCs/>
    </w:rPr>
  </w:style>
  <w:style w:type="character" w:customStyle="1" w:styleId="KommentarsmneChar">
    <w:name w:val="Kommentarsämne Char"/>
    <w:basedOn w:val="KommentarerChar"/>
    <w:link w:val="Kommentarsmne"/>
    <w:uiPriority w:val="99"/>
    <w:semiHidden/>
    <w:rsid w:val="007E04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618699">
      <w:bodyDiv w:val="1"/>
      <w:marLeft w:val="0"/>
      <w:marRight w:val="0"/>
      <w:marTop w:val="0"/>
      <w:marBottom w:val="0"/>
      <w:divBdr>
        <w:top w:val="none" w:sz="0" w:space="0" w:color="auto"/>
        <w:left w:val="none" w:sz="0" w:space="0" w:color="auto"/>
        <w:bottom w:val="none" w:sz="0" w:space="0" w:color="auto"/>
        <w:right w:val="none" w:sz="0" w:space="0" w:color="auto"/>
      </w:divBdr>
    </w:div>
    <w:div w:id="1245188065">
      <w:bodyDiv w:val="1"/>
      <w:marLeft w:val="0"/>
      <w:marRight w:val="0"/>
      <w:marTop w:val="0"/>
      <w:marBottom w:val="0"/>
      <w:divBdr>
        <w:top w:val="none" w:sz="0" w:space="0" w:color="auto"/>
        <w:left w:val="none" w:sz="0" w:space="0" w:color="auto"/>
        <w:bottom w:val="none" w:sz="0" w:space="0" w:color="auto"/>
        <w:right w:val="none" w:sz="0" w:space="0" w:color="auto"/>
      </w:divBdr>
    </w:div>
    <w:div w:id="163899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7</Pages>
  <Words>1939</Words>
  <Characters>10277</Characters>
  <Application>Microsoft Office Word</Application>
  <DocSecurity>0</DocSecurity>
  <Lines>85</Lines>
  <Paragraphs>24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Persson Victor</cp:lastModifiedBy>
  <cp:revision>11</cp:revision>
  <dcterms:created xsi:type="dcterms:W3CDTF">2023-12-22T10:07:00Z</dcterms:created>
  <dcterms:modified xsi:type="dcterms:W3CDTF">2024-02-06T15:14:00Z</dcterms:modified>
</cp:coreProperties>
</file>