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7B3EB" w14:textId="47A62297" w:rsidR="00CD140D" w:rsidRPr="005F0B01" w:rsidRDefault="004A1072">
      <w:pPr>
        <w:rPr>
          <w:rFonts w:ascii="Raisonne Pro" w:hAnsi="Raisonne Pro"/>
          <w:sz w:val="48"/>
          <w:szCs w:val="48"/>
        </w:rPr>
      </w:pPr>
      <w:r>
        <w:rPr>
          <w:rFonts w:ascii="Raisonne Pro" w:hAnsi="Raisonne Pro"/>
          <w:sz w:val="48"/>
          <w:szCs w:val="48"/>
        </w:rPr>
        <w:t>Tolkningsbilaga</w:t>
      </w:r>
      <w:r w:rsidR="00EB7435" w:rsidRPr="005F0B01">
        <w:rPr>
          <w:rFonts w:ascii="Raisonne Pro" w:hAnsi="Raisonne Pro"/>
          <w:sz w:val="48"/>
          <w:szCs w:val="48"/>
        </w:rPr>
        <w:t xml:space="preserve"> för</w:t>
      </w:r>
      <w:r w:rsidR="00CD140D" w:rsidRPr="005F0B01">
        <w:rPr>
          <w:rFonts w:ascii="Raisonne Pro" w:hAnsi="Raisonne Pro"/>
          <w:sz w:val="48"/>
          <w:szCs w:val="48"/>
        </w:rPr>
        <w:t xml:space="preserve"> P</w:t>
      </w:r>
      <w:r>
        <w:rPr>
          <w:rFonts w:ascii="Raisonne Pro" w:hAnsi="Raisonne Pro"/>
          <w:sz w:val="48"/>
          <w:szCs w:val="48"/>
        </w:rPr>
        <w:t>18-14</w:t>
      </w:r>
    </w:p>
    <w:p w14:paraId="397A380E" w14:textId="257D939A" w:rsidR="00CD140D" w:rsidRPr="005F0B01" w:rsidRDefault="00CD140D">
      <w:pPr>
        <w:rPr>
          <w:rFonts w:ascii="Avenir Next LT Pro" w:hAnsi="Avenir Next LT Pro"/>
        </w:rPr>
      </w:pPr>
      <w:r w:rsidRPr="005F0B01">
        <w:rPr>
          <w:rFonts w:ascii="Avenir Next LT Pro" w:hAnsi="Avenir Next LT Pro"/>
        </w:rPr>
        <w:t xml:space="preserve">Detaljplan för </w:t>
      </w:r>
      <w:r w:rsidR="004A1072">
        <w:rPr>
          <w:rFonts w:ascii="Avenir Next LT Pro" w:hAnsi="Avenir Next LT Pro"/>
        </w:rPr>
        <w:t>Brandstoden 25</w:t>
      </w:r>
    </w:p>
    <w:p w14:paraId="1F48772A" w14:textId="77777777" w:rsidR="007D7F69" w:rsidRPr="00EB7435" w:rsidRDefault="007D7F69" w:rsidP="007D7F69">
      <w:pPr>
        <w:autoSpaceDE w:val="0"/>
        <w:autoSpaceDN w:val="0"/>
        <w:adjustRightInd w:val="0"/>
        <w:spacing w:after="0" w:line="240" w:lineRule="auto"/>
        <w:rPr>
          <w:rFonts w:ascii="Avenir Next LT Pro" w:hAnsi="Avenir Next LT Pro" w:cs="TimesNewRomanPS-ItalicMT"/>
          <w:i/>
          <w:iCs/>
          <w:sz w:val="24"/>
          <w:szCs w:val="24"/>
        </w:rPr>
      </w:pPr>
      <w:r w:rsidRPr="00EB7435">
        <w:rPr>
          <w:rFonts w:ascii="Avenir Next LT Pro" w:hAnsi="Avenir Next LT Pro" w:cs="TimesNewRomanPS-ItalicMT"/>
          <w:i/>
          <w:iCs/>
          <w:sz w:val="24"/>
          <w:szCs w:val="24"/>
        </w:rPr>
        <w:t xml:space="preserve">Den laga-kraft-vunna plankartan är fortfarande juridiskt bindande och den digitala tolkade planen används lämpligen till stöd vid tolkning av denna. De ställningstaganden som gjorts vid digitalisering och tolkning av planen framgår i denna </w:t>
      </w:r>
      <w:r>
        <w:rPr>
          <w:rFonts w:ascii="Avenir Next LT Pro" w:hAnsi="Avenir Next LT Pro" w:cs="TimesNewRomanPS-ItalicMT"/>
          <w:i/>
          <w:iCs/>
          <w:sz w:val="24"/>
          <w:szCs w:val="24"/>
        </w:rPr>
        <w:t>tolkningsbilaga</w:t>
      </w:r>
      <w:r w:rsidRPr="00C356EE">
        <w:rPr>
          <w:rFonts w:ascii="Avenir Next LT Pro" w:hAnsi="Avenir Next LT Pro" w:cs="TimesNewRomanPS-ItalicMT"/>
          <w:i/>
          <w:iCs/>
          <w:sz w:val="24"/>
          <w:szCs w:val="24"/>
        </w:rPr>
        <w:t>.</w:t>
      </w:r>
      <w:r>
        <w:rPr>
          <w:rFonts w:ascii="Avenir Next LT Pro" w:hAnsi="Avenir Next LT Pro" w:cs="TimesNewRomanPS-ItalicMT"/>
          <w:i/>
          <w:iCs/>
          <w:sz w:val="24"/>
          <w:szCs w:val="24"/>
        </w:rPr>
        <w:t xml:space="preserve"> Det finns även andra bestämmelser som inte har behövts tolkas.</w:t>
      </w:r>
      <w:r w:rsidRPr="00C356EE">
        <w:rPr>
          <w:rFonts w:ascii="Avenir Next LT Pro" w:hAnsi="Avenir Next LT Pro" w:cs="TimesNewRomanPS-ItalicMT"/>
          <w:i/>
          <w:iCs/>
          <w:sz w:val="24"/>
          <w:szCs w:val="24"/>
        </w:rPr>
        <w:t xml:space="preserve"> </w:t>
      </w:r>
      <w:r>
        <w:rPr>
          <w:rFonts w:ascii="Avenir Next LT Pro" w:hAnsi="Avenir Next LT Pro" w:cs="TimesNewRomanPS-ItalicMT"/>
          <w:i/>
          <w:iCs/>
          <w:sz w:val="24"/>
          <w:szCs w:val="24"/>
        </w:rPr>
        <w:t xml:space="preserve">Alla </w:t>
      </w:r>
      <w:r w:rsidRPr="00C356EE">
        <w:rPr>
          <w:rFonts w:ascii="Avenir Next LT Pro" w:hAnsi="Avenir Next LT Pro" w:cs="TimesNewRomanPS-ItalicMT"/>
          <w:i/>
          <w:iCs/>
          <w:sz w:val="24"/>
          <w:szCs w:val="24"/>
        </w:rPr>
        <w:t>bestämmelser återfinns i den digitala speglingen av detaljplanen.</w:t>
      </w:r>
    </w:p>
    <w:p w14:paraId="2127EDE7" w14:textId="3B542592" w:rsidR="00CD140D" w:rsidRPr="00EB7435" w:rsidRDefault="00CD140D" w:rsidP="00CD140D">
      <w:pPr>
        <w:autoSpaceDE w:val="0"/>
        <w:autoSpaceDN w:val="0"/>
        <w:adjustRightInd w:val="0"/>
        <w:spacing w:after="0" w:line="240" w:lineRule="auto"/>
        <w:rPr>
          <w:rFonts w:ascii="Avenir Next LT Pro" w:hAnsi="Avenir Next LT Pro" w:cs="TimesNewRomanPS-BoldMT"/>
          <w:b/>
          <w:bCs/>
          <w:sz w:val="24"/>
          <w:szCs w:val="24"/>
        </w:rPr>
      </w:pPr>
    </w:p>
    <w:tbl>
      <w:tblPr>
        <w:tblStyle w:val="Tabellrutnt"/>
        <w:tblW w:w="0" w:type="auto"/>
        <w:tblLook w:val="04A0" w:firstRow="1" w:lastRow="0" w:firstColumn="1" w:lastColumn="0" w:noHBand="0" w:noVBand="1"/>
      </w:tblPr>
      <w:tblGrid>
        <w:gridCol w:w="4531"/>
        <w:gridCol w:w="4531"/>
      </w:tblGrid>
      <w:tr w:rsidR="00CD140D" w:rsidRPr="00EB7435" w14:paraId="106A6DCA" w14:textId="77777777" w:rsidTr="00CD140D">
        <w:tc>
          <w:tcPr>
            <w:tcW w:w="4531" w:type="dxa"/>
          </w:tcPr>
          <w:p w14:paraId="031F64F5" w14:textId="7FEC105F"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 xml:space="preserve">Lantmäteriets </w:t>
            </w:r>
            <w:proofErr w:type="spellStart"/>
            <w:r w:rsidRPr="00EB7435">
              <w:rPr>
                <w:rFonts w:ascii="Avenir Next LT Pro" w:hAnsi="Avenir Next LT Pro" w:cs="TimesNewRomanPS-BoldMT"/>
                <w:sz w:val="24"/>
                <w:szCs w:val="24"/>
              </w:rPr>
              <w:t>aktbeteckning</w:t>
            </w:r>
            <w:proofErr w:type="spellEnd"/>
          </w:p>
        </w:tc>
        <w:tc>
          <w:tcPr>
            <w:tcW w:w="4531" w:type="dxa"/>
          </w:tcPr>
          <w:p w14:paraId="6670CCB7" w14:textId="77777777" w:rsidR="00CD140D" w:rsidRPr="00EB7435" w:rsidRDefault="00CD140D" w:rsidP="00CD140D">
            <w:pPr>
              <w:autoSpaceDE w:val="0"/>
              <w:autoSpaceDN w:val="0"/>
              <w:adjustRightInd w:val="0"/>
              <w:rPr>
                <w:rFonts w:ascii="Avenir Next LT Pro" w:hAnsi="Avenir Next LT Pro" w:cs="TimesNewRomanPS-BoldMT"/>
                <w:b/>
                <w:bCs/>
                <w:sz w:val="24"/>
                <w:szCs w:val="24"/>
              </w:rPr>
            </w:pPr>
          </w:p>
        </w:tc>
      </w:tr>
      <w:tr w:rsidR="00CD140D" w:rsidRPr="00EB7435" w14:paraId="5DB422A8" w14:textId="77777777" w:rsidTr="00CD140D">
        <w:tc>
          <w:tcPr>
            <w:tcW w:w="4531" w:type="dxa"/>
          </w:tcPr>
          <w:p w14:paraId="5E0298AD" w14:textId="208D1B6F"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Byggnadsnämndens diarienummer</w:t>
            </w:r>
          </w:p>
        </w:tc>
        <w:tc>
          <w:tcPr>
            <w:tcW w:w="4531" w:type="dxa"/>
          </w:tcPr>
          <w:p w14:paraId="24A80AD4" w14:textId="6A2EB5F5" w:rsidR="00CD140D" w:rsidRPr="005F0B01" w:rsidRDefault="005F0B01" w:rsidP="00CD140D">
            <w:pPr>
              <w:autoSpaceDE w:val="0"/>
              <w:autoSpaceDN w:val="0"/>
              <w:adjustRightInd w:val="0"/>
              <w:rPr>
                <w:rFonts w:ascii="Avenir Next LT Pro" w:hAnsi="Avenir Next LT Pro" w:cs="TimesNewRomanPS-BoldMT"/>
                <w:sz w:val="24"/>
                <w:szCs w:val="24"/>
              </w:rPr>
            </w:pPr>
            <w:r w:rsidRPr="005F0B01">
              <w:rPr>
                <w:rFonts w:ascii="Avenir Next LT Pro" w:hAnsi="Avenir Next LT Pro" w:cs="TimesNewRomanPS-BoldMT"/>
                <w:sz w:val="24"/>
                <w:szCs w:val="24"/>
              </w:rPr>
              <w:t>P1</w:t>
            </w:r>
            <w:r w:rsidR="004A1072">
              <w:rPr>
                <w:rFonts w:ascii="Avenir Next LT Pro" w:hAnsi="Avenir Next LT Pro" w:cs="TimesNewRomanPS-BoldMT"/>
                <w:sz w:val="24"/>
                <w:szCs w:val="24"/>
              </w:rPr>
              <w:t>8</w:t>
            </w:r>
            <w:r w:rsidRPr="005F0B01">
              <w:rPr>
                <w:rFonts w:ascii="Avenir Next LT Pro" w:hAnsi="Avenir Next LT Pro" w:cs="TimesNewRomanPS-BoldMT"/>
                <w:sz w:val="24"/>
                <w:szCs w:val="24"/>
              </w:rPr>
              <w:t>-1</w:t>
            </w:r>
            <w:r w:rsidR="004A1072">
              <w:rPr>
                <w:rFonts w:ascii="Avenir Next LT Pro" w:hAnsi="Avenir Next LT Pro" w:cs="TimesNewRomanPS-BoldMT"/>
                <w:sz w:val="24"/>
                <w:szCs w:val="24"/>
              </w:rPr>
              <w:t>4</w:t>
            </w:r>
          </w:p>
        </w:tc>
      </w:tr>
      <w:tr w:rsidR="00CD140D" w:rsidRPr="00EB7435" w14:paraId="0D093868" w14:textId="77777777" w:rsidTr="00CD140D">
        <w:tc>
          <w:tcPr>
            <w:tcW w:w="4531" w:type="dxa"/>
          </w:tcPr>
          <w:p w14:paraId="6F2E0040" w14:textId="6163F7E8"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Upprättad</w:t>
            </w:r>
            <w:r w:rsidR="008215B9">
              <w:rPr>
                <w:rFonts w:ascii="Avenir Next LT Pro" w:hAnsi="Avenir Next LT Pro" w:cs="TimesNewRomanPS-BoldMT"/>
                <w:sz w:val="24"/>
                <w:szCs w:val="24"/>
              </w:rPr>
              <w:t xml:space="preserve"> (planbesked)</w:t>
            </w:r>
          </w:p>
        </w:tc>
        <w:tc>
          <w:tcPr>
            <w:tcW w:w="4531" w:type="dxa"/>
          </w:tcPr>
          <w:p w14:paraId="52CC91FB" w14:textId="710D5D34" w:rsidR="00CD140D" w:rsidRPr="005F0B01" w:rsidRDefault="005F0B01" w:rsidP="00CD140D">
            <w:pPr>
              <w:autoSpaceDE w:val="0"/>
              <w:autoSpaceDN w:val="0"/>
              <w:adjustRightInd w:val="0"/>
              <w:rPr>
                <w:rFonts w:ascii="Avenir Next LT Pro" w:hAnsi="Avenir Next LT Pro" w:cs="TimesNewRomanPS-BoldMT"/>
                <w:sz w:val="24"/>
                <w:szCs w:val="24"/>
              </w:rPr>
            </w:pPr>
            <w:r w:rsidRPr="005F0B01">
              <w:rPr>
                <w:rFonts w:ascii="Avenir Next LT Pro" w:hAnsi="Avenir Next LT Pro" w:cs="TimesNewRomanPS-BoldMT"/>
                <w:sz w:val="24"/>
                <w:szCs w:val="24"/>
              </w:rPr>
              <w:t>201</w:t>
            </w:r>
            <w:r w:rsidR="008215B9">
              <w:rPr>
                <w:rFonts w:ascii="Avenir Next LT Pro" w:hAnsi="Avenir Next LT Pro" w:cs="TimesNewRomanPS-BoldMT"/>
                <w:sz w:val="24"/>
                <w:szCs w:val="24"/>
              </w:rPr>
              <w:t>6</w:t>
            </w:r>
            <w:r w:rsidRPr="005F0B01">
              <w:rPr>
                <w:rFonts w:ascii="Avenir Next LT Pro" w:hAnsi="Avenir Next LT Pro" w:cs="TimesNewRomanPS-BoldMT"/>
                <w:sz w:val="24"/>
                <w:szCs w:val="24"/>
              </w:rPr>
              <w:t>-</w:t>
            </w:r>
            <w:r w:rsidR="008215B9">
              <w:rPr>
                <w:rFonts w:ascii="Avenir Next LT Pro" w:hAnsi="Avenir Next LT Pro" w:cs="TimesNewRomanPS-BoldMT"/>
                <w:sz w:val="24"/>
                <w:szCs w:val="24"/>
              </w:rPr>
              <w:t>12</w:t>
            </w:r>
            <w:r w:rsidRPr="005F0B01">
              <w:rPr>
                <w:rFonts w:ascii="Avenir Next LT Pro" w:hAnsi="Avenir Next LT Pro" w:cs="TimesNewRomanPS-BoldMT"/>
                <w:sz w:val="24"/>
                <w:szCs w:val="24"/>
              </w:rPr>
              <w:t>-</w:t>
            </w:r>
            <w:r w:rsidR="008215B9">
              <w:rPr>
                <w:rFonts w:ascii="Avenir Next LT Pro" w:hAnsi="Avenir Next LT Pro" w:cs="TimesNewRomanPS-BoldMT"/>
                <w:sz w:val="24"/>
                <w:szCs w:val="24"/>
              </w:rPr>
              <w:t>20</w:t>
            </w:r>
          </w:p>
        </w:tc>
      </w:tr>
      <w:tr w:rsidR="00CD140D" w:rsidRPr="00EB7435" w14:paraId="04BC562B" w14:textId="77777777" w:rsidTr="00CD140D">
        <w:tc>
          <w:tcPr>
            <w:tcW w:w="4531" w:type="dxa"/>
          </w:tcPr>
          <w:p w14:paraId="62A27759" w14:textId="2A933CA3"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Antagen</w:t>
            </w:r>
          </w:p>
        </w:tc>
        <w:tc>
          <w:tcPr>
            <w:tcW w:w="4531" w:type="dxa"/>
          </w:tcPr>
          <w:p w14:paraId="0DC975E4" w14:textId="4EB90D37" w:rsidR="00CD140D" w:rsidRPr="005F0B01" w:rsidRDefault="005F0B01" w:rsidP="00CD140D">
            <w:pPr>
              <w:autoSpaceDE w:val="0"/>
              <w:autoSpaceDN w:val="0"/>
              <w:adjustRightInd w:val="0"/>
              <w:rPr>
                <w:rFonts w:ascii="Avenir Next LT Pro" w:hAnsi="Avenir Next LT Pro" w:cs="TimesNewRomanPS-BoldMT"/>
                <w:sz w:val="24"/>
                <w:szCs w:val="24"/>
              </w:rPr>
            </w:pPr>
            <w:r w:rsidRPr="005F0B01">
              <w:rPr>
                <w:rFonts w:ascii="Avenir Next LT Pro" w:hAnsi="Avenir Next LT Pro" w:cs="TimesNewRomanPS-BoldMT"/>
                <w:sz w:val="24"/>
                <w:szCs w:val="24"/>
              </w:rPr>
              <w:t>201</w:t>
            </w:r>
            <w:r w:rsidR="004A1072">
              <w:rPr>
                <w:rFonts w:ascii="Avenir Next LT Pro" w:hAnsi="Avenir Next LT Pro" w:cs="TimesNewRomanPS-BoldMT"/>
                <w:sz w:val="24"/>
                <w:szCs w:val="24"/>
              </w:rPr>
              <w:t>8</w:t>
            </w:r>
            <w:r w:rsidRPr="005F0B01">
              <w:rPr>
                <w:rFonts w:ascii="Avenir Next LT Pro" w:hAnsi="Avenir Next LT Pro" w:cs="TimesNewRomanPS-BoldMT"/>
                <w:sz w:val="24"/>
                <w:szCs w:val="24"/>
              </w:rPr>
              <w:t>-</w:t>
            </w:r>
            <w:r w:rsidR="004A1072">
              <w:rPr>
                <w:rFonts w:ascii="Avenir Next LT Pro" w:hAnsi="Avenir Next LT Pro" w:cs="TimesNewRomanPS-BoldMT"/>
                <w:sz w:val="24"/>
                <w:szCs w:val="24"/>
              </w:rPr>
              <w:t>02</w:t>
            </w:r>
            <w:r w:rsidRPr="005F0B01">
              <w:rPr>
                <w:rFonts w:ascii="Avenir Next LT Pro" w:hAnsi="Avenir Next LT Pro" w:cs="TimesNewRomanPS-BoldMT"/>
                <w:sz w:val="24"/>
                <w:szCs w:val="24"/>
              </w:rPr>
              <w:t>-</w:t>
            </w:r>
            <w:r w:rsidR="004A1072">
              <w:rPr>
                <w:rFonts w:ascii="Avenir Next LT Pro" w:hAnsi="Avenir Next LT Pro" w:cs="TimesNewRomanPS-BoldMT"/>
                <w:sz w:val="24"/>
                <w:szCs w:val="24"/>
              </w:rPr>
              <w:t>27</w:t>
            </w:r>
          </w:p>
        </w:tc>
      </w:tr>
      <w:tr w:rsidR="00CD140D" w:rsidRPr="00EB7435" w14:paraId="3B3BCF63" w14:textId="77777777" w:rsidTr="00CD140D">
        <w:tc>
          <w:tcPr>
            <w:tcW w:w="4531" w:type="dxa"/>
          </w:tcPr>
          <w:p w14:paraId="484254C9" w14:textId="3D78DBBF"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Laga kraft</w:t>
            </w:r>
          </w:p>
        </w:tc>
        <w:tc>
          <w:tcPr>
            <w:tcW w:w="4531" w:type="dxa"/>
          </w:tcPr>
          <w:p w14:paraId="33BB8075" w14:textId="58A70052" w:rsidR="00CD140D" w:rsidRPr="005F0B01" w:rsidRDefault="005F0B01" w:rsidP="00CD140D">
            <w:pPr>
              <w:autoSpaceDE w:val="0"/>
              <w:autoSpaceDN w:val="0"/>
              <w:adjustRightInd w:val="0"/>
              <w:rPr>
                <w:rFonts w:ascii="Avenir Next LT Pro" w:hAnsi="Avenir Next LT Pro" w:cs="TimesNewRomanPS-BoldMT"/>
                <w:sz w:val="24"/>
                <w:szCs w:val="24"/>
              </w:rPr>
            </w:pPr>
            <w:r w:rsidRPr="005F0B01">
              <w:rPr>
                <w:rFonts w:ascii="Avenir Next LT Pro" w:hAnsi="Avenir Next LT Pro" w:cs="TimesNewRomanPS-BoldMT"/>
                <w:sz w:val="24"/>
                <w:szCs w:val="24"/>
              </w:rPr>
              <w:t>201</w:t>
            </w:r>
            <w:r w:rsidR="004A1072">
              <w:rPr>
                <w:rFonts w:ascii="Avenir Next LT Pro" w:hAnsi="Avenir Next LT Pro" w:cs="TimesNewRomanPS-BoldMT"/>
                <w:sz w:val="24"/>
                <w:szCs w:val="24"/>
              </w:rPr>
              <w:t>8</w:t>
            </w:r>
            <w:r w:rsidRPr="005F0B01">
              <w:rPr>
                <w:rFonts w:ascii="Avenir Next LT Pro" w:hAnsi="Avenir Next LT Pro" w:cs="TimesNewRomanPS-BoldMT"/>
                <w:sz w:val="24"/>
                <w:szCs w:val="24"/>
              </w:rPr>
              <w:t>-0</w:t>
            </w:r>
            <w:r w:rsidR="004A1072">
              <w:rPr>
                <w:rFonts w:ascii="Avenir Next LT Pro" w:hAnsi="Avenir Next LT Pro" w:cs="TimesNewRomanPS-BoldMT"/>
                <w:sz w:val="24"/>
                <w:szCs w:val="24"/>
              </w:rPr>
              <w:t>3</w:t>
            </w:r>
            <w:r w:rsidRPr="005F0B01">
              <w:rPr>
                <w:rFonts w:ascii="Avenir Next LT Pro" w:hAnsi="Avenir Next LT Pro" w:cs="TimesNewRomanPS-BoldMT"/>
                <w:sz w:val="24"/>
                <w:szCs w:val="24"/>
              </w:rPr>
              <w:t>-</w:t>
            </w:r>
            <w:r w:rsidR="004A1072">
              <w:rPr>
                <w:rFonts w:ascii="Avenir Next LT Pro" w:hAnsi="Avenir Next LT Pro" w:cs="TimesNewRomanPS-BoldMT"/>
                <w:sz w:val="24"/>
                <w:szCs w:val="24"/>
              </w:rPr>
              <w:t>23</w:t>
            </w:r>
          </w:p>
        </w:tc>
      </w:tr>
    </w:tbl>
    <w:p w14:paraId="173527FF" w14:textId="77777777" w:rsidR="00EB7435" w:rsidRDefault="00EB7435" w:rsidP="00EB7435">
      <w:pPr>
        <w:autoSpaceDE w:val="0"/>
        <w:autoSpaceDN w:val="0"/>
        <w:adjustRightInd w:val="0"/>
        <w:spacing w:after="0" w:line="240" w:lineRule="auto"/>
        <w:rPr>
          <w:rFonts w:ascii="Avenir Next LT Pro" w:hAnsi="Avenir Next LT Pro" w:cs="TimesNewRomanPSMT"/>
          <w:sz w:val="24"/>
          <w:szCs w:val="24"/>
        </w:rPr>
      </w:pPr>
    </w:p>
    <w:p w14:paraId="0AC30EDD" w14:textId="77777777" w:rsidR="00FD010B" w:rsidRPr="00EB7435" w:rsidRDefault="00FD010B" w:rsidP="00FD010B">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 xml:space="preserve">Originalhandlingar är ritade enligt planbestämmelsekatalog: </w:t>
      </w:r>
      <w:proofErr w:type="gramStart"/>
      <w:r>
        <w:rPr>
          <w:rFonts w:ascii="Avenir Next LT Pro" w:hAnsi="Avenir Next LT Pro" w:cs="TimesNewRomanPSMT"/>
          <w:sz w:val="24"/>
          <w:szCs w:val="24"/>
        </w:rPr>
        <w:t>2015-2020</w:t>
      </w:r>
      <w:proofErr w:type="gramEnd"/>
    </w:p>
    <w:p w14:paraId="781DE2F6" w14:textId="40DDF83C" w:rsidR="00FD010B" w:rsidRPr="00EB7435" w:rsidRDefault="00FD010B" w:rsidP="00FD010B">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Tolkade handlingar är ritade enligt planbestämmelsekatalog: 202</w:t>
      </w:r>
      <w:r w:rsidR="00E25667">
        <w:rPr>
          <w:rFonts w:ascii="Avenir Next LT Pro" w:hAnsi="Avenir Next LT Pro" w:cs="TimesNewRomanPSMT"/>
          <w:sz w:val="24"/>
          <w:szCs w:val="24"/>
        </w:rPr>
        <w:t>4</w:t>
      </w:r>
      <w:r w:rsidRPr="00EB7435">
        <w:rPr>
          <w:rFonts w:ascii="Avenir Next LT Pro" w:hAnsi="Avenir Next LT Pro" w:cs="TimesNewRomanPSMT"/>
          <w:sz w:val="24"/>
          <w:szCs w:val="24"/>
        </w:rPr>
        <w:t>-</w:t>
      </w:r>
      <w:r w:rsidR="00E25667">
        <w:rPr>
          <w:rFonts w:ascii="Avenir Next LT Pro" w:hAnsi="Avenir Next LT Pro" w:cs="TimesNewRomanPSMT"/>
          <w:sz w:val="24"/>
          <w:szCs w:val="24"/>
        </w:rPr>
        <w:t>05</w:t>
      </w:r>
      <w:r w:rsidRPr="00EB7435">
        <w:rPr>
          <w:rFonts w:ascii="Avenir Next LT Pro" w:hAnsi="Avenir Next LT Pro" w:cs="TimesNewRomanPSMT"/>
          <w:sz w:val="24"/>
          <w:szCs w:val="24"/>
        </w:rPr>
        <w:t>-</w:t>
      </w:r>
      <w:r w:rsidR="00E25667">
        <w:rPr>
          <w:rFonts w:ascii="Avenir Next LT Pro" w:hAnsi="Avenir Next LT Pro" w:cs="TimesNewRomanPSMT"/>
          <w:sz w:val="24"/>
          <w:szCs w:val="24"/>
        </w:rPr>
        <w:t>02</w:t>
      </w:r>
      <w:r w:rsidRPr="00EB7435">
        <w:rPr>
          <w:rFonts w:ascii="Avenir Next LT Pro" w:hAnsi="Avenir Next LT Pro" w:cs="TimesNewRomanPSMT"/>
          <w:sz w:val="24"/>
          <w:szCs w:val="24"/>
        </w:rPr>
        <w:t xml:space="preserve"> och</w:t>
      </w:r>
    </w:p>
    <w:p w14:paraId="2D98FDCA" w14:textId="77777777" w:rsidR="00FD010B" w:rsidRPr="00EB7435" w:rsidRDefault="00FD010B" w:rsidP="00FD010B">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framåt.</w:t>
      </w:r>
    </w:p>
    <w:p w14:paraId="614D0320" w14:textId="6063C09F" w:rsidR="00FD010B" w:rsidRPr="00EB7435" w:rsidRDefault="00FD010B" w:rsidP="00FD010B">
      <w:pPr>
        <w:rPr>
          <w:rFonts w:ascii="Avenir Next LT Pro" w:hAnsi="Avenir Next LT Pro"/>
        </w:rPr>
      </w:pPr>
      <w:r w:rsidRPr="00EB7435">
        <w:rPr>
          <w:rFonts w:ascii="Avenir Next LT Pro" w:hAnsi="Avenir Next LT Pro" w:cs="TimesNewRomanPSMT"/>
          <w:sz w:val="24"/>
          <w:szCs w:val="24"/>
        </w:rPr>
        <w:t xml:space="preserve">Detaljplanens genomförandetid är </w:t>
      </w:r>
      <w:r w:rsidR="005B6B42">
        <w:rPr>
          <w:rFonts w:ascii="Avenir Next LT Pro" w:hAnsi="Avenir Next LT Pro" w:cs="TimesNewRomanPSMT"/>
          <w:sz w:val="24"/>
          <w:szCs w:val="24"/>
        </w:rPr>
        <w:t>5</w:t>
      </w:r>
      <w:r w:rsidRPr="005F0B01">
        <w:rPr>
          <w:rFonts w:ascii="Avenir Next LT Pro" w:hAnsi="Avenir Next LT Pro" w:cs="TimesNewRomanPSMT"/>
          <w:sz w:val="24"/>
          <w:szCs w:val="24"/>
        </w:rPr>
        <w:t xml:space="preserve"> år.</w:t>
      </w:r>
      <w:r>
        <w:rPr>
          <w:rFonts w:ascii="Avenir Next LT Pro" w:hAnsi="Avenir Next LT Pro" w:cs="TimesNewRomanPSMT"/>
          <w:sz w:val="24"/>
          <w:szCs w:val="24"/>
        </w:rPr>
        <w:t xml:space="preserve"> Genomförandetiden gäller </w:t>
      </w:r>
      <w:r w:rsidR="005B6B42">
        <w:rPr>
          <w:rFonts w:ascii="Avenir Next LT Pro" w:hAnsi="Avenir Next LT Pro" w:cs="TimesNewRomanPSMT"/>
          <w:sz w:val="24"/>
          <w:szCs w:val="24"/>
        </w:rPr>
        <w:t>inte längre</w:t>
      </w:r>
      <w:r>
        <w:rPr>
          <w:rFonts w:ascii="Avenir Next LT Pro" w:hAnsi="Avenir Next LT Pro" w:cs="TimesNewRomanPSMT"/>
          <w:sz w:val="24"/>
          <w:szCs w:val="24"/>
        </w:rPr>
        <w:t>.</w:t>
      </w:r>
    </w:p>
    <w:p w14:paraId="627DCD2C" w14:textId="3427E510" w:rsidR="00FD010B" w:rsidRDefault="0074053A" w:rsidP="00FD010B">
      <w:pPr>
        <w:rPr>
          <w:rFonts w:ascii="Avenir Next LT Pro" w:hAnsi="Avenir Next LT Pro"/>
        </w:rPr>
      </w:pPr>
      <w:r w:rsidRPr="0074053A">
        <w:rPr>
          <w:rFonts w:ascii="Avenir Next LT Pro" w:hAnsi="Avenir Next LT Pro"/>
        </w:rPr>
        <w:drawing>
          <wp:inline distT="0" distB="0" distL="0" distR="0" wp14:anchorId="798B59A5" wp14:editId="61A0616D">
            <wp:extent cx="5760720" cy="4111625"/>
            <wp:effectExtent l="0" t="0" r="0" b="3175"/>
            <wp:docPr id="1135918297" name="Bildobjekt 1" descr="En bild som visar text, diagram, Plan, Parallell&#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918297" name="Bildobjekt 1" descr="En bild som visar text, diagram, Plan, Parallell&#10;&#10;AI-genererat innehåll kan vara felaktigt."/>
                    <pic:cNvPicPr/>
                  </pic:nvPicPr>
                  <pic:blipFill>
                    <a:blip r:embed="rId5"/>
                    <a:stretch>
                      <a:fillRect/>
                    </a:stretch>
                  </pic:blipFill>
                  <pic:spPr>
                    <a:xfrm>
                      <a:off x="0" y="0"/>
                      <a:ext cx="5760720" cy="4111625"/>
                    </a:xfrm>
                    <a:prstGeom prst="rect">
                      <a:avLst/>
                    </a:prstGeom>
                  </pic:spPr>
                </pic:pic>
              </a:graphicData>
            </a:graphic>
          </wp:inline>
        </w:drawing>
      </w:r>
    </w:p>
    <w:p w14:paraId="0F34F611" w14:textId="77777777" w:rsidR="00FD010B" w:rsidRPr="0041776C" w:rsidRDefault="00FD010B" w:rsidP="00FD010B">
      <w:pPr>
        <w:rPr>
          <w:rFonts w:ascii="Avenir Next LT Pro" w:hAnsi="Avenir Next LT Pro"/>
          <w:i/>
          <w:iCs/>
        </w:rPr>
      </w:pPr>
      <w:r w:rsidRPr="0041776C">
        <w:rPr>
          <w:rFonts w:ascii="Avenir Next LT Pro" w:hAnsi="Avenir Next LT Pro"/>
          <w:i/>
          <w:iCs/>
        </w:rPr>
        <w:t>Bild som föreställer den aktuella plankartan.</w:t>
      </w:r>
    </w:p>
    <w:p w14:paraId="7DD09EEC" w14:textId="77777777" w:rsidR="00FD010B" w:rsidRDefault="00FD010B" w:rsidP="00FD010B">
      <w:pPr>
        <w:autoSpaceDE w:val="0"/>
        <w:autoSpaceDN w:val="0"/>
        <w:adjustRightInd w:val="0"/>
        <w:spacing w:after="0" w:line="240" w:lineRule="auto"/>
        <w:rPr>
          <w:rFonts w:ascii="Avenir Next LT Pro" w:hAnsi="Avenir Next LT Pro" w:cs="Arial-BoldMT"/>
          <w:b/>
          <w:bCs/>
          <w:sz w:val="24"/>
          <w:szCs w:val="24"/>
        </w:rPr>
      </w:pPr>
    </w:p>
    <w:p w14:paraId="3D8B4A7A" w14:textId="77777777" w:rsidR="009B0BB1" w:rsidRDefault="009B0BB1" w:rsidP="00FD010B">
      <w:pPr>
        <w:autoSpaceDE w:val="0"/>
        <w:autoSpaceDN w:val="0"/>
        <w:adjustRightInd w:val="0"/>
        <w:spacing w:after="0" w:line="240" w:lineRule="auto"/>
        <w:rPr>
          <w:rFonts w:ascii="Avenir Next LT Pro" w:hAnsi="Avenir Next LT Pro" w:cs="Arial-BoldMT"/>
          <w:b/>
          <w:bCs/>
          <w:sz w:val="24"/>
          <w:szCs w:val="24"/>
        </w:rPr>
      </w:pPr>
    </w:p>
    <w:p w14:paraId="476DBF24" w14:textId="77777777" w:rsidR="00FD010B" w:rsidRPr="00EB7435" w:rsidRDefault="00FD010B" w:rsidP="00FD010B">
      <w:pPr>
        <w:autoSpaceDE w:val="0"/>
        <w:autoSpaceDN w:val="0"/>
        <w:adjustRightInd w:val="0"/>
        <w:spacing w:after="0" w:line="240" w:lineRule="auto"/>
        <w:rPr>
          <w:rFonts w:ascii="Avenir Next LT Pro" w:hAnsi="Avenir Next LT Pro" w:cs="Arial-BoldMT"/>
          <w:b/>
          <w:bCs/>
          <w:sz w:val="24"/>
          <w:szCs w:val="24"/>
        </w:rPr>
      </w:pPr>
      <w:r w:rsidRPr="00EB7435">
        <w:rPr>
          <w:rFonts w:ascii="Avenir Next LT Pro" w:hAnsi="Avenir Next LT Pro" w:cs="Arial-BoldMT"/>
          <w:b/>
          <w:bCs/>
          <w:sz w:val="24"/>
          <w:szCs w:val="24"/>
        </w:rPr>
        <w:lastRenderedPageBreak/>
        <w:t>Syfte</w:t>
      </w:r>
    </w:p>
    <w:p w14:paraId="6BDD4E38" w14:textId="0ECC4E65" w:rsidR="00FD010B" w:rsidRPr="00EB7435" w:rsidRDefault="0074053A" w:rsidP="00FD010B">
      <w:pPr>
        <w:rPr>
          <w:rFonts w:ascii="Avenir Next LT Pro" w:hAnsi="Avenir Next LT Pro" w:cs="TimesNewRomanPSMT"/>
          <w:sz w:val="24"/>
          <w:szCs w:val="24"/>
        </w:rPr>
      </w:pPr>
      <w:r w:rsidRPr="0074053A">
        <w:rPr>
          <w:rFonts w:ascii="Avenir Next LT Pro" w:hAnsi="Avenir Next LT Pro" w:cs="TimesNewRomanPSMT"/>
          <w:sz w:val="24"/>
          <w:szCs w:val="24"/>
        </w:rPr>
        <w:t>Syftet med detaljplanen är att skapa förutsättningar för fler bostäder eller kontor inom fastigheten genom att uppföra en ny byggnad på gården. Detaljplanen innehåller även varsamhetsbestämmelser för den befintliga huvudbyggnaden.</w:t>
      </w:r>
      <w:r w:rsidR="00FD010B">
        <w:rPr>
          <w:rFonts w:ascii="Avenir Next LT Pro" w:hAnsi="Avenir Next LT Pro" w:cs="TimesNewRomanPSMT"/>
          <w:sz w:val="24"/>
          <w:szCs w:val="24"/>
        </w:rPr>
        <w:br/>
      </w:r>
    </w:p>
    <w:p w14:paraId="240EB78D" w14:textId="77777777" w:rsidR="00FD010B" w:rsidRPr="00582938" w:rsidRDefault="00FD010B" w:rsidP="00FD010B">
      <w:pPr>
        <w:autoSpaceDE w:val="0"/>
        <w:autoSpaceDN w:val="0"/>
        <w:adjustRightInd w:val="0"/>
        <w:spacing w:after="0" w:line="240" w:lineRule="auto"/>
        <w:rPr>
          <w:rFonts w:ascii="Avenir Next LT Pro" w:hAnsi="Avenir Next LT Pro" w:cs="Arial-BoldMT"/>
          <w:b/>
          <w:bCs/>
          <w:sz w:val="24"/>
          <w:szCs w:val="24"/>
        </w:rPr>
      </w:pPr>
      <w:r w:rsidRPr="00582938">
        <w:rPr>
          <w:rFonts w:ascii="Avenir Next LT Pro" w:hAnsi="Avenir Next LT Pro" w:cs="Arial-BoldMT"/>
          <w:b/>
          <w:bCs/>
          <w:sz w:val="24"/>
          <w:szCs w:val="24"/>
        </w:rPr>
        <w:t>Gränser &amp; allmän info</w:t>
      </w:r>
    </w:p>
    <w:p w14:paraId="63A463C7" w14:textId="77777777" w:rsidR="00FD010B" w:rsidRPr="00582938" w:rsidRDefault="00FD010B" w:rsidP="00FD010B">
      <w:pPr>
        <w:rPr>
          <w:rFonts w:ascii="Avenir Next LT Pro" w:hAnsi="Avenir Next LT Pro" w:cs="TimesNewRomanPSMT"/>
          <w:sz w:val="24"/>
          <w:szCs w:val="24"/>
        </w:rPr>
      </w:pPr>
      <w:r w:rsidRPr="00582938">
        <w:rPr>
          <w:rFonts w:ascii="Avenir Next LT Pro" w:hAnsi="Avenir Next LT Pro" w:cs="TimesNewRomanPSMT"/>
          <w:sz w:val="24"/>
          <w:szCs w:val="24"/>
        </w:rPr>
        <w:t>I och med att detaljplanen är upprättad enligt en relativt ny planbestämmelsekatalog har få tolkningar gjorts. Fastighetsgränser är av hög kvalitet. Gränserna i plankartan är ritade digitalt med hög kvalitet och innebörden av i princip samtliga bestämmelser är intakta. Bestämmelserna betyder helt enkelt samma sak idag och planen är ritad korrekt enligt fastställda gränser. Inga gränser har behövt korrigeras. Inga bestämmelser har exkluderats från den digitala plantolkningen.</w:t>
      </w:r>
    </w:p>
    <w:p w14:paraId="477D1173" w14:textId="77777777" w:rsidR="00582938" w:rsidRDefault="00582938" w:rsidP="00FD010B">
      <w:pPr>
        <w:autoSpaceDE w:val="0"/>
        <w:autoSpaceDN w:val="0"/>
        <w:adjustRightInd w:val="0"/>
        <w:spacing w:after="0" w:line="240" w:lineRule="auto"/>
        <w:rPr>
          <w:rFonts w:ascii="Avenir Next LT Pro" w:hAnsi="Avenir Next LT Pro" w:cs="TimesNewRomanPSMT"/>
          <w:color w:val="FF0000"/>
          <w:sz w:val="24"/>
          <w:szCs w:val="24"/>
        </w:rPr>
      </w:pPr>
    </w:p>
    <w:p w14:paraId="1DCBDBBA" w14:textId="15465D7C" w:rsidR="00FD010B" w:rsidRPr="00DC4796" w:rsidRDefault="00FD010B" w:rsidP="00FD010B">
      <w:pPr>
        <w:autoSpaceDE w:val="0"/>
        <w:autoSpaceDN w:val="0"/>
        <w:adjustRightInd w:val="0"/>
        <w:spacing w:after="0" w:line="240" w:lineRule="auto"/>
        <w:rPr>
          <w:rFonts w:ascii="Avenir Next LT Pro" w:hAnsi="Avenir Next LT Pro" w:cs="Arial-BoldMT"/>
          <w:b/>
          <w:bCs/>
          <w:sz w:val="24"/>
          <w:szCs w:val="24"/>
        </w:rPr>
      </w:pPr>
      <w:r w:rsidRPr="00DC4796">
        <w:rPr>
          <w:rFonts w:ascii="Avenir Next LT Pro" w:hAnsi="Avenir Next LT Pro" w:cs="Arial-BoldMT"/>
          <w:b/>
          <w:bCs/>
          <w:sz w:val="24"/>
          <w:szCs w:val="24"/>
        </w:rPr>
        <w:t>Markanvändning</w:t>
      </w:r>
    </w:p>
    <w:p w14:paraId="023BE2FE" w14:textId="77777777" w:rsidR="00924F41" w:rsidRDefault="00924F41" w:rsidP="00924F41">
      <w:pPr>
        <w:pStyle w:val="Liststycke"/>
        <w:numPr>
          <w:ilvl w:val="0"/>
          <w:numId w:val="5"/>
        </w:numPr>
        <w:rPr>
          <w:rFonts w:ascii="Avenir Next LT Pro" w:hAnsi="Avenir Next LT Pro" w:cs="TimesNewRomanPSMT"/>
          <w:sz w:val="24"/>
          <w:szCs w:val="24"/>
        </w:rPr>
      </w:pPr>
      <w:r w:rsidRPr="00DC4796">
        <w:rPr>
          <w:rFonts w:ascii="Avenir Next LT Pro" w:hAnsi="Avenir Next LT Pro" w:cs="TimesNewRomanPSMT"/>
          <w:i/>
          <w:iCs/>
          <w:sz w:val="24"/>
          <w:szCs w:val="24"/>
        </w:rPr>
        <w:t>Bostäder</w:t>
      </w:r>
      <w:r w:rsidRPr="00DC4796">
        <w:rPr>
          <w:rFonts w:ascii="Avenir Next LT Pro" w:hAnsi="Avenir Next LT Pro" w:cs="TimesNewRomanPSMT"/>
          <w:sz w:val="24"/>
          <w:szCs w:val="24"/>
        </w:rPr>
        <w:t xml:space="preserve"> (B): Markanvändningen tolkas som </w:t>
      </w:r>
      <w:r w:rsidRPr="00DC4796">
        <w:rPr>
          <w:rFonts w:ascii="Avenir Next LT Pro" w:hAnsi="Avenir Next LT Pro" w:cs="TimesNewRomanPSMT"/>
          <w:i/>
          <w:iCs/>
          <w:sz w:val="24"/>
          <w:szCs w:val="24"/>
        </w:rPr>
        <w:t>Bostäder</w:t>
      </w:r>
      <w:r w:rsidRPr="00DC4796">
        <w:rPr>
          <w:rFonts w:ascii="Avenir Next LT Pro" w:hAnsi="Avenir Next LT Pro" w:cs="TimesNewRomanPSMT"/>
          <w:sz w:val="24"/>
          <w:szCs w:val="24"/>
        </w:rPr>
        <w:t xml:space="preserve">. Under tidsperioden då planen togs fram omfattade användningen alla typer av boende med varaktig karaktär, såsom vanliga bostäder, fritidshus, studentbostäder, seniorboenden, grupp- och träningsbostäder, förutsatt att vårdinslaget inte är dominerande. Både en- och flerbostadshus tillåts, liksom bostadskomplement som garage, parkering, lekplats, tvättstuga, miljöhus och i viss mån förskola i flerbostadshus. Det är tillåtet att i mindre omfattning bedriva verksamhet inom bostaden, exempelvis kontor, så länge omgivningspåverkan inte överstiger vad som är normalt för boende. Hotell, vandrarhem och lägenhetshotell ingår </w:t>
      </w:r>
      <w:r w:rsidRPr="00DC4796">
        <w:rPr>
          <w:rFonts w:ascii="Avenir Next LT Pro" w:hAnsi="Avenir Next LT Pro" w:cs="TimesNewRomanPSMT"/>
          <w:b/>
          <w:bCs/>
          <w:sz w:val="24"/>
          <w:szCs w:val="24"/>
        </w:rPr>
        <w:t>inte</w:t>
      </w:r>
      <w:r w:rsidRPr="00DC4796">
        <w:rPr>
          <w:rFonts w:ascii="Avenir Next LT Pro" w:hAnsi="Avenir Next LT Pro" w:cs="TimesNewRomanPSMT"/>
          <w:sz w:val="24"/>
          <w:szCs w:val="24"/>
        </w:rPr>
        <w:t>, då de räknas som tillfällig vistelse, och omfattande vårdverksamhet (som vårdboende) faller utanför användningen bostäder. Alla bostads- och upplåtelseformer ingår.</w:t>
      </w:r>
    </w:p>
    <w:p w14:paraId="03B811E8" w14:textId="52C4E1E3" w:rsidR="00FD010B" w:rsidRPr="00DC4796" w:rsidRDefault="00DC4796" w:rsidP="00FD010B">
      <w:pPr>
        <w:pStyle w:val="Liststycke"/>
        <w:numPr>
          <w:ilvl w:val="0"/>
          <w:numId w:val="5"/>
        </w:numPr>
        <w:rPr>
          <w:rFonts w:ascii="Avenir Next LT Pro" w:hAnsi="Avenir Next LT Pro" w:cs="TimesNewRomanPSMT"/>
          <w:sz w:val="24"/>
          <w:szCs w:val="24"/>
        </w:rPr>
      </w:pPr>
      <w:r>
        <w:rPr>
          <w:rFonts w:ascii="Avenir Next LT Pro" w:hAnsi="Avenir Next LT Pro" w:cs="TimesNewRomanPSMT"/>
          <w:i/>
          <w:iCs/>
          <w:sz w:val="24"/>
          <w:szCs w:val="24"/>
        </w:rPr>
        <w:t>Kontor</w:t>
      </w:r>
      <w:r>
        <w:rPr>
          <w:rFonts w:ascii="Avenir Next LT Pro" w:hAnsi="Avenir Next LT Pro" w:cs="TimesNewRomanPSMT"/>
          <w:sz w:val="24"/>
          <w:szCs w:val="24"/>
        </w:rPr>
        <w:t xml:space="preserve"> (K): Markanvändningen har tolkats som </w:t>
      </w:r>
      <w:r w:rsidRPr="00DC4796">
        <w:rPr>
          <w:rFonts w:ascii="Avenir Next LT Pro" w:hAnsi="Avenir Next LT Pro" w:cs="TimesNewRomanPSMT"/>
          <w:i/>
          <w:iCs/>
          <w:sz w:val="24"/>
          <w:szCs w:val="24"/>
        </w:rPr>
        <w:t>Kontor</w:t>
      </w:r>
      <w:r>
        <w:rPr>
          <w:rFonts w:ascii="Avenir Next LT Pro" w:hAnsi="Avenir Next LT Pro" w:cs="TimesNewRomanPSMT"/>
          <w:sz w:val="24"/>
          <w:szCs w:val="24"/>
        </w:rPr>
        <w:t xml:space="preserve"> (K). Under tidsperioden då planen togs fram omfattade användningen </w:t>
      </w:r>
      <w:r w:rsidRPr="00DC4796">
        <w:rPr>
          <w:rFonts w:ascii="Avenir Next LT Pro" w:hAnsi="Avenir Next LT Pro" w:cs="TimesNewRomanPSMT"/>
          <w:sz w:val="24"/>
          <w:szCs w:val="24"/>
        </w:rPr>
        <w:t>kontor och tjänsteverksamhet med liten eller ingen varuhantering. Avgörande bör vara att verksamheten inte medför störning av betydelse för omgivningen, till exempel att den saknar utomhusverksamhet och har besöksverksamhet i begränsad utsträckning. I användningen ingår komplement så som konferenslokaler och de personalutrymmen som behövs. Exempel på tjänsteverksamhet med liten eller ingen varuhantering som ingår i användningen är sådan verksamhet som inte är beroende av omfattande besöksverksamhet, det vill säga att tjänster i största möjliga mån utförs utan kundens närvaro. Det kan till exempel handla om advokatbyrå, fastighetsförmedling eller arkitektkontor.</w:t>
      </w:r>
      <w:r>
        <w:rPr>
          <w:rFonts w:ascii="Avenir Next LT Pro" w:hAnsi="Avenir Next LT Pro" w:cs="TimesNewRomanPSMT"/>
          <w:sz w:val="24"/>
          <w:szCs w:val="24"/>
        </w:rPr>
        <w:t xml:space="preserve"> </w:t>
      </w:r>
      <w:r w:rsidRPr="00DC4796">
        <w:rPr>
          <w:rFonts w:ascii="Avenir Next LT Pro" w:hAnsi="Avenir Next LT Pro" w:cs="TimesNewRomanPSMT"/>
          <w:sz w:val="24"/>
          <w:szCs w:val="24"/>
        </w:rPr>
        <w:t>Hotell in</w:t>
      </w:r>
      <w:r>
        <w:rPr>
          <w:rFonts w:ascii="Avenir Next LT Pro" w:hAnsi="Avenir Next LT Pro" w:cs="TimesNewRomanPSMT"/>
          <w:sz w:val="24"/>
          <w:szCs w:val="24"/>
        </w:rPr>
        <w:t>går</w:t>
      </w:r>
      <w:r w:rsidRPr="00DC4796">
        <w:rPr>
          <w:rFonts w:ascii="Avenir Next LT Pro" w:hAnsi="Avenir Next LT Pro" w:cs="TimesNewRomanPSMT"/>
          <w:sz w:val="24"/>
          <w:szCs w:val="24"/>
        </w:rPr>
        <w:t xml:space="preserve"> inte i användningen kontor</w:t>
      </w:r>
      <w:r>
        <w:rPr>
          <w:rFonts w:ascii="Avenir Next LT Pro" w:hAnsi="Avenir Next LT Pro" w:cs="TimesNewRomanPSMT"/>
          <w:sz w:val="24"/>
          <w:szCs w:val="24"/>
        </w:rPr>
        <w:t xml:space="preserve">. </w:t>
      </w:r>
      <w:r w:rsidRPr="00DC4796">
        <w:rPr>
          <w:rFonts w:ascii="Avenir Next LT Pro" w:hAnsi="Avenir Next LT Pro" w:cs="TimesNewRomanPSMT"/>
          <w:sz w:val="24"/>
          <w:szCs w:val="24"/>
        </w:rPr>
        <w:t>Vuxenutbildningar utan behov av friyta utomhus kan ingå i användningen K Kontor. Det kan till exempel röra sig om lokaler för Komvux, trafikskolor, olika kurslokaler eller SFI.</w:t>
      </w:r>
      <w:r w:rsidR="00FD010B" w:rsidRPr="00DC4796">
        <w:rPr>
          <w:rFonts w:ascii="Avenir Next LT Pro" w:hAnsi="Avenir Next LT Pro" w:cs="TimesNewRomanPSMT"/>
          <w:color w:val="FF0000"/>
          <w:sz w:val="24"/>
          <w:szCs w:val="24"/>
        </w:rPr>
        <w:br/>
      </w:r>
    </w:p>
    <w:p w14:paraId="47939253" w14:textId="5C67B402" w:rsidR="00FD010B" w:rsidRPr="007861B4" w:rsidRDefault="007861B4" w:rsidP="00FD010B">
      <w:pPr>
        <w:autoSpaceDE w:val="0"/>
        <w:autoSpaceDN w:val="0"/>
        <w:adjustRightInd w:val="0"/>
        <w:spacing w:after="0" w:line="240" w:lineRule="auto"/>
        <w:rPr>
          <w:rFonts w:ascii="Avenir Next LT Pro" w:hAnsi="Avenir Next LT Pro" w:cs="Arial-BoldMT"/>
          <w:b/>
          <w:bCs/>
          <w:sz w:val="24"/>
          <w:szCs w:val="24"/>
        </w:rPr>
      </w:pPr>
      <w:r w:rsidRPr="007861B4">
        <w:rPr>
          <w:rFonts w:ascii="Avenir Next LT Pro" w:hAnsi="Avenir Next LT Pro" w:cs="Arial-BoldMT"/>
          <w:b/>
          <w:bCs/>
          <w:sz w:val="24"/>
          <w:szCs w:val="24"/>
        </w:rPr>
        <w:lastRenderedPageBreak/>
        <w:t>Bebyggandets omfattning</w:t>
      </w:r>
    </w:p>
    <w:p w14:paraId="4F478708" w14:textId="7D4AC36F" w:rsidR="007861B4" w:rsidRPr="007861B4" w:rsidRDefault="007861B4" w:rsidP="00C248CC">
      <w:pPr>
        <w:spacing w:after="0"/>
        <w:rPr>
          <w:rFonts w:ascii="Avenir Next LT Pro" w:hAnsi="Avenir Next LT Pro" w:cs="TimesNewRomanPSMT"/>
          <w:sz w:val="24"/>
          <w:szCs w:val="24"/>
        </w:rPr>
      </w:pPr>
      <w:r w:rsidRPr="007861B4">
        <w:rPr>
          <w:rFonts w:ascii="Avenir Next LT Pro" w:hAnsi="Avenir Next LT Pro" w:cs="TimesNewRomanPSMT"/>
          <w:sz w:val="24"/>
          <w:szCs w:val="24"/>
        </w:rPr>
        <w:t>Följande bestämmelse</w:t>
      </w:r>
      <w:r w:rsidR="00C248CC">
        <w:rPr>
          <w:rFonts w:ascii="Avenir Next LT Pro" w:hAnsi="Avenir Next LT Pro" w:cs="TimesNewRomanPSMT"/>
          <w:sz w:val="24"/>
          <w:szCs w:val="24"/>
        </w:rPr>
        <w:t>r</w:t>
      </w:r>
      <w:r w:rsidRPr="007861B4">
        <w:rPr>
          <w:rFonts w:ascii="Avenir Next LT Pro" w:hAnsi="Avenir Next LT Pro" w:cs="TimesNewRomanPSMT"/>
          <w:sz w:val="24"/>
          <w:szCs w:val="24"/>
        </w:rPr>
        <w:t xml:space="preserve"> reglerar bebyggandets omfattning:</w:t>
      </w:r>
    </w:p>
    <w:p w14:paraId="6724EF68" w14:textId="6D103856" w:rsidR="007861B4" w:rsidRDefault="007861B4" w:rsidP="00C248CC">
      <w:pPr>
        <w:pStyle w:val="Liststycke"/>
        <w:numPr>
          <w:ilvl w:val="0"/>
          <w:numId w:val="7"/>
        </w:numPr>
        <w:spacing w:after="0"/>
        <w:rPr>
          <w:rFonts w:ascii="Avenir Next LT Pro" w:hAnsi="Avenir Next LT Pro" w:cs="TimesNewRomanPSMT"/>
          <w:i/>
          <w:iCs/>
          <w:sz w:val="24"/>
          <w:szCs w:val="24"/>
        </w:rPr>
      </w:pPr>
      <w:r w:rsidRPr="007861B4">
        <w:rPr>
          <w:rFonts w:ascii="Avenir Next LT Pro" w:hAnsi="Avenir Next LT Pro" w:cs="TimesNewRomanPSMT"/>
          <w:i/>
          <w:iCs/>
          <w:sz w:val="24"/>
          <w:szCs w:val="24"/>
        </w:rPr>
        <w:t>Marken får inte förses med byggnad</w:t>
      </w:r>
    </w:p>
    <w:p w14:paraId="65CA708A" w14:textId="7194CBF1" w:rsidR="00602D14" w:rsidRPr="007861B4" w:rsidRDefault="00602D14" w:rsidP="00C248CC">
      <w:pPr>
        <w:pStyle w:val="Liststycke"/>
        <w:numPr>
          <w:ilvl w:val="0"/>
          <w:numId w:val="7"/>
        </w:numPr>
        <w:spacing w:after="0"/>
        <w:rPr>
          <w:rFonts w:ascii="Avenir Next LT Pro" w:hAnsi="Avenir Next LT Pro" w:cs="TimesNewRomanPSMT"/>
          <w:i/>
          <w:iCs/>
          <w:sz w:val="24"/>
          <w:szCs w:val="24"/>
        </w:rPr>
      </w:pPr>
      <w:r>
        <w:rPr>
          <w:rFonts w:ascii="Avenir Next LT Pro" w:hAnsi="Avenir Next LT Pro" w:cs="TimesNewRomanPSMT"/>
          <w:i/>
          <w:iCs/>
          <w:sz w:val="24"/>
          <w:szCs w:val="24"/>
        </w:rPr>
        <w:t>Högsta nockhöjd i meter över angivet nollplan</w:t>
      </w:r>
    </w:p>
    <w:p w14:paraId="54444484" w14:textId="77777777" w:rsidR="00C248CC" w:rsidRDefault="00C248CC" w:rsidP="00C248CC">
      <w:pPr>
        <w:spacing w:after="0"/>
        <w:rPr>
          <w:rFonts w:ascii="Avenir Next LT Pro" w:hAnsi="Avenir Next LT Pro" w:cs="TimesNewRomanPSMT"/>
          <w:sz w:val="24"/>
          <w:szCs w:val="24"/>
        </w:rPr>
      </w:pPr>
    </w:p>
    <w:p w14:paraId="420055EC" w14:textId="5FEAF84B" w:rsidR="007861B4" w:rsidRPr="007861B4" w:rsidRDefault="007861B4" w:rsidP="00C248CC">
      <w:pPr>
        <w:spacing w:after="0"/>
        <w:rPr>
          <w:rFonts w:ascii="Avenir Next LT Pro" w:hAnsi="Avenir Next LT Pro" w:cs="TimesNewRomanPSMT"/>
          <w:sz w:val="24"/>
          <w:szCs w:val="24"/>
        </w:rPr>
      </w:pPr>
      <w:r w:rsidRPr="007861B4">
        <w:rPr>
          <w:rFonts w:ascii="Avenir Next LT Pro" w:hAnsi="Avenir Next LT Pro" w:cs="TimesNewRomanPSMT"/>
          <w:sz w:val="24"/>
          <w:szCs w:val="24"/>
        </w:rPr>
        <w:t>Bestämmelse</w:t>
      </w:r>
      <w:r w:rsidR="00C248CC">
        <w:rPr>
          <w:rFonts w:ascii="Avenir Next LT Pro" w:hAnsi="Avenir Next LT Pro" w:cs="TimesNewRomanPSMT"/>
          <w:sz w:val="24"/>
          <w:szCs w:val="24"/>
        </w:rPr>
        <w:t>r</w:t>
      </w:r>
      <w:r w:rsidRPr="007861B4">
        <w:rPr>
          <w:rFonts w:ascii="Avenir Next LT Pro" w:hAnsi="Avenir Next LT Pro" w:cs="TimesNewRomanPSMT"/>
          <w:sz w:val="24"/>
          <w:szCs w:val="24"/>
        </w:rPr>
        <w:t>n</w:t>
      </w:r>
      <w:r w:rsidR="00C248CC">
        <w:rPr>
          <w:rFonts w:ascii="Avenir Next LT Pro" w:hAnsi="Avenir Next LT Pro" w:cs="TimesNewRomanPSMT"/>
          <w:sz w:val="24"/>
          <w:szCs w:val="24"/>
        </w:rPr>
        <w:t>a</w:t>
      </w:r>
      <w:r w:rsidRPr="007861B4">
        <w:rPr>
          <w:rFonts w:ascii="Avenir Next LT Pro" w:hAnsi="Avenir Next LT Pro" w:cs="TimesNewRomanPSMT"/>
          <w:sz w:val="24"/>
          <w:szCs w:val="24"/>
        </w:rPr>
        <w:t xml:space="preserve"> tolkas som:</w:t>
      </w:r>
    </w:p>
    <w:p w14:paraId="048A1032" w14:textId="4AB44724" w:rsidR="007861B4" w:rsidRDefault="007861B4" w:rsidP="00C248CC">
      <w:pPr>
        <w:pStyle w:val="Liststycke"/>
        <w:numPr>
          <w:ilvl w:val="0"/>
          <w:numId w:val="7"/>
        </w:numPr>
        <w:spacing w:after="0"/>
        <w:rPr>
          <w:rFonts w:ascii="Avenir Next LT Pro" w:hAnsi="Avenir Next LT Pro" w:cs="TimesNewRomanPSMT"/>
          <w:i/>
          <w:iCs/>
          <w:sz w:val="24"/>
          <w:szCs w:val="24"/>
        </w:rPr>
      </w:pPr>
      <w:r w:rsidRPr="007861B4">
        <w:rPr>
          <w:rFonts w:ascii="Avenir Next LT Pro" w:hAnsi="Avenir Next LT Pro" w:cs="TimesNewRomanPSMT"/>
          <w:i/>
          <w:iCs/>
          <w:sz w:val="24"/>
          <w:szCs w:val="24"/>
        </w:rPr>
        <w:t>Marken får inte förses med byggnad</w:t>
      </w:r>
    </w:p>
    <w:p w14:paraId="43D0A08C" w14:textId="2F8C5882" w:rsidR="00602D14" w:rsidRPr="007861B4" w:rsidRDefault="00602D14" w:rsidP="00C248CC">
      <w:pPr>
        <w:pStyle w:val="Liststycke"/>
        <w:numPr>
          <w:ilvl w:val="0"/>
          <w:numId w:val="7"/>
        </w:numPr>
        <w:spacing w:after="0"/>
        <w:rPr>
          <w:rFonts w:ascii="Avenir Next LT Pro" w:hAnsi="Avenir Next LT Pro" w:cs="TimesNewRomanPSMT"/>
          <w:i/>
          <w:iCs/>
          <w:sz w:val="24"/>
          <w:szCs w:val="24"/>
        </w:rPr>
      </w:pPr>
      <w:r>
        <w:rPr>
          <w:rFonts w:ascii="Avenir Next LT Pro" w:hAnsi="Avenir Next LT Pro" w:cs="TimesNewRomanPSMT"/>
          <w:i/>
          <w:iCs/>
          <w:sz w:val="24"/>
          <w:szCs w:val="24"/>
        </w:rPr>
        <w:t>Högsta nockhöjd är X meter över angivet nollplan</w:t>
      </w:r>
    </w:p>
    <w:p w14:paraId="41D8EA4F" w14:textId="77777777" w:rsidR="00FD010B" w:rsidRPr="004727C8" w:rsidRDefault="00FD010B" w:rsidP="00FD010B">
      <w:pPr>
        <w:rPr>
          <w:rFonts w:ascii="Avenir Next LT Pro" w:hAnsi="Avenir Next LT Pro" w:cs="TimesNewRomanPSMT"/>
          <w:color w:val="FF0000"/>
          <w:sz w:val="24"/>
          <w:szCs w:val="24"/>
        </w:rPr>
      </w:pPr>
    </w:p>
    <w:p w14:paraId="39A1A99F" w14:textId="21F40ACE" w:rsidR="00FD010B" w:rsidRPr="00C248CC" w:rsidRDefault="00C248CC" w:rsidP="00FD010B">
      <w:pPr>
        <w:autoSpaceDE w:val="0"/>
        <w:autoSpaceDN w:val="0"/>
        <w:adjustRightInd w:val="0"/>
        <w:spacing w:after="0" w:line="240" w:lineRule="auto"/>
        <w:rPr>
          <w:rFonts w:ascii="Avenir Next LT Pro" w:hAnsi="Avenir Next LT Pro" w:cs="TimesNewRomanPSMT"/>
          <w:sz w:val="24"/>
          <w:szCs w:val="24"/>
        </w:rPr>
      </w:pPr>
      <w:r w:rsidRPr="00C248CC">
        <w:rPr>
          <w:rFonts w:ascii="Avenir Next LT Pro" w:hAnsi="Avenir Next LT Pro" w:cs="Arial-BoldMT"/>
          <w:b/>
          <w:bCs/>
          <w:sz w:val="24"/>
          <w:szCs w:val="24"/>
        </w:rPr>
        <w:t>Varsamhet</w:t>
      </w:r>
    </w:p>
    <w:p w14:paraId="3C59131A" w14:textId="4AF2D7D7" w:rsidR="00CD140D" w:rsidRDefault="00C248CC" w:rsidP="00FD010B">
      <w:pPr>
        <w:autoSpaceDE w:val="0"/>
        <w:autoSpaceDN w:val="0"/>
        <w:adjustRightInd w:val="0"/>
        <w:spacing w:after="0" w:line="240" w:lineRule="auto"/>
        <w:rPr>
          <w:rFonts w:ascii="Avenir Next LT Pro" w:hAnsi="Avenir Next LT Pro" w:cs="TimesNewRomanPSMT"/>
          <w:sz w:val="24"/>
          <w:szCs w:val="24"/>
        </w:rPr>
      </w:pPr>
      <w:r w:rsidRPr="007861B4">
        <w:rPr>
          <w:rFonts w:ascii="Avenir Next LT Pro" w:hAnsi="Avenir Next LT Pro" w:cs="TimesNewRomanPSMT"/>
          <w:sz w:val="24"/>
          <w:szCs w:val="24"/>
        </w:rPr>
        <w:t>Följande bestämmelse reglerar</w:t>
      </w:r>
      <w:r>
        <w:rPr>
          <w:rFonts w:ascii="Avenir Next LT Pro" w:hAnsi="Avenir Next LT Pro" w:cs="TimesNewRomanPSMT"/>
          <w:sz w:val="24"/>
          <w:szCs w:val="24"/>
        </w:rPr>
        <w:t xml:space="preserve"> varsamhet:</w:t>
      </w:r>
    </w:p>
    <w:p w14:paraId="43E01255" w14:textId="35DA6FDD" w:rsidR="00C248CC" w:rsidRPr="00606C41" w:rsidRDefault="00606C41" w:rsidP="00C248CC">
      <w:pPr>
        <w:pStyle w:val="Liststycke"/>
        <w:numPr>
          <w:ilvl w:val="0"/>
          <w:numId w:val="8"/>
        </w:numPr>
        <w:autoSpaceDE w:val="0"/>
        <w:autoSpaceDN w:val="0"/>
        <w:adjustRightInd w:val="0"/>
        <w:spacing w:after="0" w:line="240" w:lineRule="auto"/>
        <w:rPr>
          <w:rFonts w:ascii="Avenir Next LT Pro" w:hAnsi="Avenir Next LT Pro" w:cs="TimesNewRomanPSMT"/>
          <w:i/>
          <w:iCs/>
          <w:sz w:val="24"/>
          <w:szCs w:val="24"/>
        </w:rPr>
      </w:pPr>
      <w:r w:rsidRPr="00606C41">
        <w:rPr>
          <w:rFonts w:ascii="Avenir Next LT Pro" w:hAnsi="Avenir Next LT Pro" w:cs="TimesNewRomanPSMT"/>
          <w:i/>
          <w:iCs/>
          <w:sz w:val="24"/>
          <w:szCs w:val="24"/>
        </w:rPr>
        <w:t>Byggnaders karaktärsdrag med avseende på befintliga fönster placerade i liv med fasad, fönsterindelning, slätputsad fasad samt tak med enkupigt taktegel ska beaktas vid underhåll eller ändring</w:t>
      </w:r>
    </w:p>
    <w:p w14:paraId="4C7F9194" w14:textId="77777777" w:rsidR="00C248CC" w:rsidRDefault="00C248CC" w:rsidP="00FD010B">
      <w:pPr>
        <w:autoSpaceDE w:val="0"/>
        <w:autoSpaceDN w:val="0"/>
        <w:adjustRightInd w:val="0"/>
        <w:spacing w:after="0" w:line="240" w:lineRule="auto"/>
        <w:rPr>
          <w:rFonts w:ascii="Avenir Next LT Pro" w:hAnsi="Avenir Next LT Pro" w:cs="TimesNewRomanPSMT"/>
          <w:sz w:val="24"/>
          <w:szCs w:val="24"/>
        </w:rPr>
      </w:pPr>
    </w:p>
    <w:p w14:paraId="5E711BDE" w14:textId="213054A7" w:rsidR="00C248CC" w:rsidRDefault="00C248CC" w:rsidP="00606C41">
      <w:pPr>
        <w:autoSpaceDE w:val="0"/>
        <w:autoSpaceDN w:val="0"/>
        <w:adjustRightInd w:val="0"/>
        <w:spacing w:after="0" w:line="240" w:lineRule="auto"/>
        <w:rPr>
          <w:rFonts w:ascii="Avenir Next LT Pro" w:hAnsi="Avenir Next LT Pro" w:cs="TimesNewRomanPSMT"/>
          <w:sz w:val="24"/>
          <w:szCs w:val="24"/>
        </w:rPr>
      </w:pPr>
      <w:r w:rsidRPr="00C248CC">
        <w:rPr>
          <w:rFonts w:ascii="Avenir Next LT Pro" w:hAnsi="Avenir Next LT Pro" w:cs="TimesNewRomanPSMT"/>
          <w:sz w:val="24"/>
          <w:szCs w:val="24"/>
        </w:rPr>
        <w:t>Bestämmelsen tolkas som:</w:t>
      </w:r>
    </w:p>
    <w:p w14:paraId="7B197A72" w14:textId="6A9D6BBA" w:rsidR="00606C41" w:rsidRPr="00EE5AA5" w:rsidRDefault="00EE5AA5" w:rsidP="00EE5AA5">
      <w:pPr>
        <w:pStyle w:val="Liststycke"/>
        <w:numPr>
          <w:ilvl w:val="0"/>
          <w:numId w:val="8"/>
        </w:numPr>
        <w:autoSpaceDE w:val="0"/>
        <w:autoSpaceDN w:val="0"/>
        <w:adjustRightInd w:val="0"/>
        <w:spacing w:after="0" w:line="240" w:lineRule="auto"/>
        <w:rPr>
          <w:rFonts w:ascii="Avenir Next LT Pro" w:hAnsi="Avenir Next LT Pro" w:cs="TimesNewRomanPSMT"/>
          <w:i/>
          <w:iCs/>
          <w:sz w:val="24"/>
          <w:szCs w:val="24"/>
        </w:rPr>
      </w:pPr>
      <w:r w:rsidRPr="00606C41">
        <w:rPr>
          <w:rFonts w:ascii="Avenir Next LT Pro" w:hAnsi="Avenir Next LT Pro" w:cs="TimesNewRomanPSMT"/>
          <w:i/>
          <w:iCs/>
          <w:sz w:val="24"/>
          <w:szCs w:val="24"/>
        </w:rPr>
        <w:t>Byggnaders karaktärsdrag med avseende på befintliga fönster placerade i liv med fasad, fönsterindelning, slätputsad fasad samt tak med enkupigt taktegel ska beaktas vid underhåll eller ändring</w:t>
      </w:r>
    </w:p>
    <w:sectPr w:rsidR="00606C41" w:rsidRPr="00EE5A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Raisonne Pro">
    <w:altName w:val="Calibri"/>
    <w:panose1 w:val="00000000000000000000"/>
    <w:charset w:val="00"/>
    <w:family w:val="swiss"/>
    <w:notTrueType/>
    <w:pitch w:val="variable"/>
    <w:sig w:usb0="00000007" w:usb1="00000000" w:usb2="00000000" w:usb3="00000000" w:csb0="00000013" w:csb1="00000000"/>
  </w:font>
  <w:font w:name="Avenir Next LT Pro">
    <w:panose1 w:val="020B0504020202020204"/>
    <w:charset w:val="00"/>
    <w:family w:val="swiss"/>
    <w:pitch w:val="variable"/>
    <w:sig w:usb0="800000EF" w:usb1="5000204A" w:usb2="00000000" w:usb3="00000000" w:csb0="00000093"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Arial-Bold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E1F23"/>
    <w:multiLevelType w:val="hybridMultilevel"/>
    <w:tmpl w:val="7702EBA6"/>
    <w:lvl w:ilvl="0" w:tplc="CF3CD986">
      <w:start w:val="2017"/>
      <w:numFmt w:val="bullet"/>
      <w:lvlText w:val=""/>
      <w:lvlJc w:val="left"/>
      <w:pPr>
        <w:ind w:left="720" w:hanging="360"/>
      </w:pPr>
      <w:rPr>
        <w:rFonts w:ascii="Symbol" w:eastAsiaTheme="minorHAnsi" w:hAnsi="Symbol" w:cs="TimesNewRomanPSMT"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28836CB3"/>
    <w:multiLevelType w:val="hybridMultilevel"/>
    <w:tmpl w:val="CB0AB47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35374627"/>
    <w:multiLevelType w:val="hybridMultilevel"/>
    <w:tmpl w:val="08003F2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47647B9E"/>
    <w:multiLevelType w:val="hybridMultilevel"/>
    <w:tmpl w:val="02FA71E0"/>
    <w:lvl w:ilvl="0" w:tplc="3AA05786">
      <w:start w:val="2017"/>
      <w:numFmt w:val="bullet"/>
      <w:lvlText w:val=""/>
      <w:lvlJc w:val="left"/>
      <w:pPr>
        <w:ind w:left="720" w:hanging="360"/>
      </w:pPr>
      <w:rPr>
        <w:rFonts w:ascii="Symbol" w:eastAsiaTheme="minorHAnsi" w:hAnsi="Symbol" w:cs="TimesNewRomanPSMT"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673B0B9D"/>
    <w:multiLevelType w:val="hybridMultilevel"/>
    <w:tmpl w:val="4A1EE60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711B5DFB"/>
    <w:multiLevelType w:val="hybridMultilevel"/>
    <w:tmpl w:val="4170BB9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72421997"/>
    <w:multiLevelType w:val="hybridMultilevel"/>
    <w:tmpl w:val="E0D26E1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7DA20CDA"/>
    <w:multiLevelType w:val="hybridMultilevel"/>
    <w:tmpl w:val="2F62375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969313913">
    <w:abstractNumId w:val="6"/>
  </w:num>
  <w:num w:numId="2" w16cid:durableId="1245455227">
    <w:abstractNumId w:val="4"/>
  </w:num>
  <w:num w:numId="3" w16cid:durableId="1748763207">
    <w:abstractNumId w:val="3"/>
  </w:num>
  <w:num w:numId="4" w16cid:durableId="149642940">
    <w:abstractNumId w:val="5"/>
  </w:num>
  <w:num w:numId="5" w16cid:durableId="175117750">
    <w:abstractNumId w:val="0"/>
  </w:num>
  <w:num w:numId="6" w16cid:durableId="30302482">
    <w:abstractNumId w:val="2"/>
  </w:num>
  <w:num w:numId="7" w16cid:durableId="26026499">
    <w:abstractNumId w:val="7"/>
  </w:num>
  <w:num w:numId="8" w16cid:durableId="19725927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40D"/>
    <w:rsid w:val="00033D8A"/>
    <w:rsid w:val="00102657"/>
    <w:rsid w:val="004727C8"/>
    <w:rsid w:val="00476FE5"/>
    <w:rsid w:val="004A1072"/>
    <w:rsid w:val="00582938"/>
    <w:rsid w:val="005B6B42"/>
    <w:rsid w:val="005E68A7"/>
    <w:rsid w:val="005F0B01"/>
    <w:rsid w:val="00602D14"/>
    <w:rsid w:val="00606C41"/>
    <w:rsid w:val="00707FA6"/>
    <w:rsid w:val="0074053A"/>
    <w:rsid w:val="007861B4"/>
    <w:rsid w:val="007D7F69"/>
    <w:rsid w:val="008215B9"/>
    <w:rsid w:val="00884D48"/>
    <w:rsid w:val="00924F41"/>
    <w:rsid w:val="00977877"/>
    <w:rsid w:val="009B0BB1"/>
    <w:rsid w:val="00C248CC"/>
    <w:rsid w:val="00CD140D"/>
    <w:rsid w:val="00D1398D"/>
    <w:rsid w:val="00D761D7"/>
    <w:rsid w:val="00DC4796"/>
    <w:rsid w:val="00E25667"/>
    <w:rsid w:val="00EB7435"/>
    <w:rsid w:val="00EE5AA5"/>
    <w:rsid w:val="00FD010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CF798"/>
  <w15:chartTrackingRefBased/>
  <w15:docId w15:val="{1530FE86-2827-441C-AF7A-FA87314DD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CD1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stycke">
    <w:name w:val="List Paragraph"/>
    <w:basedOn w:val="Normal"/>
    <w:uiPriority w:val="34"/>
    <w:qFormat/>
    <w:rsid w:val="00EB7435"/>
    <w:pPr>
      <w:ind w:left="720"/>
      <w:contextualSpacing/>
    </w:pPr>
  </w:style>
  <w:style w:type="paragraph" w:styleId="Normalwebb">
    <w:name w:val="Normal (Web)"/>
    <w:basedOn w:val="Normal"/>
    <w:uiPriority w:val="99"/>
    <w:semiHidden/>
    <w:unhideWhenUsed/>
    <w:rsid w:val="005E68A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7031">
      <w:bodyDiv w:val="1"/>
      <w:marLeft w:val="0"/>
      <w:marRight w:val="0"/>
      <w:marTop w:val="0"/>
      <w:marBottom w:val="0"/>
      <w:divBdr>
        <w:top w:val="none" w:sz="0" w:space="0" w:color="auto"/>
        <w:left w:val="none" w:sz="0" w:space="0" w:color="auto"/>
        <w:bottom w:val="none" w:sz="0" w:space="0" w:color="auto"/>
        <w:right w:val="none" w:sz="0" w:space="0" w:color="auto"/>
      </w:divBdr>
    </w:div>
    <w:div w:id="1095516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3</Pages>
  <Words>670</Words>
  <Characters>3552</Characters>
  <Application>Microsoft Office Word</Application>
  <DocSecurity>0</DocSecurity>
  <Lines>29</Lines>
  <Paragraphs>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Persson Victor</dc:creator>
  <cp:keywords/>
  <dc:description/>
  <cp:lastModifiedBy>Lundin Hilda</cp:lastModifiedBy>
  <cp:revision>20</cp:revision>
  <dcterms:created xsi:type="dcterms:W3CDTF">2023-10-13T08:20:00Z</dcterms:created>
  <dcterms:modified xsi:type="dcterms:W3CDTF">2025-08-05T08:22:00Z</dcterms:modified>
</cp:coreProperties>
</file>