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48"/>
      </w:pPr>
      <w:bookmarkStart w:id="0" w:name="_Hlk158040155"/>
      <w:bookmarkEnd w:id="0"/>
      <w:r>
        <w:rPr>
          <w:rFonts w:asciiTheme="minorHAnsi" w:hAnsiTheme="minorHAnsi"/>
          <w:noProof w:val="1"/>
          <w:color w:val="auto"/>
          <w:sz w:val="22"/>
          <w:szCs w:val="22"/>
        </w:rPr>
        <mc:AlternateContent>
          <mc:Choice Requires="wps">
            <w:drawing>
              <wp:anchor xmlns:wp="http://schemas.openxmlformats.org/drawingml/2006/wordprocessingDrawing" distT="45720" distB="45720" distL="114300" distR="114300" simplePos="0" relativeHeight="2" behindDoc="0" locked="0" layoutInCell="1" allowOverlap="1">
                <wp:simplePos x="0" y="0"/>
                <wp:positionH relativeFrom="page">
                  <wp:posOffset>5267325</wp:posOffset>
                </wp:positionH>
                <wp:positionV relativeFrom="paragraph">
                  <wp:posOffset>-1494790</wp:posOffset>
                </wp:positionV>
                <wp:extent cx="1987550" cy="1052830"/>
                <wp:effectExtent l="0" t="0" r="0" b="0"/>
                <wp:wrapNone/>
                <wp:docPr id="217" name="Textruta 217"/>
                <wp:cNvGraphicFramePr/>
                <a:graphic xmlns:a="http://schemas.openxmlformats.org/drawingml/2006/main">
                  <a:graphicData uri="http://schemas.microsoft.com/office/word/2010/wordprocessingShape">
                    <wps:wsp>
                      <wps:cNvSpPr txBox="1">
                        <a:spLocks noChangeArrowheads="1"/>
                      </wps:cNvSpPr>
                      <wps:spPr bwMode="auto">
                        <a:xfrm>
                          <a:off x="0" y="0"/>
                          <a:ext cx="1987550" cy="1053198"/>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after="0" w:beforeAutospacing="0" w:afterAutospacing="0"/>
                              <w:rPr>
                                <w:color w:val="FFFFFF" w:themeColor="background1"/>
                              </w:rPr>
                            </w:pPr>
                            <w:bookmarkStart w:id="0" w:name="be_ärendeinformation01"/>
                            <w:r>
                              <w:rPr>
                                <w:color w:val="FFFFFF" w:themeColor="background1"/>
                              </w:rPr>
                              <w:t>Laga krafthandling</w:t>
                            </w:r>
                          </w:p>
                          <w:p>
                            <w:pPr>
                              <w:spacing w:after="0" w:beforeAutospacing="0" w:afterAutospacing="0"/>
                              <w:rPr>
                                <w:color w:val="FFFFFF" w:themeColor="background1"/>
                              </w:rPr>
                            </w:pPr>
                            <w:r>
                              <w:rPr>
                                <w:color w:val="FFFFFF" w:themeColor="background1"/>
                              </w:rPr>
                              <w:t>2024-12-13</w:t>
                            </w:r>
                          </w:p>
                          <w:p>
                            <w:pPr>
                              <w:spacing w:after="0" w:beforeAutospacing="0" w:afterAutospacing="0"/>
                              <w:rPr>
                                <w:color w:val="FFFFFF" w:themeColor="background1"/>
                              </w:rPr>
                            </w:pPr>
                            <w:r>
                              <w:rPr>
                                <w:color w:val="FFFFFF" w:themeColor="background1"/>
                              </w:rPr>
                              <w:t>Diarienummer KS 2022–21</w:t>
                            </w:r>
                            <w:bookmarkEnd w:id="0"/>
                            <w:r>
                              <w:rPr>
                                <w:color w:val="FFFFFF" w:themeColor="background1"/>
                              </w:rPr>
                              <w:t>9</w:t>
                            </w:r>
                          </w:p>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17" o:spid="_x0000_s1026" style="position:absolute;width:156.5pt;height:82.9pt;z-index:2;mso-wrap-distance-left:9pt;mso-wrap-distance-top:3.6pt;mso-wrap-distance-right:9pt;mso-wrap-distance-bottom:3.6pt;margin-left:414.75pt;margin-top:-117.7pt;mso-position-horizontal:absolute;mso-position-horizontal-relative:page;mso-position-vertical:absolute;mso-position-vertical-relative:text" o:allowincell="t" filled="f" strokeweight="0.75pt" stroked="f">
                <v:textbox inset="3mm,1mm,3mm,1mm">
                  <w:txbxContent>
                    <w:p>
                      <w:pPr>
                        <w:spacing w:after="0" w:beforeAutospacing="0" w:afterAutospacing="0"/>
                        <w:rPr>
                          <w:color w:val="FFFFFF" w:themeColor="background1"/>
                        </w:rPr>
                      </w:pPr>
                      <w:bookmarkStart w:id="0" w:name="be_ärendeinformation01"/>
                      <w:r>
                        <w:rPr>
                          <w:color w:val="FFFFFF" w:themeColor="background1"/>
                        </w:rPr>
                        <w:t>Laga krafthandling</w:t>
                      </w:r>
                    </w:p>
                    <w:p>
                      <w:pPr>
                        <w:spacing w:after="0" w:beforeAutospacing="0" w:afterAutospacing="0"/>
                        <w:rPr>
                          <w:color w:val="FFFFFF" w:themeColor="background1"/>
                        </w:rPr>
                      </w:pPr>
                      <w:r>
                        <w:rPr>
                          <w:color w:val="FFFFFF" w:themeColor="background1"/>
                        </w:rPr>
                        <w:t>2024-12-13</w:t>
                      </w:r>
                    </w:p>
                    <w:p>
                      <w:pPr>
                        <w:spacing w:after="0" w:beforeAutospacing="0" w:afterAutospacing="0"/>
                        <w:rPr>
                          <w:color w:val="FFFFFF" w:themeColor="background1"/>
                        </w:rPr>
                      </w:pPr>
                      <w:r>
                        <w:rPr>
                          <w:color w:val="FFFFFF" w:themeColor="background1"/>
                        </w:rPr>
                        <w:t>Diarienummer KS 2022–21</w:t>
                      </w:r>
                      <w:bookmarkEnd w:id="0"/>
                      <w:r>
                        <w:rPr>
                          <w:color w:val="FFFFFF" w:themeColor="background1"/>
                        </w:rPr>
                        <w:t>9</w:t>
                      </w:r>
                    </w:p>
                    <w:p/>
                  </w:txbxContent>
                </v:textbox>
              </v:shape>
            </w:pict>
          </mc:Fallback>
        </mc:AlternateContent>
      </w:r>
      <w:bookmarkStart w:id="1" w:name="be_ärendeinformation02"/>
      <w:r>
        <w:t>Planbeskrivning</w:t>
      </w:r>
    </w:p>
    <w:p>
      <w:pPr>
        <w:spacing w:after="0" w:beforeAutospacing="0" w:afterAutospacing="0"/>
        <w:rPr>
          <w:sz w:val="28"/>
          <w:szCs w:val="28"/>
        </w:rPr>
      </w:pPr>
      <w:r>
        <w:rPr>
          <w:sz w:val="28"/>
          <w:szCs w:val="28"/>
        </w:rPr>
        <w:t xml:space="preserve">Detaljplan för fastigheten Boden 57:66, </w:t>
      </w:r>
    </w:p>
    <w:p>
      <w:pPr>
        <w:spacing w:after="0" w:beforeAutospacing="0" w:afterAutospacing="0"/>
        <w:rPr>
          <w:rFonts w:asciiTheme="majorHAnsi" w:hAnsiTheme="majorHAnsi" w:cstheme="majorHAnsi"/>
          <w:sz w:val="28"/>
          <w:szCs w:val="28"/>
        </w:rPr>
      </w:pPr>
      <w:r>
        <w:rPr>
          <w:sz w:val="28"/>
          <w:szCs w:val="28"/>
        </w:rPr>
        <w:t>Tjärnbacken i Bodens kommun</w:t>
      </w:r>
    </w:p>
    <w:p>
      <w:pPr>
        <w:spacing w:after="0" w:beforeAutospacing="0" w:afterAutospacing="0"/>
        <w:rPr>
          <w:rFonts w:asciiTheme="majorHAnsi" w:hAnsiTheme="majorHAnsi" w:cstheme="majorHAnsi"/>
          <w:sz w:val="28"/>
          <w:szCs w:val="28"/>
        </w:rPr>
      </w:pPr>
      <w:bookmarkEnd w:id="1"/>
    </w:p>
    <w:p>
      <w:pPr>
        <w:pStyle w:val="P49"/>
      </w:pPr>
    </w:p>
    <w:p/>
    <w:p/>
    <w:p/>
    <w:p>
      <w:r>
        <w:br w:type="page"/>
      </w:r>
    </w:p>
    <w:p>
      <w:pPr>
        <w:pStyle w:val="P12"/>
        <w:rPr>
          <w:rFonts w:asciiTheme="minorHAnsi" w:hAnsiTheme="minorHAnsi" w:cstheme="minorBidi" w:eastAsiaTheme="minorEastAsia"/>
          <w:noProof w:val="1"/>
          <w:szCs w:val="24"/>
          <w:kern w:val="2"/>
          <w:lang w:eastAsia="sv-SE"/>
        </w:rPr>
      </w:pPr>
      <w:bookmarkStart w:id="2" w:name="XXToc"/>
      <w:r>
        <w:fldChar w:fldCharType="begin"/>
      </w:r>
      <w:r>
        <w:instrText xml:space="preserve"> TOC \o "1-1" \h \z \u </w:instrText>
      </w:r>
      <w:r>
        <w:fldChar w:fldCharType="separate"/>
      </w:r>
      <w:hyperlink w:anchor="_Toc167430714">
        <w:r>
          <w:rPr>
            <w:rStyle w:val="C2"/>
            <w:noProof w:val="1"/>
          </w:rPr>
          <w:t>1</w:t>
        </w:r>
        <w:r>
          <w:rPr>
            <w:rFonts w:asciiTheme="minorHAnsi" w:hAnsiTheme="minorHAnsi" w:cstheme="minorBidi" w:eastAsiaTheme="minorEastAsia"/>
            <w:noProof w:val="1"/>
            <w:szCs w:val="24"/>
            <w:kern w:val="2"/>
            <w:lang w:eastAsia="sv-SE"/>
          </w:rPr>
          <w:tab/>
        </w:r>
        <w:r>
          <w:rPr>
            <w:rStyle w:val="C2"/>
            <w:noProof w:val="1"/>
          </w:rPr>
          <w:t>Handlingar</w:t>
        </w:r>
        <w:r>
          <w:rPr>
            <w:noProof w:val="1"/>
          </w:rPr>
          <w:tab/>
        </w:r>
        <w:r>
          <w:rPr>
            <w:noProof w:val="1"/>
          </w:rPr>
          <w:fldChar w:fldCharType="begin"/>
        </w:r>
        <w:r>
          <w:rPr>
            <w:noProof w:val="1"/>
          </w:rPr>
          <w:instrText xml:space="preserve"> PAGEREF _Toc167430714 \h </w:instrText>
        </w:r>
        <w:r>
          <w:rPr>
            <w:noProof w:val="1"/>
          </w:rPr>
          <w:fldChar w:fldCharType="separate"/>
        </w:r>
        <w:r>
          <w:rPr>
            <w:noProof w:val="1"/>
          </w:rPr>
          <w:t>4</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15">
        <w:r>
          <w:rPr>
            <w:rStyle w:val="C2"/>
            <w:noProof w:val="1"/>
          </w:rPr>
          <w:t>2</w:t>
        </w:r>
        <w:r>
          <w:rPr>
            <w:rFonts w:asciiTheme="minorHAnsi" w:hAnsiTheme="minorHAnsi" w:cstheme="minorBidi" w:eastAsiaTheme="minorEastAsia"/>
            <w:noProof w:val="1"/>
            <w:szCs w:val="24"/>
            <w:kern w:val="2"/>
            <w:lang w:eastAsia="sv-SE"/>
          </w:rPr>
          <w:tab/>
        </w:r>
        <w:r>
          <w:rPr>
            <w:rStyle w:val="C2"/>
            <w:noProof w:val="1"/>
          </w:rPr>
          <w:t>Kommunala beslut</w:t>
        </w:r>
        <w:r>
          <w:rPr>
            <w:noProof w:val="1"/>
          </w:rPr>
          <w:tab/>
        </w:r>
        <w:r>
          <w:rPr>
            <w:noProof w:val="1"/>
          </w:rPr>
          <w:fldChar w:fldCharType="begin"/>
        </w:r>
        <w:r>
          <w:rPr>
            <w:noProof w:val="1"/>
          </w:rPr>
          <w:instrText xml:space="preserve"> PAGEREF _Toc167430715 \h </w:instrText>
        </w:r>
        <w:r>
          <w:rPr>
            <w:noProof w:val="1"/>
          </w:rPr>
          <w:fldChar w:fldCharType="separate"/>
        </w:r>
        <w:r>
          <w:rPr>
            <w:noProof w:val="1"/>
          </w:rPr>
          <w:t>4</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16">
        <w:r>
          <w:rPr>
            <w:rStyle w:val="C2"/>
            <w:noProof w:val="1"/>
          </w:rPr>
          <w:t>3</w:t>
        </w:r>
        <w:r>
          <w:rPr>
            <w:rFonts w:asciiTheme="minorHAnsi" w:hAnsiTheme="minorHAnsi" w:cstheme="minorBidi" w:eastAsiaTheme="minorEastAsia"/>
            <w:noProof w:val="1"/>
            <w:szCs w:val="24"/>
            <w:kern w:val="2"/>
            <w:lang w:eastAsia="sv-SE"/>
          </w:rPr>
          <w:tab/>
        </w:r>
        <w:r>
          <w:rPr>
            <w:rStyle w:val="C2"/>
            <w:noProof w:val="1"/>
          </w:rPr>
          <w:t>Planprocessen</w:t>
        </w:r>
        <w:r>
          <w:rPr>
            <w:noProof w:val="1"/>
          </w:rPr>
          <w:tab/>
        </w:r>
        <w:r>
          <w:rPr>
            <w:noProof w:val="1"/>
          </w:rPr>
          <w:fldChar w:fldCharType="begin"/>
        </w:r>
        <w:r>
          <w:rPr>
            <w:noProof w:val="1"/>
          </w:rPr>
          <w:instrText xml:space="preserve"> PAGEREF _Toc167430716 \h </w:instrText>
        </w:r>
        <w:r>
          <w:rPr>
            <w:noProof w:val="1"/>
          </w:rPr>
          <w:fldChar w:fldCharType="separate"/>
        </w:r>
        <w:r>
          <w:rPr>
            <w:noProof w:val="1"/>
          </w:rPr>
          <w:t>5</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17">
        <w:r>
          <w:rPr>
            <w:rStyle w:val="C2"/>
            <w:noProof w:val="1"/>
          </w:rPr>
          <w:t>4</w:t>
        </w:r>
        <w:r>
          <w:rPr>
            <w:rFonts w:asciiTheme="minorHAnsi" w:hAnsiTheme="minorHAnsi" w:cstheme="minorBidi" w:eastAsiaTheme="minorEastAsia"/>
            <w:noProof w:val="1"/>
            <w:szCs w:val="24"/>
            <w:kern w:val="2"/>
            <w:lang w:eastAsia="sv-SE"/>
          </w:rPr>
          <w:tab/>
        </w:r>
        <w:r>
          <w:rPr>
            <w:rStyle w:val="C2"/>
            <w:noProof w:val="1"/>
          </w:rPr>
          <w:t>Detaljplanens bakgrund och syfte</w:t>
        </w:r>
        <w:r>
          <w:rPr>
            <w:noProof w:val="1"/>
          </w:rPr>
          <w:tab/>
        </w:r>
        <w:r>
          <w:rPr>
            <w:noProof w:val="1"/>
          </w:rPr>
          <w:fldChar w:fldCharType="begin"/>
        </w:r>
        <w:r>
          <w:rPr>
            <w:noProof w:val="1"/>
          </w:rPr>
          <w:instrText xml:space="preserve"> PAGEREF _Toc167430717 \h </w:instrText>
        </w:r>
        <w:r>
          <w:rPr>
            <w:noProof w:val="1"/>
          </w:rPr>
          <w:fldChar w:fldCharType="separate"/>
        </w:r>
        <w:r>
          <w:rPr>
            <w:noProof w:val="1"/>
          </w:rPr>
          <w:t>5</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18">
        <w:r>
          <w:rPr>
            <w:rStyle w:val="C2"/>
            <w:noProof w:val="1"/>
          </w:rPr>
          <w:t>5</w:t>
        </w:r>
        <w:r>
          <w:rPr>
            <w:rFonts w:asciiTheme="minorHAnsi" w:hAnsiTheme="minorHAnsi" w:cstheme="minorBidi" w:eastAsiaTheme="minorEastAsia"/>
            <w:noProof w:val="1"/>
            <w:szCs w:val="24"/>
            <w:kern w:val="2"/>
            <w:lang w:eastAsia="sv-SE"/>
          </w:rPr>
          <w:tab/>
        </w:r>
        <w:r>
          <w:rPr>
            <w:rStyle w:val="C2"/>
            <w:noProof w:val="1"/>
          </w:rPr>
          <w:t>Beskrivning av detaljplanen</w:t>
        </w:r>
        <w:r>
          <w:rPr>
            <w:noProof w:val="1"/>
          </w:rPr>
          <w:tab/>
        </w:r>
        <w:r>
          <w:rPr>
            <w:noProof w:val="1"/>
          </w:rPr>
          <w:fldChar w:fldCharType="begin"/>
        </w:r>
        <w:r>
          <w:rPr>
            <w:noProof w:val="1"/>
          </w:rPr>
          <w:instrText xml:space="preserve"> PAGEREF _Toc167430718 \h </w:instrText>
        </w:r>
        <w:r>
          <w:rPr>
            <w:noProof w:val="1"/>
          </w:rPr>
          <w:fldChar w:fldCharType="separate"/>
        </w:r>
        <w:r>
          <w:rPr>
            <w:noProof w:val="1"/>
          </w:rPr>
          <w:t>7</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19">
        <w:r>
          <w:rPr>
            <w:rStyle w:val="C2"/>
            <w:noProof w:val="1"/>
          </w:rPr>
          <w:t>6</w:t>
        </w:r>
        <w:r>
          <w:rPr>
            <w:rFonts w:asciiTheme="minorHAnsi" w:hAnsiTheme="minorHAnsi" w:cstheme="minorBidi" w:eastAsiaTheme="minorEastAsia"/>
            <w:noProof w:val="1"/>
            <w:szCs w:val="24"/>
            <w:kern w:val="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_Toc167430719 \h </w:instrText>
        </w:r>
        <w:r>
          <w:rPr>
            <w:noProof w:val="1"/>
          </w:rPr>
          <w:fldChar w:fldCharType="separate"/>
        </w:r>
        <w:r>
          <w:rPr>
            <w:noProof w:val="1"/>
          </w:rPr>
          <w:t>14</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20">
        <w:r>
          <w:rPr>
            <w:rStyle w:val="C2"/>
            <w:noProof w:val="1"/>
          </w:rPr>
          <w:t>7</w:t>
        </w:r>
        <w:r>
          <w:rPr>
            <w:rFonts w:asciiTheme="minorHAnsi" w:hAnsiTheme="minorHAnsi" w:cstheme="minorBidi" w:eastAsiaTheme="minorEastAsia"/>
            <w:noProof w:val="1"/>
            <w:szCs w:val="24"/>
            <w:kern w:val="2"/>
            <w:lang w:eastAsia="sv-SE"/>
          </w:rPr>
          <w:tab/>
        </w:r>
        <w:r>
          <w:rPr>
            <w:rStyle w:val="C2"/>
            <w:noProof w:val="1"/>
          </w:rPr>
          <w:t>Planeringsförutsättningar</w:t>
        </w:r>
        <w:r>
          <w:rPr>
            <w:noProof w:val="1"/>
          </w:rPr>
          <w:tab/>
        </w:r>
        <w:r>
          <w:rPr>
            <w:noProof w:val="1"/>
          </w:rPr>
          <w:fldChar w:fldCharType="begin"/>
        </w:r>
        <w:r>
          <w:rPr>
            <w:noProof w:val="1"/>
          </w:rPr>
          <w:instrText xml:space="preserve"> PAGEREF _Toc167430720 \h </w:instrText>
        </w:r>
        <w:r>
          <w:rPr>
            <w:noProof w:val="1"/>
          </w:rPr>
          <w:fldChar w:fldCharType="separate"/>
        </w:r>
        <w:r>
          <w:rPr>
            <w:noProof w:val="1"/>
          </w:rPr>
          <w:t>20</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21">
        <w:r>
          <w:rPr>
            <w:rStyle w:val="C2"/>
            <w:noProof w:val="1"/>
          </w:rPr>
          <w:t>8</w:t>
        </w:r>
        <w:r>
          <w:rPr>
            <w:rFonts w:asciiTheme="minorHAnsi" w:hAnsiTheme="minorHAnsi" w:cstheme="minorBidi" w:eastAsiaTheme="minorEastAsia"/>
            <w:noProof w:val="1"/>
            <w:szCs w:val="24"/>
            <w:kern w:val="2"/>
            <w:lang w:eastAsia="sv-SE"/>
          </w:rPr>
          <w:tab/>
        </w:r>
        <w:r>
          <w:rPr>
            <w:rStyle w:val="C2"/>
            <w:noProof w:val="1"/>
          </w:rPr>
          <w:t>Detaljplanens genomförande</w:t>
        </w:r>
        <w:r>
          <w:rPr>
            <w:noProof w:val="1"/>
          </w:rPr>
          <w:tab/>
        </w:r>
        <w:r>
          <w:rPr>
            <w:noProof w:val="1"/>
          </w:rPr>
          <w:fldChar w:fldCharType="begin"/>
        </w:r>
        <w:r>
          <w:rPr>
            <w:noProof w:val="1"/>
          </w:rPr>
          <w:instrText xml:space="preserve"> PAGEREF _Toc167430721 \h </w:instrText>
        </w:r>
        <w:r>
          <w:rPr>
            <w:noProof w:val="1"/>
          </w:rPr>
          <w:fldChar w:fldCharType="separate"/>
        </w:r>
        <w:r>
          <w:rPr>
            <w:noProof w:val="1"/>
          </w:rPr>
          <w:t>54</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22">
        <w:r>
          <w:rPr>
            <w:rStyle w:val="C2"/>
            <w:noProof w:val="1"/>
          </w:rPr>
          <w:t>9</w:t>
        </w:r>
        <w:r>
          <w:rPr>
            <w:rFonts w:asciiTheme="minorHAnsi" w:hAnsiTheme="minorHAnsi" w:cstheme="minorBidi" w:eastAsiaTheme="minorEastAsia"/>
            <w:noProof w:val="1"/>
            <w:szCs w:val="24"/>
            <w:kern w:val="2"/>
            <w:lang w:eastAsia="sv-SE"/>
          </w:rPr>
          <w:tab/>
        </w:r>
        <w:r>
          <w:rPr>
            <w:rStyle w:val="C2"/>
            <w:noProof w:val="1"/>
          </w:rPr>
          <w:t>Konsekvenser av planens genomförande</w:t>
        </w:r>
        <w:r>
          <w:rPr>
            <w:noProof w:val="1"/>
          </w:rPr>
          <w:tab/>
        </w:r>
        <w:r>
          <w:rPr>
            <w:noProof w:val="1"/>
          </w:rPr>
          <w:fldChar w:fldCharType="begin"/>
        </w:r>
        <w:r>
          <w:rPr>
            <w:noProof w:val="1"/>
          </w:rPr>
          <w:instrText xml:space="preserve"> PAGEREF _Toc167430722 \h </w:instrText>
        </w:r>
        <w:r>
          <w:rPr>
            <w:noProof w:val="1"/>
          </w:rPr>
          <w:fldChar w:fldCharType="separate"/>
        </w:r>
        <w:r>
          <w:rPr>
            <w:noProof w:val="1"/>
          </w:rPr>
          <w:t>60</w:t>
        </w:r>
        <w:r>
          <w:rPr>
            <w:noProof w:val="1"/>
          </w:rPr>
          <w:fldChar w:fldCharType="end"/>
        </w:r>
      </w:hyperlink>
    </w:p>
    <w:p>
      <w:pPr>
        <w:pStyle w:val="P12"/>
        <w:rPr>
          <w:rFonts w:asciiTheme="minorHAnsi" w:hAnsiTheme="minorHAnsi" w:cstheme="minorBidi" w:eastAsiaTheme="minorEastAsia"/>
          <w:noProof w:val="1"/>
          <w:szCs w:val="24"/>
          <w:kern w:val="2"/>
          <w:lang w:eastAsia="sv-SE"/>
        </w:rPr>
      </w:pPr>
      <w:hyperlink w:anchor="_Toc167430723">
        <w:r>
          <w:rPr>
            <w:rStyle w:val="C2"/>
            <w:noProof w:val="1"/>
          </w:rPr>
          <w:t>10</w:t>
        </w:r>
        <w:r>
          <w:rPr>
            <w:rFonts w:asciiTheme="minorHAnsi" w:hAnsiTheme="minorHAnsi" w:cstheme="minorBidi" w:eastAsiaTheme="minorEastAsia"/>
            <w:noProof w:val="1"/>
            <w:szCs w:val="24"/>
            <w:kern w:val="2"/>
            <w:lang w:eastAsia="sv-SE"/>
          </w:rPr>
          <w:tab/>
        </w:r>
        <w:r>
          <w:rPr>
            <w:rStyle w:val="C2"/>
            <w:noProof w:val="1"/>
          </w:rPr>
          <w:t>Medverkande</w:t>
        </w:r>
        <w:r>
          <w:rPr>
            <w:noProof w:val="1"/>
          </w:rPr>
          <w:tab/>
        </w:r>
        <w:r>
          <w:rPr>
            <w:noProof w:val="1"/>
          </w:rPr>
          <w:fldChar w:fldCharType="begin"/>
        </w:r>
        <w:r>
          <w:rPr>
            <w:noProof w:val="1"/>
          </w:rPr>
          <w:instrText xml:space="preserve"> PAGEREF _Toc167430723 \h </w:instrText>
        </w:r>
        <w:r>
          <w:rPr>
            <w:noProof w:val="1"/>
          </w:rPr>
          <w:fldChar w:fldCharType="separate"/>
        </w:r>
        <w:r>
          <w:rPr>
            <w:noProof w:val="1"/>
          </w:rPr>
          <w:t>75</w:t>
        </w:r>
        <w:r>
          <w:rPr>
            <w:noProof w:val="1"/>
          </w:rPr>
          <w:fldChar w:fldCharType="end"/>
        </w:r>
      </w:hyperlink>
    </w:p>
    <w:p>
      <w:r>
        <w:rPr>
          <w:rFonts w:asciiTheme="majorHAnsi" w:hAnsiTheme="majorHAnsi"/>
        </w:rPr>
        <w:fldChar w:fldCharType="end"/>
      </w:r>
    </w:p>
    <w:p>
      <w:r>
        <w:br w:type="page"/>
      </w:r>
    </w:p>
    <w:p>
      <w:pPr>
        <w:pStyle w:val="P1"/>
        <w:numPr>
          <w:ilvl w:val="0"/>
          <w:numId w:val="5"/>
        </w:numPr>
      </w:pPr>
      <w:bookmarkEnd w:id="2"/>
      <w:bookmarkStart w:id="3" w:name="_Toc167430714"/>
      <w:bookmarkStart w:id="4" w:name="be_ärendeinformation04"/>
      <w:r>
        <w:t>Handlingar</w:t>
      </w:r>
      <w:bookmarkEnd w:id="3"/>
    </w:p>
    <w:p>
      <w:pPr>
        <w:spacing w:after="120" w:beforeAutospacing="0" w:afterAutospacing="0"/>
        <w:rPr>
          <w:rFonts w:asciiTheme="majorHAnsi" w:hAnsiTheme="majorHAnsi" w:cstheme="majorHAnsi"/>
          <w:sz w:val="22"/>
          <w:szCs w:val="20"/>
        </w:rPr>
      </w:pPr>
      <w:r>
        <w:rPr>
          <w:rFonts w:asciiTheme="majorHAnsi" w:hAnsiTheme="majorHAnsi" w:cstheme="majorHAnsi"/>
          <w:sz w:val="22"/>
          <w:szCs w:val="20"/>
        </w:rPr>
        <w:t>Följande handlingar utgör förslaget</w:t>
      </w:r>
    </w:p>
    <w:p>
      <w:pPr>
        <w:pStyle w:val="P16"/>
        <w:numPr>
          <w:ilvl w:val="0"/>
          <w:numId w:val="6"/>
        </w:numPr>
      </w:pPr>
      <w:r>
        <w:t xml:space="preserve">Plankarta i skala 1:1 000 med planbestämmelser </w:t>
      </w:r>
    </w:p>
    <w:p>
      <w:pPr>
        <w:pStyle w:val="P16"/>
        <w:numPr>
          <w:ilvl w:val="0"/>
          <w:numId w:val="6"/>
        </w:numPr>
      </w:pPr>
      <w:r>
        <w:t>Planbeskrivning</w:t>
      </w:r>
      <w:bookmarkEnd w:id="4"/>
      <w:r>
        <w:t xml:space="preserve"> </w:t>
      </w:r>
    </w:p>
    <w:p>
      <w:pPr>
        <w:spacing w:after="120" w:beforeAutospacing="0" w:afterAutospacing="0"/>
        <w:rPr>
          <w:rFonts w:asciiTheme="majorHAnsi" w:hAnsiTheme="majorHAnsi" w:cstheme="majorHAnsi"/>
          <w:sz w:val="22"/>
          <w:szCs w:val="20"/>
        </w:rPr>
      </w:pPr>
      <w:bookmarkStart w:id="5" w:name="pu_utredningar01"/>
      <w:r>
        <w:rPr>
          <w:rFonts w:asciiTheme="majorHAnsi" w:hAnsiTheme="majorHAnsi" w:cstheme="majorHAnsi"/>
          <w:sz w:val="22"/>
          <w:szCs w:val="20"/>
        </w:rPr>
        <w:t>Följande handlingar tillhör förslaget</w:t>
      </w:r>
    </w:p>
    <w:p>
      <w:pPr>
        <w:pStyle w:val="P16"/>
        <w:numPr>
          <w:ilvl w:val="0"/>
          <w:numId w:val="6"/>
        </w:numPr>
      </w:pPr>
      <w:r>
        <w:t>Fastighetsförteckning (maj 2024)</w:t>
      </w:r>
    </w:p>
    <w:p>
      <w:pPr>
        <w:pStyle w:val="P16"/>
        <w:numPr>
          <w:ilvl w:val="0"/>
          <w:numId w:val="6"/>
        </w:numPr>
      </w:pPr>
      <w:r>
        <w:t>Grundkarta i skala 1:1 000</w:t>
      </w:r>
    </w:p>
    <w:p>
      <w:pPr>
        <w:pStyle w:val="P16"/>
        <w:numPr>
          <w:ilvl w:val="0"/>
          <w:numId w:val="6"/>
        </w:numPr>
      </w:pPr>
      <w:r>
        <w:t>Dagvattenutredning, (Sweco 2024-01-03)</w:t>
      </w:r>
    </w:p>
    <w:p>
      <w:pPr>
        <w:pStyle w:val="P16"/>
        <w:numPr>
          <w:ilvl w:val="0"/>
          <w:numId w:val="6"/>
        </w:numPr>
      </w:pPr>
      <w:r>
        <w:t>Skyfallsutredning, (Sweco 2024-01-03)</w:t>
      </w:r>
    </w:p>
    <w:p>
      <w:pPr>
        <w:pStyle w:val="P16"/>
        <w:numPr>
          <w:ilvl w:val="0"/>
          <w:numId w:val="6"/>
        </w:numPr>
      </w:pPr>
      <w:r>
        <w:t>PM Geoteknik (WSP, 2016-06-22)</w:t>
      </w:r>
    </w:p>
    <w:p>
      <w:pPr>
        <w:pStyle w:val="P16"/>
        <w:numPr>
          <w:ilvl w:val="0"/>
          <w:numId w:val="6"/>
        </w:numPr>
      </w:pPr>
      <w:r>
        <w:t>PM Geoteknik (Sweco 2023-10-17 reviderad 2024-05-16)</w:t>
      </w:r>
    </w:p>
    <w:p>
      <w:pPr>
        <w:pStyle w:val="P16"/>
        <w:numPr>
          <w:ilvl w:val="0"/>
          <w:numId w:val="6"/>
        </w:numPr>
      </w:pPr>
      <w:r>
        <w:t>Analysrapport miljöprovtagning (Vatten &amp; Miljöbyrån AB, 2016-05-09)</w:t>
      </w:r>
    </w:p>
    <w:p>
      <w:pPr>
        <w:pStyle w:val="P16"/>
        <w:numPr>
          <w:ilvl w:val="0"/>
          <w:numId w:val="6"/>
        </w:numPr>
      </w:pPr>
      <w:r>
        <w:t>Bullerutredning (Ramboll, 2023)</w:t>
      </w:r>
    </w:p>
    <w:p>
      <w:pPr>
        <w:pStyle w:val="P16"/>
        <w:numPr>
          <w:ilvl w:val="0"/>
          <w:numId w:val="6"/>
        </w:numPr>
      </w:pPr>
      <w:r>
        <w:t>Kulturmiljöutredning, (Norrbottens museum dnr 116-2023)</w:t>
      </w:r>
    </w:p>
    <w:p>
      <w:pPr>
        <w:pStyle w:val="P1"/>
      </w:pPr>
      <w:bookmarkEnd w:id="5"/>
      <w:bookmarkStart w:id="6" w:name="_Toc167430715"/>
      <w:bookmarkStart w:id="7" w:name="pu_kommunala01"/>
      <w:r>
        <w:t>Kommunala beslut</w:t>
      </w:r>
      <w:bookmarkEnd w:id="6"/>
    </w:p>
    <w:p>
      <w:pPr>
        <w:pStyle w:val="P2"/>
      </w:pPr>
      <w:r>
        <w:t>Planuppdrag</w:t>
      </w:r>
    </w:p>
    <w:p>
      <w:r>
        <w:t>Kommunstyrelsens ordförande har genom sin delegation 2022-03-07 gett Samhällsbyggnadsförvaltningen, Enheten Fysisk planering, i uppdrag att upprätta detaljplan för aktuellt planområde.</w:t>
      </w:r>
    </w:p>
    <w:p>
      <w:pPr>
        <w:pStyle w:val="P2"/>
        <w:rPr>
          <w:color w:val="222222"/>
        </w:rPr>
      </w:pPr>
      <w:bookmarkStart w:id="8" w:name="Beslut_i_frågan_om_miljöpåverkan_"/>
      <w:bookmarkStart w:id="9" w:name="pu_särskiltbeslutombetydandemiljöpåver01"/>
      <w:r>
        <w:t>Beslut i frågan om miljöpåverkan</w:t>
      </w:r>
      <w:bookmarkEnd w:id="8"/>
      <w:r>
        <w:t xml:space="preserve"> 6 kap. 7 § Miljöbalken</w:t>
      </w:r>
    </w:p>
    <w:p>
      <w:pPr>
        <w:rPr>
          <w:color w:val="000000"/>
          <w:szCs w:val="24"/>
        </w:rPr>
      </w:pPr>
      <w:r>
        <w:rPr>
          <w:color w:val="000000"/>
          <w:szCs w:val="24"/>
        </w:rPr>
        <w:t>Med utgångspunkt från miljöbedömningsförordningen (2017:966) har kommunen 2023-02-20 tagit ett särskilt beslut om att genomförandet av den föreslagna detaljplanen inte riskerar att medföra betydande miljöpåverkan. Det innebär att fortsatt strategisk miljöbedömning inte anses nödvändig och en miljökonsekvensbeskrivning inte behöver upprättas</w:t>
      </w:r>
      <w:bookmarkEnd w:id="7"/>
      <w:r>
        <w:rPr>
          <w:color w:val="000000"/>
          <w:szCs w:val="24"/>
        </w:rPr>
        <w:t>.</w:t>
      </w:r>
    </w:p>
    <w:p>
      <w:pPr>
        <w:spacing w:after="120" w:beforeAutospacing="0" w:afterAutospacing="0"/>
        <w:rPr>
          <w:color w:val="000000"/>
          <w:szCs w:val="24"/>
        </w:rPr>
      </w:pPr>
      <w:bookmarkEnd w:id="9"/>
      <w:r>
        <w:rPr>
          <w:color w:val="000000"/>
          <w:szCs w:val="24"/>
        </w:rPr>
        <w:br w:type="page"/>
      </w:r>
    </w:p>
    <w:p>
      <w:pPr>
        <w:pStyle w:val="P1"/>
      </w:pPr>
      <w:bookmarkStart w:id="10" w:name="_Toc167430716"/>
      <w:bookmarkStart w:id="11" w:name="be_ärendeinformation05"/>
      <w:r>
        <w:t>Planprocessen</w:t>
      </w:r>
      <w:bookmarkEnd w:id="10"/>
    </w:p>
    <w:p>
      <w:r>
        <w:t xml:space="preserve">Detaljplanen handläggs med utökat förfarande enligt PBL (2010:900). Förfarandet har valts med hänsyn till att planförslaget kan vara av betydande intresse för allmänheten med anledning av planområdets placering, centrumnära och invid Bodån. Planarbetet sker i en process där berörda får möjlighet att lämna synpunkter på planförslaget. </w:t>
      </w:r>
    </w:p>
    <w:p>
      <w:r>
        <w:t xml:space="preserve">Figuren nedan illustrerar planprocessen och vilket skede planarbetet är i just nu. </w:t>
      </w:r>
    </w:p>
    <w:p>
      <w:r>
        <w:rPr>
          <w:noProof w:val="1"/>
        </w:rPr>
        <w:drawing>
          <wp:inline xmlns:wp="http://schemas.openxmlformats.org/drawingml/2006/wordprocessingDrawing" distT="0" distB="0" distL="0" distR="0">
            <wp:extent cx="5221605" cy="607060"/>
            <wp:effectExtent l="0" t="0" r="0" b="254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a:picLocks noChangeAspect="1" noChangeArrowheads="1"/>
                    </pic:cNvPicPr>
                  </pic:nvPicPr>
                  <pic:blipFill dpi="0">
                    <a:blip xmlns:r="http://schemas.openxmlformats.org/officeDocument/2006/relationships" r:embed="Relimage1" cstate="screen"/>
                    <a:srcRect/>
                    <a:stretch>
                      <a:fillRect/>
                    </a:stretch>
                  </pic:blipFill>
                  <pic:spPr bwMode="auto">
                    <a:xfrm>
                      <a:off x="0" y="0"/>
                      <a:ext cx="5221605" cy="607179"/>
                    </a:xfrm>
                    <a:prstGeom prst="rect"/>
                    <a:noFill/>
                  </pic:spPr>
                </pic:pic>
              </a:graphicData>
            </a:graphic>
          </wp:inline>
        </w:drawing>
      </w:r>
    </w:p>
    <w:p>
      <w:r>
        <w:t>Till samråd visas ett preliminärt planförslag, efter samråd sammanställs inkomna synpunkter i en samrådsredogörelse och planhandlingarna och plankartan revideras vid behov. Till granskningen visas ett slutligt förslag och inkomna synpunkter sammanställs i ett granskningsutlåtande. Detaljplanen blir sedan gällande tre veckor efter att antagandet kungjorts om inte beslutet att anta detaljplanen överklagas.</w:t>
      </w:r>
    </w:p>
    <w:p>
      <w:pPr>
        <w:pStyle w:val="P1"/>
      </w:pPr>
      <w:bookmarkEnd w:id="11"/>
      <w:bookmarkStart w:id="12" w:name="_Toc167430717"/>
      <w:r>
        <w:t>Detaljplanens bakgrund och syfte</w:t>
      </w:r>
      <w:bookmarkEnd w:id="12"/>
      <w:r>
        <w:t xml:space="preserve"> </w:t>
      </w:r>
    </w:p>
    <w:p>
      <w:bookmarkStart w:id="13" w:name="sy_syfte01"/>
      <w:r>
        <w:t xml:space="preserve">Syftet med detaljplanen är att pröva möjligheten att tillskapa nya byggrätter för bostadsändamål på fastigheten Boden 57:66. </w:t>
      </w:r>
      <w:bookmarkStart w:id="14" w:name="_Hlk165887075"/>
      <w:r>
        <w:t>Planen syftar även till att lösa dagvattenhanteringen för närliggande områden väster om planområdet som idag lätt översvämmas vid skyfall. Eftersom området tidigare varit militärt område är en del av planförslagets syfte att öppna upp och tillgängliggöra området vid Bodån för allmänheten genom att planlägga ytan som park med möjlighet till gång- och cykelväg.</w:t>
      </w:r>
    </w:p>
    <w:p>
      <w:bookmarkEnd w:id="13"/>
      <w:bookmarkStart w:id="15" w:name="sy_detaljplanensbakgrund01"/>
      <w:r>
        <w:t>Parkeringen till kyrkogården är idag otillräcklig varför planförslaget även syftar till att utöka marken för kyrkans behov, parkering samt möjlighet till komplementbyggnad. Detta genom att planlägga för begravningsändamål (M - begravningsplats i plankartan) i anslutning till den befintliga kyrkogården</w:t>
      </w:r>
      <w:bookmarkEnd w:id="14"/>
      <w:r>
        <w:t>. Genom detta ges möjlighet för kyrkoverksamheten att utöka nuvarande fastighet för kyrkans ändamål. Gravplats får inte anordnas.</w:t>
      </w:r>
    </w:p>
    <w:p>
      <w:r>
        <w:t>Bodens kommun står inför en stor samhällsomvandling där tillgång till bostäder i attraktiva lägen är en viktig del i kommunens arbete med att få människor att vilja bo, arbeta och leva i kommunen. Samhällsbyggnadsförvaltningen, enheten fysisk planering har därför fått i uppdrag att pröva lämpligheten i att planlägga aktuellt område för bostadsändamål.</w:t>
      </w:r>
    </w:p>
    <w:p>
      <w:r>
        <w:t>Bodens kommun har en målsättning att till år 2030 öka befolkningen till 33 000 invånare. För att uppnå detta mål krävs bland annat att nya byggrätter för bostads-ändamål i centrumnära lägen tillskapas. Bostadsförsörjningsprogrammet tydliggör att det kommer att behövas byggas 2700 bostäder fram till 2030. Orsaken till detta är att Stegra, (tidigare H2 Green Steel) under 2021 meddelade sina planer om att bygga en fabrik för storskalig produktion av fossilfritt stål i Boden. I dagsläget är det planerat att fabriken färdigställs i slutet av 2025 och produktionen startar under 2026. Etableringen är en av de största industriella projekt i Sverige hittills och beräknas tillföra ca. 4 500 nya arbetstillfällen i Boden fram till 2030, därav ca 2 000 i fabriken. För att möta de stora industrisatsningarnas behov av arbetskraft kommer befolkningen behöva växa med ca. 18% till 2030 från dagens nivå. Detta kommer skapa stora behov för nya bostäder och service i kommunen. Attraktiva bostäder och boendemiljöer utgör en avgörande faktor för att locka människor att bosätta sig i och förbli i en kommun. De spelar också en viktig roll i att locka företag att etablera sig och växa. Attraktiva bostäder bidrar till ökad potential för tillväxt och välbefinnande, vilket är av yttersta betydelse för företagens förmåga att tillgodose sin kompetensförsörjning samt för kommunernas övergripande välmående. Således är skapandet av attraktiva bostäder en strategisk utvecklingsfråga med regional påverkan.</w:t>
      </w:r>
    </w:p>
    <w:p>
      <w:r>
        <w:t>I kommunens fördjupade översiktsplan, antagen år 2020, är området utpekat som föreslaget nytt bostadsområde. Planens intentioner stämmer överens med den fördjupade översiktsplanen, men påverkar det generella strandskyddet och bedöms kunna ha ett betydande intresse för allmänheten, varvid detaljplanen föreslås handläggas med utökat förfarande enligt plan- och bygglagen (2010:900).</w:t>
      </w:r>
    </w:p>
    <w:p>
      <w:r>
        <w:t>Kommunen förvärvade fastigheten Boden 57:66 av Fortifikationsverket år 2016. Innan dess hade Försvarsmaktens Ingenjörsbataljon, Ing3, bland annat undervisningslokaler och förrådsbyggnader och bedrev utbildning i brobyggande på området. En yta inom planområdet har under Försvarsmaktens tid använts som skjutbana för korthåll, skjutbanan lades ner år 1996. Inom området står i nuläget tre byggnader, som lämnats kvar från Försvarsmaktens tid. Kommunen nyttjar två förrådsbyggnader, men i övrigt står området outnyttjat.</w:t>
      </w:r>
      <w:bookmarkEnd w:id="15"/>
      <w:r>
        <w:t xml:space="preserve"> </w:t>
      </w:r>
    </w:p>
    <w:p>
      <w:pPr>
        <w:pStyle w:val="P1"/>
      </w:pPr>
      <w:bookmarkStart w:id="16" w:name="_Toc167430718"/>
      <w:bookmarkStart w:id="17" w:name="be_ärendeinformation06"/>
      <w:r>
        <w:t>Beskrivning av detaljplanen</w:t>
      </w:r>
      <w:bookmarkEnd w:id="16"/>
    </w:p>
    <w:p>
      <w:r>
        <w:t>Detaljplanen är upprättad efter Boverkets föreskrifter och allmänna råd BFS 2020:5, 2020:6 samt 2020:8.</w:t>
      </w:r>
      <w:bookmarkEnd w:id="17"/>
      <w:r>
        <w:t xml:space="preserve"> </w:t>
      </w:r>
    </w:p>
    <w:p>
      <w:pPr>
        <w:pStyle w:val="P2"/>
      </w:pPr>
      <w:bookmarkStart w:id="18" w:name="sy_detaljplanenslokalisering01"/>
      <w:r>
        <w:t>Detaljplanens läge, areal och markägoförhållanden</w:t>
      </w:r>
    </w:p>
    <w:p>
      <w:r>
        <w:t xml:space="preserve">Aktuellt planområde omfattar cirka 5,7 hektar. Fastigheten Boden 57:66 samt del av fastigheterna Boden 57:2 och 56:22 berörs av aktuellt planförslag. Bodens kommun är fastighetsägare till de fastigheter som berörs av planarbetet. </w:t>
      </w:r>
    </w:p>
    <w:p>
      <w:r>
        <w:t xml:space="preserve">Planområdet är beläget ungefär 700 meter söder om Bodens centrum. Planområdet gränsar i söder till Sveavägen, i väster till Kyrkogårdsgatan, i norr till kyrkogården och i öster till Bodån. Området ligger i nära anslutning till förskola. </w:t>
      </w:r>
    </w:p>
    <w:p>
      <w:pPr>
        <w:keepNext w:val="1"/>
      </w:pPr>
      <w:r>
        <w:rPr>
          <w:noProof w:val="1"/>
        </w:rPr>
        <w:drawing>
          <wp:inline xmlns:wp="http://schemas.openxmlformats.org/drawingml/2006/wordprocessingDrawing" distT="0" distB="0" distL="0" distR="0">
            <wp:extent cx="5379085" cy="2681605"/>
            <wp:effectExtent l="0" t="0" r="0" b="4445"/>
            <wp:docPr id="18" name="Bildobjekt 1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En bild som visar karta&#10;&#10;Automatiskt genererad beskrivning"/>
                    <pic:cNvPicPr/>
                  </pic:nvPicPr>
                  <pic:blipFill dpi="0">
                    <a:blip xmlns:r="http://schemas.openxmlformats.org/officeDocument/2006/relationships" r:embed="Relimage2"/>
                    <a:srcRect t="18804" r="11472" b="12948"/>
                    <a:stretch>
                      <a:fillRect/>
                    </a:stretch>
                  </pic:blipFill>
                  <pic:spPr bwMode="auto">
                    <a:xfrm>
                      <a:off x="0" y="0"/>
                      <a:ext cx="5379632" cy="2681654"/>
                    </a:xfrm>
                    <a:prstGeom prst="rect"/>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Översiktskarta med aktuellt planområde schematiskt markerat i rött.</w:t>
      </w:r>
    </w:p>
    <w:p>
      <w:pPr>
        <w:keepNext w:val="1"/>
        <w:rPr>
          <w:i w:val="1"/>
          <w:iCs w:val="1"/>
          <w:sz w:val="20"/>
          <w:szCs w:val="20"/>
        </w:rPr>
      </w:pPr>
      <w:r>
        <w:rPr>
          <w:i w:val="1"/>
          <w:iCs w:val="1"/>
          <w:noProof w:val="1"/>
          <w:sz w:val="20"/>
          <w:szCs w:val="20"/>
        </w:rPr>
        <mc:AlternateContent>
          <mc:Choice Requires="wps">
            <w:drawing>
              <wp:anchor xmlns:wp="http://schemas.openxmlformats.org/drawingml/2006/wordprocessingDrawing" distT="0" distB="0" distL="114300" distR="114300" simplePos="0" relativeHeight="40" behindDoc="0" locked="0" layoutInCell="1" allowOverlap="1">
                <wp:simplePos x="0" y="0"/>
                <wp:positionH relativeFrom="column">
                  <wp:posOffset>1534795</wp:posOffset>
                </wp:positionH>
                <wp:positionV relativeFrom="paragraph">
                  <wp:posOffset>419735</wp:posOffset>
                </wp:positionV>
                <wp:extent cx="1268095" cy="1971040"/>
                <wp:effectExtent l="0" t="0" r="27305" b="10160"/>
                <wp:wrapNone/>
                <wp:docPr id="39" name="Frihandsfigur: Form 39"/>
                <wp:cNvGraphicFramePr/>
                <a:graphic xmlns:a="http://schemas.openxmlformats.org/drawingml/2006/main">
                  <a:graphicData uri="http://schemas.microsoft.com/office/word/2010/wordprocessingShape">
                    <wps:wsp>
                      <wps:cNvSpPr/>
                      <wps:spPr>
                        <a:xfrm>
                          <a:off x="0" y="0"/>
                          <a:ext cx="1268534" cy="1971511"/>
                        </a:xfrm>
                        <a:custGeom>
                          <a:gdLst>
                            <a:gd name="connsiteX0" fmla="*/ 322418 w 1268532"/>
                            <a:gd name="connsiteY0" fmla="*/ 0 h 1971510"/>
                            <a:gd name="connsiteX1" fmla="*/ 1247389 w 1268532"/>
                            <a:gd name="connsiteY1" fmla="*/ 396416 h 1971510"/>
                            <a:gd name="connsiteX2" fmla="*/ 1268532 w 1268532"/>
                            <a:gd name="connsiteY2" fmla="*/ 766405 h 1971510"/>
                            <a:gd name="connsiteX3" fmla="*/ 1199819 w 1268532"/>
                            <a:gd name="connsiteY3" fmla="*/ 1263246 h 1971510"/>
                            <a:gd name="connsiteX4" fmla="*/ 856259 w 1268532"/>
                            <a:gd name="connsiteY4" fmla="*/ 1707233 h 1971510"/>
                            <a:gd name="connsiteX5" fmla="*/ 671265 w 1268532"/>
                            <a:gd name="connsiteY5" fmla="*/ 1971510 h 1971510"/>
                            <a:gd name="connsiteX6" fmla="*/ 5285 w 1268532"/>
                            <a:gd name="connsiteY6" fmla="*/ 1532809 h 1971510"/>
                            <a:gd name="connsiteX7" fmla="*/ 0 w 1268532"/>
                            <a:gd name="connsiteY7" fmla="*/ 1501096 h 1971510"/>
                            <a:gd name="connsiteX8" fmla="*/ 63426 w 1268532"/>
                            <a:gd name="connsiteY8" fmla="*/ 1347815 h 1971510"/>
                            <a:gd name="connsiteX9" fmla="*/ 137424 w 1268532"/>
                            <a:gd name="connsiteY9" fmla="*/ 1094109 h 1971510"/>
                            <a:gd name="connsiteX10" fmla="*/ 137424 w 1268532"/>
                            <a:gd name="connsiteY10" fmla="*/ 745263 h 1971510"/>
                            <a:gd name="connsiteX11" fmla="*/ 195565 w 1268532"/>
                            <a:gd name="connsiteY11" fmla="*/ 454557 h 1971510"/>
                            <a:gd name="connsiteX12" fmla="*/ 274848 w 1268532"/>
                            <a:gd name="connsiteY12" fmla="*/ 163852 h 1971510"/>
                            <a:gd name="connsiteX13" fmla="*/ 322418 w 1268532"/>
                            <a:gd name="connsiteY13" fmla="*/ 0 h 1971510"/>
                            <a:gd name="connsiteX0" fmla="*/ 322418 w 1268532"/>
                            <a:gd name="connsiteY0" fmla="*/ 0 h 1971510"/>
                            <a:gd name="connsiteX1" fmla="*/ 1247389 w 1268532"/>
                            <a:gd name="connsiteY1" fmla="*/ 396416 h 1971510"/>
                            <a:gd name="connsiteX2" fmla="*/ 1253950 w 1268532"/>
                            <a:gd name="connsiteY2" fmla="*/ 527195 h 1971510"/>
                            <a:gd name="connsiteX3" fmla="*/ 1268532 w 1268532"/>
                            <a:gd name="connsiteY3" fmla="*/ 766405 h 1971510"/>
                            <a:gd name="connsiteX4" fmla="*/ 1199819 w 1268532"/>
                            <a:gd name="connsiteY4" fmla="*/ 1263246 h 1971510"/>
                            <a:gd name="connsiteX5" fmla="*/ 856259 w 1268532"/>
                            <a:gd name="connsiteY5" fmla="*/ 1707233 h 1971510"/>
                            <a:gd name="connsiteX6" fmla="*/ 671265 w 1268532"/>
                            <a:gd name="connsiteY6" fmla="*/ 1971510 h 1971510"/>
                            <a:gd name="connsiteX7" fmla="*/ 5285 w 1268532"/>
                            <a:gd name="connsiteY7" fmla="*/ 1532809 h 1971510"/>
                            <a:gd name="connsiteX8" fmla="*/ 0 w 1268532"/>
                            <a:gd name="connsiteY8" fmla="*/ 1501096 h 1971510"/>
                            <a:gd name="connsiteX9" fmla="*/ 63426 w 1268532"/>
                            <a:gd name="connsiteY9" fmla="*/ 1347815 h 1971510"/>
                            <a:gd name="connsiteX10" fmla="*/ 137424 w 1268532"/>
                            <a:gd name="connsiteY10" fmla="*/ 1094109 h 1971510"/>
                            <a:gd name="connsiteX11" fmla="*/ 137424 w 1268532"/>
                            <a:gd name="connsiteY11" fmla="*/ 745263 h 1971510"/>
                            <a:gd name="connsiteX12" fmla="*/ 195565 w 1268532"/>
                            <a:gd name="connsiteY12" fmla="*/ 454557 h 1971510"/>
                            <a:gd name="connsiteX13" fmla="*/ 274848 w 1268532"/>
                            <a:gd name="connsiteY13" fmla="*/ 163852 h 1971510"/>
                            <a:gd name="connsiteX14" fmla="*/ 322418 w 1268532"/>
                            <a:gd name="connsiteY14" fmla="*/ 0 h 1971510"/>
                            <a:gd name="connsiteX0" fmla="*/ 322418 w 1268532"/>
                            <a:gd name="connsiteY0" fmla="*/ 0 h 1971510"/>
                            <a:gd name="connsiteX1" fmla="*/ 1202695 w 1268532"/>
                            <a:gd name="connsiteY1" fmla="*/ 390458 h 1971510"/>
                            <a:gd name="connsiteX2" fmla="*/ 1253950 w 1268532"/>
                            <a:gd name="connsiteY2" fmla="*/ 527195 h 1971510"/>
                            <a:gd name="connsiteX3" fmla="*/ 1268532 w 1268532"/>
                            <a:gd name="connsiteY3" fmla="*/ 766405 h 1971510"/>
                            <a:gd name="connsiteX4" fmla="*/ 1199819 w 1268532"/>
                            <a:gd name="connsiteY4" fmla="*/ 1263246 h 1971510"/>
                            <a:gd name="connsiteX5" fmla="*/ 856259 w 1268532"/>
                            <a:gd name="connsiteY5" fmla="*/ 1707233 h 1971510"/>
                            <a:gd name="connsiteX6" fmla="*/ 671265 w 1268532"/>
                            <a:gd name="connsiteY6" fmla="*/ 1971510 h 1971510"/>
                            <a:gd name="connsiteX7" fmla="*/ 5285 w 1268532"/>
                            <a:gd name="connsiteY7" fmla="*/ 1532809 h 1971510"/>
                            <a:gd name="connsiteX8" fmla="*/ 0 w 1268532"/>
                            <a:gd name="connsiteY8" fmla="*/ 1501096 h 1971510"/>
                            <a:gd name="connsiteX9" fmla="*/ 63426 w 1268532"/>
                            <a:gd name="connsiteY9" fmla="*/ 1347815 h 1971510"/>
                            <a:gd name="connsiteX10" fmla="*/ 137424 w 1268532"/>
                            <a:gd name="connsiteY10" fmla="*/ 1094109 h 1971510"/>
                            <a:gd name="connsiteX11" fmla="*/ 137424 w 1268532"/>
                            <a:gd name="connsiteY11" fmla="*/ 745263 h 1971510"/>
                            <a:gd name="connsiteX12" fmla="*/ 195565 w 1268532"/>
                            <a:gd name="connsiteY12" fmla="*/ 454557 h 1971510"/>
                            <a:gd name="connsiteX13" fmla="*/ 274848 w 1268532"/>
                            <a:gd name="connsiteY13" fmla="*/ 163852 h 1971510"/>
                            <a:gd name="connsiteX14" fmla="*/ 322418 w 1268532"/>
                            <a:gd name="connsiteY14" fmla="*/ 0 h 1971510"/>
                            <a:gd name="connsiteX0" fmla="*/ 322418 w 1268532"/>
                            <a:gd name="connsiteY0" fmla="*/ 0 h 1971510"/>
                            <a:gd name="connsiteX1" fmla="*/ 1202695 w 1268532"/>
                            <a:gd name="connsiteY1" fmla="*/ 390458 h 1971510"/>
                            <a:gd name="connsiteX2" fmla="*/ 1236073 w 1268532"/>
                            <a:gd name="connsiteY2" fmla="*/ 193523 h 1971510"/>
                            <a:gd name="connsiteX3" fmla="*/ 1268532 w 1268532"/>
                            <a:gd name="connsiteY3" fmla="*/ 766405 h 1971510"/>
                            <a:gd name="connsiteX4" fmla="*/ 1199819 w 1268532"/>
                            <a:gd name="connsiteY4" fmla="*/ 1263246 h 1971510"/>
                            <a:gd name="connsiteX5" fmla="*/ 856259 w 1268532"/>
                            <a:gd name="connsiteY5" fmla="*/ 1707233 h 1971510"/>
                            <a:gd name="connsiteX6" fmla="*/ 671265 w 1268532"/>
                            <a:gd name="connsiteY6" fmla="*/ 1971510 h 1971510"/>
                            <a:gd name="connsiteX7" fmla="*/ 5285 w 1268532"/>
                            <a:gd name="connsiteY7" fmla="*/ 1532809 h 1971510"/>
                            <a:gd name="connsiteX8" fmla="*/ 0 w 1268532"/>
                            <a:gd name="connsiteY8" fmla="*/ 1501096 h 1971510"/>
                            <a:gd name="connsiteX9" fmla="*/ 63426 w 1268532"/>
                            <a:gd name="connsiteY9" fmla="*/ 1347815 h 1971510"/>
                            <a:gd name="connsiteX10" fmla="*/ 137424 w 1268532"/>
                            <a:gd name="connsiteY10" fmla="*/ 1094109 h 1971510"/>
                            <a:gd name="connsiteX11" fmla="*/ 137424 w 1268532"/>
                            <a:gd name="connsiteY11" fmla="*/ 745263 h 1971510"/>
                            <a:gd name="connsiteX12" fmla="*/ 195565 w 1268532"/>
                            <a:gd name="connsiteY12" fmla="*/ 454557 h 1971510"/>
                            <a:gd name="connsiteX13" fmla="*/ 274848 w 1268532"/>
                            <a:gd name="connsiteY13" fmla="*/ 163852 h 1971510"/>
                            <a:gd name="connsiteX14" fmla="*/ 322418 w 1268532"/>
                            <a:gd name="connsiteY14" fmla="*/ 0 h 1971510"/>
                            <a:gd name="connsiteX0" fmla="*/ 322418 w 1268532"/>
                            <a:gd name="connsiteY0" fmla="*/ 0 h 1971510"/>
                            <a:gd name="connsiteX1" fmla="*/ 1202695 w 1268532"/>
                            <a:gd name="connsiteY1" fmla="*/ 390458 h 1971510"/>
                            <a:gd name="connsiteX2" fmla="*/ 1236073 w 1268532"/>
                            <a:gd name="connsiteY2" fmla="*/ 193523 h 1971510"/>
                            <a:gd name="connsiteX3" fmla="*/ 1239057 w 1268532"/>
                            <a:gd name="connsiteY3" fmla="*/ 324657 h 1971510"/>
                            <a:gd name="connsiteX4" fmla="*/ 1268532 w 1268532"/>
                            <a:gd name="connsiteY4" fmla="*/ 766405 h 1971510"/>
                            <a:gd name="connsiteX5" fmla="*/ 1199819 w 1268532"/>
                            <a:gd name="connsiteY5" fmla="*/ 1263246 h 1971510"/>
                            <a:gd name="connsiteX6" fmla="*/ 856259 w 1268532"/>
                            <a:gd name="connsiteY6" fmla="*/ 1707233 h 1971510"/>
                            <a:gd name="connsiteX7" fmla="*/ 671265 w 1268532"/>
                            <a:gd name="connsiteY7" fmla="*/ 1971510 h 1971510"/>
                            <a:gd name="connsiteX8" fmla="*/ 5285 w 1268532"/>
                            <a:gd name="connsiteY8" fmla="*/ 1532809 h 1971510"/>
                            <a:gd name="connsiteX9" fmla="*/ 0 w 1268532"/>
                            <a:gd name="connsiteY9" fmla="*/ 1501096 h 1971510"/>
                            <a:gd name="connsiteX10" fmla="*/ 63426 w 1268532"/>
                            <a:gd name="connsiteY10" fmla="*/ 1347815 h 1971510"/>
                            <a:gd name="connsiteX11" fmla="*/ 137424 w 1268532"/>
                            <a:gd name="connsiteY11" fmla="*/ 1094109 h 1971510"/>
                            <a:gd name="connsiteX12" fmla="*/ 137424 w 1268532"/>
                            <a:gd name="connsiteY12" fmla="*/ 745263 h 1971510"/>
                            <a:gd name="connsiteX13" fmla="*/ 195565 w 1268532"/>
                            <a:gd name="connsiteY13" fmla="*/ 454557 h 1971510"/>
                            <a:gd name="connsiteX14" fmla="*/ 274848 w 1268532"/>
                            <a:gd name="connsiteY14" fmla="*/ 163852 h 1971510"/>
                            <a:gd name="connsiteX15" fmla="*/ 322418 w 1268532"/>
                            <a:gd name="connsiteY15" fmla="*/ 0 h 1971510"/>
                            <a:gd name="connsiteX0" fmla="*/ 322418 w 1268532"/>
                            <a:gd name="connsiteY0" fmla="*/ 0 h 1971510"/>
                            <a:gd name="connsiteX1" fmla="*/ 1202695 w 1268532"/>
                            <a:gd name="connsiteY1" fmla="*/ 390458 h 1971510"/>
                            <a:gd name="connsiteX2" fmla="*/ 1236073 w 1268532"/>
                            <a:gd name="connsiteY2" fmla="*/ 193523 h 1971510"/>
                            <a:gd name="connsiteX3" fmla="*/ 1259913 w 1268532"/>
                            <a:gd name="connsiteY3" fmla="*/ 294865 h 1971510"/>
                            <a:gd name="connsiteX4" fmla="*/ 1268532 w 1268532"/>
                            <a:gd name="connsiteY4" fmla="*/ 766405 h 1971510"/>
                            <a:gd name="connsiteX5" fmla="*/ 1199819 w 1268532"/>
                            <a:gd name="connsiteY5" fmla="*/ 1263246 h 1971510"/>
                            <a:gd name="connsiteX6" fmla="*/ 856259 w 1268532"/>
                            <a:gd name="connsiteY6" fmla="*/ 1707233 h 1971510"/>
                            <a:gd name="connsiteX7" fmla="*/ 671265 w 1268532"/>
                            <a:gd name="connsiteY7" fmla="*/ 1971510 h 1971510"/>
                            <a:gd name="connsiteX8" fmla="*/ 5285 w 1268532"/>
                            <a:gd name="connsiteY8" fmla="*/ 1532809 h 1971510"/>
                            <a:gd name="connsiteX9" fmla="*/ 0 w 1268532"/>
                            <a:gd name="connsiteY9" fmla="*/ 1501096 h 1971510"/>
                            <a:gd name="connsiteX10" fmla="*/ 63426 w 1268532"/>
                            <a:gd name="connsiteY10" fmla="*/ 1347815 h 1971510"/>
                            <a:gd name="connsiteX11" fmla="*/ 137424 w 1268532"/>
                            <a:gd name="connsiteY11" fmla="*/ 1094109 h 1971510"/>
                            <a:gd name="connsiteX12" fmla="*/ 137424 w 1268532"/>
                            <a:gd name="connsiteY12" fmla="*/ 745263 h 1971510"/>
                            <a:gd name="connsiteX13" fmla="*/ 195565 w 1268532"/>
                            <a:gd name="connsiteY13" fmla="*/ 454557 h 1971510"/>
                            <a:gd name="connsiteX14" fmla="*/ 274848 w 1268532"/>
                            <a:gd name="connsiteY14" fmla="*/ 163852 h 1971510"/>
                            <a:gd name="connsiteX15" fmla="*/ 322418 w 1268532"/>
                            <a:gd name="connsiteY15" fmla="*/ 0 h 197151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268532" h="1971510">
                              <a:moveTo>
                                <a:pt x="322418" y="0"/>
                              </a:moveTo>
                              <a:lnTo>
                                <a:pt x="1202695" y="390458"/>
                              </a:lnTo>
                              <a:lnTo>
                                <a:pt x="1236073" y="193523"/>
                              </a:lnTo>
                              <a:cubicBezTo>
                                <a:pt x="1237068" y="237234"/>
                                <a:pt x="1258918" y="251154"/>
                                <a:pt x="1259913" y="294865"/>
                              </a:cubicBezTo>
                              <a:lnTo>
                                <a:pt x="1268532" y="766405"/>
                              </a:lnTo>
                              <a:lnTo>
                                <a:pt x="1199819" y="1263246"/>
                              </a:lnTo>
                              <a:lnTo>
                                <a:pt x="856259" y="1707233"/>
                              </a:lnTo>
                              <a:lnTo>
                                <a:pt x="671265" y="1971510"/>
                              </a:lnTo>
                              <a:lnTo>
                                <a:pt x="5285" y="1532809"/>
                              </a:lnTo>
                              <a:lnTo>
                                <a:pt x="0" y="1501096"/>
                              </a:lnTo>
                              <a:lnTo>
                                <a:pt x="63426" y="1347815"/>
                              </a:lnTo>
                              <a:lnTo>
                                <a:pt x="137424" y="1094109"/>
                              </a:lnTo>
                              <a:lnTo>
                                <a:pt x="137424" y="745263"/>
                              </a:lnTo>
                              <a:lnTo>
                                <a:pt x="195565" y="454557"/>
                              </a:lnTo>
                              <a:lnTo>
                                <a:pt x="274848" y="163852"/>
                              </a:lnTo>
                              <a:lnTo>
                                <a:pt x="322418" y="0"/>
                              </a:lnTo>
                              <a:close/>
                            </a:path>
                          </a:pathLst>
                        </a:cu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39" o:spid="_x0000_s1027" style="position:absolute;width:99.85pt;height:155.2pt;z-index:40;mso-wrap-distance-left:9pt;mso-wrap-distance-top:0pt;mso-wrap-distance-right:9pt;mso-wrap-distance-bottom:0pt;margin-left:120.85pt;margin-top:33.05pt;mso-position-horizontal:absolute;mso-position-horizontal-relative:text;mso-position-vertical:absolute;mso-position-vertical-relative:text;v-text-anchor:middle" o:allowincell="t" filled="f" strokecolor="#FF0000" strokeweight="2pt" stroked="t" coordsize="1997,3104" path="m322418,0l1202695,390458,1236073,193523,c1237068,237234,1258918,251154,1259913,294865,l1268532,766405,1199819,1263246,856259,1707233,671265,1971510,5285,1532809,,1501096,63426,1347815,137424,1094109,137424,745263,195565,454557,274848,163852,322418,,xe">
                <v:textbox inset="3mm,1mm,3mm,1mm">
                  <w:txbxContent>
                    <w:p/>
                  </w:txbxContent>
                </v:textbox>
                <v:stroke dashstyle="dash"/>
              </v:shape>
            </w:pict>
          </mc:Fallback>
        </mc:AlternateContent>
      </w:r>
      <w:r>
        <w:rPr>
          <w:i w:val="1"/>
          <w:iCs w:val="1"/>
          <w:noProof w:val="1"/>
          <w:sz w:val="20"/>
          <w:szCs w:val="20"/>
        </w:rPr>
        <w:drawing>
          <wp:inline xmlns:wp="http://schemas.openxmlformats.org/drawingml/2006/wordprocessingDrawing" distT="0" distB="0" distL="0" distR="0">
            <wp:extent cx="5220970" cy="2804160"/>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3"/>
                    <pic:cNvPicPr/>
                  </pic:nvPicPr>
                  <pic:blipFill dpi="0">
                    <a:blip xmlns:r="http://schemas.openxmlformats.org/officeDocument/2006/relationships" r:embed="Relimage3"/>
                    <a:srcRect t="6226" b="5546"/>
                    <a:stretch>
                      <a:fillRect/>
                    </a:stretch>
                  </pic:blipFill>
                  <pic:spPr bwMode="auto">
                    <a:xfrm>
                      <a:off x="0" y="0"/>
                      <a:ext cx="5221209" cy="2804387"/>
                    </a:xfrm>
                    <a:prstGeom prst="rect"/>
                    <a:ln>
                      <a:noFill/>
                    </a:ln>
                  </pic:spPr>
                </pic:pic>
              </a:graphicData>
            </a:graphic>
          </wp:inline>
        </w:drawing>
      </w:r>
      <w:r>
        <w:rPr>
          <w:i w:val="1"/>
          <w:iCs w:val="1"/>
          <w:sz w:val="20"/>
          <w:szCs w:val="20"/>
        </w:rPr>
        <w:t xml:space="preserve">Ortofoto med planområdet </w:t>
      </w:r>
      <w:r>
        <w:rPr>
          <w:b w:val="1"/>
          <w:i w:val="1"/>
          <w:bCs w:val="1"/>
          <w:iCs w:val="1"/>
          <w:sz w:val="20"/>
          <w:szCs w:val="20"/>
        </w:rPr>
        <w:t>s</w:t>
      </w:r>
      <w:r>
        <w:rPr>
          <w:i w:val="1"/>
          <w:iCs w:val="1"/>
          <w:sz w:val="20"/>
          <w:szCs w:val="20"/>
        </w:rPr>
        <w:t>chematiskt markerat med röd linje.</w:t>
      </w:r>
    </w:p>
    <w:p>
      <w:pPr>
        <w:pStyle w:val="P2"/>
      </w:pPr>
      <w:bookmarkEnd w:id="18"/>
      <w:bookmarkStart w:id="19" w:name="be_befintligt01"/>
      <w:r>
        <w:t>Befintliga förhållanden</w:t>
      </w:r>
    </w:p>
    <w:p>
      <w:pPr>
        <w:rPr>
          <w:szCs w:val="24"/>
        </w:rPr>
      </w:pPr>
      <w:r>
        <w:rPr>
          <w:szCs w:val="24"/>
        </w:rPr>
        <w:t xml:space="preserve">Aktuellt planområde sluttar i västöstlig riktning ned mot Bodån i öster. I den norra delen finns ett låglänt område som benämns </w:t>
      </w:r>
      <w:r>
        <w:rPr>
          <w:i w:val="1"/>
          <w:iCs w:val="1"/>
          <w:szCs w:val="24"/>
        </w:rPr>
        <w:t>ravinen</w:t>
      </w:r>
      <w:r>
        <w:rPr>
          <w:szCs w:val="24"/>
        </w:rPr>
        <w:t xml:space="preserve"> och som omgärdas av branta slänter. Ravinen är i kommunens fördjupade översiktsplan (2020) utpekad som ett grön- och klimatstråk.</w:t>
      </w:r>
    </w:p>
    <w:p>
      <w:r>
        <w:t xml:space="preserve">Marken inom planområdet består till största delen av gräsbevuxna ytor en del hårdgjorda ytor finns även i form av belagd väg samt grusytor i anslutning till byggnaderna. </w:t>
      </w:r>
    </w:p>
    <w:p>
      <w:r>
        <w:t xml:space="preserve">Planområdet har tidigare använts av Försvarsmakten som utbildningsområde, de har haft undervisningslokaler, förrådsbyggnader och skjutbana på platsen. Skjutbanan var en så kallad korthållsbana, benämnd Ing.3 Skjutbanan lades ner år 1996 och i samband med detta så rev Försvarsmakten kulfånget och sanerade området genom att gräva ur allt material från kulfånget. </w:t>
      </w:r>
    </w:p>
    <w:p>
      <w:r>
        <w:t>Inom ett begränsat område där den tidigare skjutbanans kulfångare varit placerad förekommer idag blyhalter över rekommenderade nivåer för känslig markanvändning (KM). De påträffade halterna ligger inom rekommenderade nivåer för mindre känslig markanvändning (MKM), läs mer om markföroreningar under planeringsförutsättningar.</w:t>
      </w:r>
    </w:p>
    <w:p>
      <w:pPr>
        <w:keepNext w:val="1"/>
      </w:pPr>
      <w:r>
        <w:rPr>
          <w:noProof w:val="1"/>
        </w:rPr>
        <mc:AlternateContent>
          <mc:Choice Requires="wps">
            <w:drawing>
              <wp:anchor xmlns:wp="http://schemas.openxmlformats.org/drawingml/2006/wordprocessingDrawing" distT="0" distB="0" distL="114300" distR="114300" simplePos="0" relativeHeight="18" behindDoc="0" locked="0" layoutInCell="1" allowOverlap="1">
                <wp:simplePos x="0" y="0"/>
                <wp:positionH relativeFrom="column">
                  <wp:posOffset>3123565</wp:posOffset>
                </wp:positionH>
                <wp:positionV relativeFrom="paragraph">
                  <wp:posOffset>2393950</wp:posOffset>
                </wp:positionV>
                <wp:extent cx="2036445" cy="477520"/>
                <wp:effectExtent l="0" t="0" r="0" b="0"/>
                <wp:wrapNone/>
                <wp:docPr id="16" name="Textruta 16"/>
                <wp:cNvGraphicFramePr/>
                <a:graphic xmlns:a="http://schemas.openxmlformats.org/drawingml/2006/main">
                  <a:graphicData uri="http://schemas.microsoft.com/office/word/2010/wordprocessingShape">
                    <wps:wsp>
                      <wps:cNvSpPr txBox="1"/>
                      <wps:spPr>
                        <a:xfrm>
                          <a:off x="0" y="0"/>
                          <a:ext cx="2036445" cy="47752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Lokalisering av den före detta skjutbanan markerat med blått.</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16" o:spid="_x0000_s1028" style="position:absolute;width:160.35pt;height:37.6pt;z-index:18;mso-wrap-distance-left:9pt;mso-wrap-distance-top:0pt;mso-wrap-distance-right:9pt;mso-wrap-distance-bottom:0pt;margin-left:245.95pt;margin-top:188.5pt;mso-position-horizontal:absolute;mso-position-horizontal-relative:text;mso-position-vertical:absolute;mso-position-vertical-relative:text" o:allowincell="t" filled="f" strokeweight="0.5pt" stroked="f">
                <v:textbox inset="3mm,1mm,3mm,1mm">
                  <w:txbxContent>
                    <w:p>
                      <w:pPr>
                        <w:pStyle w:val="P50"/>
                        <w:ind w:left="0"/>
                        <w:rPr>
                          <w:b w:val="0"/>
                          <w:i w:val="1"/>
                          <w:bCs w:val="0"/>
                          <w:iCs w:val="1"/>
                          <w:color w:val="auto"/>
                          <w:sz w:val="20"/>
                          <w:szCs w:val="20"/>
                        </w:rPr>
                      </w:pPr>
                      <w:r>
                        <w:rPr>
                          <w:b w:val="0"/>
                          <w:i w:val="1"/>
                          <w:bCs w:val="0"/>
                          <w:iCs w:val="1"/>
                          <w:color w:val="auto"/>
                          <w:sz w:val="20"/>
                          <w:szCs w:val="20"/>
                        </w:rPr>
                        <w:t>Lokalisering av den före detta skjutbanan markerat med blått.</w:t>
                      </w:r>
                    </w:p>
                    <w:p/>
                  </w:txbxContent>
                </v:textbox>
              </v:shape>
            </w:pict>
          </mc:Fallback>
        </mc:AlternateContent>
      </w:r>
      <w:r>
        <w:rPr>
          <w:noProof w:val="1"/>
          <w:szCs w:val="24"/>
        </w:rPr>
        <w:drawing>
          <wp:anchor xmlns:wp="http://schemas.openxmlformats.org/drawingml/2006/wordprocessingDrawing" distT="0" distB="0" distL="114300" distR="114300" simplePos="0" relativeHeight="5" behindDoc="0" locked="0" layoutInCell="1" allowOverlap="1">
            <wp:simplePos x="0" y="0"/>
            <wp:positionH relativeFrom="column">
              <wp:posOffset>3178810</wp:posOffset>
            </wp:positionH>
            <wp:positionV relativeFrom="paragraph">
              <wp:posOffset>0</wp:posOffset>
            </wp:positionV>
            <wp:extent cx="1926590" cy="2375535"/>
            <wp:effectExtent l="0" t="0" r="0" b="5715"/>
            <wp:wrapThrough wrapText="bothSides">
              <wp:wrapPolygon edited="0">
                <wp:start x="0" y="0"/>
                <wp:lineTo x="0" y="21479"/>
                <wp:lineTo x="21358" y="21479"/>
                <wp:lineTo x="21358" y="0"/>
                <wp:lineTo x="0" y="0"/>
              </wp:wrapPolygon>
            </wp:wrapThrough>
            <wp:docPr id="4" name="Bildobjekt 4"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text&#10;&#10;Automatiskt genererad beskrivning"/>
                    <pic:cNvPicPr/>
                  </pic:nvPicPr>
                  <pic:blipFill dpi="0">
                    <a:blip xmlns:r="http://schemas.openxmlformats.org/officeDocument/2006/relationships" r:embed="Relimage4"/>
                    <a:srcRect l="19299" t="14430" r="9077" b="23075"/>
                    <a:stretch>
                      <a:fillRect/>
                    </a:stretch>
                  </pic:blipFill>
                  <pic:spPr bwMode="auto">
                    <a:xfrm>
                      <a:off x="0" y="0"/>
                      <a:ext cx="1926590" cy="2375535"/>
                    </a:xfrm>
                    <a:prstGeom prst="rect"/>
                    <a:ln>
                      <a:noFill/>
                    </a:ln>
                  </pic:spPr>
                </pic:pic>
              </a:graphicData>
            </a:graphic>
          </wp:anchor>
        </w:drawing>
      </w:r>
      <w:r>
        <w:rPr>
          <w:noProof w:val="1"/>
          <w:szCs w:val="24"/>
        </w:rPr>
        <w:drawing>
          <wp:anchor xmlns:wp="http://schemas.openxmlformats.org/drawingml/2006/wordprocessingDrawing" distT="0" distB="0" distL="114300" distR="114300" simplePos="0" relativeHeight="17" behindDoc="0" locked="0" layoutInCell="1" allowOverlap="1">
            <wp:simplePos x="0" y="0"/>
            <wp:positionH relativeFrom="column">
              <wp:posOffset>4569460</wp:posOffset>
            </wp:positionH>
            <wp:positionV relativeFrom="paragraph">
              <wp:posOffset>2059305</wp:posOffset>
            </wp:positionV>
            <wp:extent cx="627380" cy="265430"/>
            <wp:effectExtent l="0" t="0" r="1270" b="1270"/>
            <wp:wrapNone/>
            <wp:docPr id="5" name="Bildobjekt 5"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text&#10;&#10;Automatiskt genererad beskrivning"/>
                    <pic:cNvPicPr/>
                  </pic:nvPicPr>
                  <pic:blipFill dpi="0">
                    <a:blip xmlns:r="http://schemas.openxmlformats.org/officeDocument/2006/relationships" r:embed="Relimage4"/>
                    <a:srcRect l="76651" t="85159" r="6816" b="9883"/>
                    <a:stretch>
                      <a:fillRect/>
                    </a:stretch>
                  </pic:blipFill>
                  <pic:spPr bwMode="auto">
                    <a:xfrm>
                      <a:off x="0" y="0"/>
                      <a:ext cx="627380" cy="265430"/>
                    </a:xfrm>
                    <a:prstGeom prst="rect"/>
                    <a:ln>
                      <a:noFill/>
                    </a:ln>
                  </pic:spPr>
                </pic:pic>
              </a:graphicData>
            </a:graphic>
          </wp:anchor>
        </w:drawing>
      </w:r>
      <w:r>
        <w:rPr>
          <w:noProof w:val="1"/>
          <w:szCs w:val="24"/>
        </w:rPr>
        <w:drawing>
          <wp:inline xmlns:wp="http://schemas.openxmlformats.org/drawingml/2006/wordprocessingDrawing" distT="0" distB="0" distL="0" distR="0">
            <wp:extent cx="2945130" cy="2375535"/>
            <wp:effectExtent l="0" t="0" r="7620" b="5715"/>
            <wp:docPr id="870054548" name="Bildobjekt 87005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5"/>
                    <a:srcRect t="31289" b="14932"/>
                    <a:stretch>
                      <a:fillRect/>
                    </a:stretch>
                  </pic:blipFill>
                  <pic:spPr bwMode="auto">
                    <a:xfrm>
                      <a:off x="0" y="0"/>
                      <a:ext cx="2945384" cy="2376000"/>
                    </a:xfrm>
                    <a:prstGeom prst="rect"/>
                    <a:noFill/>
                    <a:ln>
                      <a:noFill/>
                    </a:ln>
                  </pic:spPr>
                </pic:pic>
              </a:graphicData>
            </a:graphic>
          </wp:inline>
        </w:drawing>
      </w:r>
    </w:p>
    <w:p>
      <w:pPr>
        <w:pStyle w:val="P50"/>
        <w:ind w:left="0"/>
        <w:rPr>
          <w:b w:val="0"/>
          <w:bCs w:val="0"/>
          <w:color w:val="auto"/>
          <w:sz w:val="16"/>
          <w:szCs w:val="16"/>
        </w:rPr>
      </w:pPr>
      <w:r>
        <w:rPr>
          <w:b w:val="0"/>
          <w:i w:val="1"/>
          <w:bCs w:val="0"/>
          <w:iCs w:val="1"/>
          <w:color w:val="auto"/>
          <w:sz w:val="20"/>
          <w:szCs w:val="20"/>
        </w:rPr>
        <w:t>Snedbild över planområdet idag</w:t>
      </w:r>
      <w:r>
        <w:rPr>
          <w:b w:val="0"/>
          <w:bCs w:val="0"/>
          <w:color w:val="auto"/>
          <w:sz w:val="16"/>
          <w:szCs w:val="16"/>
        </w:rPr>
        <w:t>.</w:t>
      </w:r>
    </w:p>
    <w:p/>
    <w:p>
      <w:r>
        <w:t>Planområdet ligger inom riksintresse för kulturmiljövården Boden BD74 (K74a kasernområden) enligt 3 kap 6 § miljöbalken och ingår i Norrbottens kulturmiljöprogram. Byggnaderna inom planområdet omfattas ej av byggnadsminne.</w:t>
      </w:r>
    </w:p>
    <w:p>
      <w:r>
        <w:t>Planområdet omfattas av riksintresse för totalförsvaret 3 kap 9 § miljöbalken och ligger inom stoppområde för höga objekt samt inom område med särskilt behov av hindersfrihet.</w:t>
      </w:r>
    </w:p>
    <w:p>
      <w:r>
        <w:t>Planområdet ligger inom hindersfritt område för Luleå flygplats, riksintresse för kommunikationer (3 kap 8 § MB).</w:t>
      </w:r>
    </w:p>
    <w:p>
      <w:r>
        <w:t>Planområdet ligger inom vinterland och samebyarnas totalbetesområde, men ingår inte i riksintresse för rennäring.</w:t>
      </w:r>
    </w:p>
    <w:p>
      <w:pPr>
        <w:rPr>
          <w:szCs w:val="24"/>
        </w:rPr>
      </w:pPr>
      <w:r>
        <w:rPr>
          <w:szCs w:val="24"/>
        </w:rPr>
        <w:t>Planområdet ingår i kommunens verksamhetsområde för vatten och avlopp. Befintlig infrastruktur kan nyttjas i stor utsträckning.</w:t>
      </w:r>
    </w:p>
    <w:p>
      <w:pPr>
        <w:rPr>
          <w:szCs w:val="24"/>
        </w:rPr>
      </w:pPr>
      <w:r>
        <w:rPr>
          <w:szCs w:val="24"/>
        </w:rPr>
        <w:t>För planområdet gäller i nuläget inget strandskydd, men det återinträder vid upprättande av ny detaljplan och ska prövas på nytt.</w:t>
      </w:r>
    </w:p>
    <w:p>
      <w:pPr>
        <w:pStyle w:val="P2"/>
      </w:pPr>
      <w:bookmarkEnd w:id="19"/>
      <w:bookmarkStart w:id="20" w:name="be_allmänplats01"/>
      <w:r>
        <w:t>Allmän plats</w:t>
      </w:r>
    </w:p>
    <w:p>
      <w:r>
        <w:t xml:space="preserve">Ny in- och utfart föreslås via Kyrkogårdsgatan. Den så kallade ravinen i norr, slänten mot Bodån samt den södra delen av planområdet invid Sveavägen bevaras till fördel för dagvattenhantering och högre vattennivåer och planläggs som park. Platsens kvaliteter har varit utgångspunkten vid utvecklingen av tänkt bostadsområde. Skyfallsstudien visar att framtida 100 års-regn (200-årsregn) kommer att generera ett ökat översvämningsdjup i planområdets norra del där ravinen går, därför planläggs ravinen som park med egenskapsbestämmelser om dagvattendike och fördröjningsmagasin. </w:t>
      </w:r>
    </w:p>
    <w:p>
      <w:r>
        <w:t xml:space="preserve">Området där den före detta skjutbanan låg planläggs som parkmark. </w:t>
      </w:r>
    </w:p>
    <w:p>
      <w:r>
        <w:t>I enlighet med utförd geoteknisk utredning (WSP, 2016-06-22 och Sweco 2023-10-17 reviderad 2024-05-16) tillåts ingen byggnation innanför föreslagen begränsningslinje mot Bodåns strandkant på grund av stabilitetsproblem. Denna mark planläggs som park.</w:t>
      </w:r>
    </w:p>
    <w:p>
      <w:r>
        <w:t>Tillfart till den allmänna parkmarken för underhåll och skötsel av bland annat dagvattenanläggningar sker via Sveavägen och Kyrkogårdsgatan.</w:t>
      </w:r>
    </w:p>
    <w:p>
      <w:pPr>
        <w:pStyle w:val="P3"/>
      </w:pPr>
      <w:bookmarkStart w:id="21" w:name="be_huvudmannaskap01"/>
      <w:r>
        <w:t>Huvudmannaskap</w:t>
      </w:r>
    </w:p>
    <w:p>
      <w:r>
        <w:t>Bodens kommun är huvudman för all allmän platsmark som i detta detaljplaneförslag endast omfattar parkmark.</w:t>
      </w:r>
    </w:p>
    <w:p>
      <w:pPr>
        <w:pStyle w:val="P2"/>
      </w:pPr>
      <w:bookmarkEnd w:id="20"/>
      <w:bookmarkEnd w:id="21"/>
      <w:bookmarkStart w:id="22" w:name="be_kvartersmark01"/>
      <w:r>
        <w:t>Kvartersmark</w:t>
      </w:r>
    </w:p>
    <w:p>
      <w:r>
        <w:t xml:space="preserve">Planförslaget möjliggör för nya byggrätter för bostäder med ett minsta avstånd till Sveavägens vägmitt på 25 meter eller mer vilket innebär att bebyggelsen klarar gällande riktvärden för buller. Risker avseende transporter av farligt gods bedöms som låga. </w:t>
      </w:r>
    </w:p>
    <w:p>
      <w:r>
        <w:t xml:space="preserve">De befintliga byggnaderna i och runt planområdet har varit en utgångspunkt i både skala, form och riktning vid framtagandet av aktuell detaljplan och förslag till utformning. Utifrån riktningen på byggnader och stråk i Sveafältet, Lundagård och Kårbacken har tydliga siktlinjer och noder identifierats och tagits i beaktande vid förslag till disponering av ny bebyggelse inom området. </w:t>
      </w:r>
    </w:p>
    <w:p>
      <w:r>
        <w:t>Målet är att skapa en tydlig koppling med attraktiva och naturliga entréer från Bodån, genom hela området, upp till Kyrkogårdsgatan och Sveafältet och på så sätt stärka den kulturhistoriska kopplingen till omgivningen.</w:t>
      </w:r>
    </w:p>
    <w:p>
      <w:r>
        <w:t>Den nya bebyggelsen föreslås utformas som två kvarter med varsin tillfartsväg från Kyrkogårdsgatan. Bebyggelsen består av fem, fyra respektive tvåvåningshus i form av flerfamiljs- par- eller radhus. Den högre bebyggelsen är orienterad mot Kyrkogårdsgatan i väster och byggnadshöjden följer den befintliga markhöjden och trappas succesivt ner mot Bodån och Sveavägen. Den lägre bebyggelsens lokalisering mot ravinen, Sveavägen och parkmarken ger en inramning i form av gårdsstruktur där gemensamma ytor för parkering, cykelparkering och miljöhus tillskapas.</w:t>
      </w:r>
    </w:p>
    <w:p>
      <w:r>
        <w:rPr>
          <w:noProof w:val="1"/>
        </w:rPr>
        <w:drawing>
          <wp:inline xmlns:wp="http://schemas.openxmlformats.org/drawingml/2006/wordprocessingDrawing" distT="0" distB="0" distL="0" distR="0">
            <wp:extent cx="4704080" cy="1562100"/>
            <wp:effectExtent l="0" t="0" r="1270" b="0"/>
            <wp:docPr id="2006507575" name="Bildobjekt 2006507575" descr="En bild som visar skiss, diagram, linje,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07575" name="Bildobjekt 1" descr="En bild som visar skiss, diagram, linje, design&#10;&#10;Automatiskt genererad beskrivning"/>
                    <pic:cNvPicPr/>
                  </pic:nvPicPr>
                  <pic:blipFill dpi="0">
                    <a:blip xmlns:r="http://schemas.openxmlformats.org/officeDocument/2006/relationships" r:embed="Relimage6"/>
                    <a:srcRect t="24261" b="2057"/>
                    <a:stretch>
                      <a:fillRect/>
                    </a:stretch>
                  </pic:blipFill>
                  <pic:spPr bwMode="auto">
                    <a:xfrm>
                      <a:off x="0" y="0"/>
                      <a:ext cx="4712141" cy="1564778"/>
                    </a:xfrm>
                    <a:prstGeom prst="rect"/>
                    <a:ln>
                      <a:noFill/>
                    </a:ln>
                  </pic:spPr>
                </pic:pic>
              </a:graphicData>
            </a:graphic>
          </wp:inline>
        </w:drawing>
      </w:r>
    </w:p>
    <w:p>
      <w:pPr>
        <w:pStyle w:val="P50"/>
        <w:ind w:left="0"/>
        <w:rPr>
          <w:i w:val="1"/>
          <w:iCs w:val="1"/>
          <w:sz w:val="20"/>
          <w:szCs w:val="20"/>
        </w:rPr>
      </w:pPr>
      <w:r>
        <w:rPr>
          <w:b w:val="0"/>
          <w:i w:val="1"/>
          <w:bCs w:val="0"/>
          <w:iCs w:val="1"/>
          <w:color w:val="auto"/>
          <w:sz w:val="20"/>
          <w:szCs w:val="20"/>
        </w:rPr>
        <w:t>Illustrationsplan över möjlig bebyggelseutformning avseende nockhöjd och våningar</w:t>
      </w:r>
    </w:p>
    <w:p>
      <w:r>
        <w:t>Mellan ravinen i parkområdet och kyrkogården i norra delen av planområdet avsätts ett område på cirka 2 200 kvm för kyrkans behov. Området angörs via befintlig tillfart från Kyrkogårdsgatan. Den sydöstra delen av området möjliggör för förutom parkering även uppförande av komplementbyggnader med en högsta nockhöjd om 4 meter.</w:t>
      </w:r>
    </w:p>
    <w:p>
      <w:r>
        <w:t>På andra sidan redovisas ett förslag till möjlig utformning med hänsyn rådande förutsättningar avseende mark, geoteknik, kulturmiljö och dagvattenhantering. Illustrationerna är endast ett förslag på hur området kan utformas. Planförslaget ger utrymme för vissa justeringar och förändringar med hänsyn till satta planbestämmelser.</w:t>
      </w:r>
    </w:p>
    <w:p>
      <w:r>
        <w:t>Infart till de nya bostäderna sker från Kyrkogårdsgatan och parkering ska anordnas inom kvartersmarken med hänsyn till Boden kommuns gällande parkeringsnorm.</w:t>
      </w:r>
    </w:p>
    <w:p>
      <w:pPr>
        <w:keepNext w:val="1"/>
      </w:pPr>
      <w:r>
        <w:rPr>
          <w:noProof w:val="1"/>
        </w:rPr>
        <w:drawing>
          <wp:inline xmlns:wp="http://schemas.openxmlformats.org/drawingml/2006/wordprocessingDrawing" distT="0" distB="0" distL="0" distR="0">
            <wp:extent cx="5923915" cy="4648200"/>
            <wp:effectExtent l="0" t="0" r="635" b="0"/>
            <wp:docPr id="851891269" name="Bildobjekt 85189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4"/>
                    <pic:cNvPicPr/>
                  </pic:nvPicPr>
                  <pic:blipFill dpi="0">
                    <a:blip xmlns:r="http://schemas.openxmlformats.org/officeDocument/2006/relationships" r:embed="Relimage7"/>
                    <a:srcRect/>
                    <a:stretch>
                      <a:fillRect/>
                    </a:stretch>
                  </pic:blipFill>
                  <pic:spPr>
                    <a:xfrm>
                      <a:off x="0" y="0"/>
                      <a:ext cx="5938452" cy="4659480"/>
                    </a:xfrm>
                    <a:prstGeom prst="rect"/>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Illustrationsplan över möjlig bebyggelse utifrån planförslaget (ej skalenlig)</w:t>
      </w:r>
    </w:p>
    <w:p>
      <w:pPr>
        <w:keepNext w:val="1"/>
        <w:rPr>
          <w:rFonts w:ascii="Times New Roman" w:hAnsi="Times New Roman"/>
          <w:i w:val="1"/>
          <w:iCs w:val="1"/>
          <w:sz w:val="20"/>
          <w:szCs w:val="20"/>
          <w:lang w:eastAsia="sv-SE"/>
        </w:rPr>
      </w:pPr>
      <w:r>
        <w:rPr>
          <w:noProof w:val="1"/>
        </w:rPr>
        <w:drawing>
          <wp:inline xmlns:wp="http://schemas.openxmlformats.org/drawingml/2006/wordprocessingDrawing" distT="0" distB="0" distL="0" distR="0">
            <wp:extent cx="5587365" cy="1200150"/>
            <wp:effectExtent l="0" t="0" r="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5"/>
                    <pic:cNvPicPr/>
                  </pic:nvPicPr>
                  <pic:blipFill dpi="0">
                    <a:blip xmlns:r="http://schemas.openxmlformats.org/officeDocument/2006/relationships" r:embed="Relimage8"/>
                    <a:srcRect/>
                    <a:stretch>
                      <a:fillRect/>
                    </a:stretch>
                  </pic:blipFill>
                  <pic:spPr>
                    <a:xfrm>
                      <a:off x="0" y="0"/>
                      <a:ext cx="5671339" cy="1218685"/>
                    </a:xfrm>
                    <a:prstGeom prst="rect"/>
                  </pic:spPr>
                </pic:pic>
              </a:graphicData>
            </a:graphic>
          </wp:inline>
        </w:drawing>
      </w:r>
      <w:r>
        <w:rPr>
          <w:rFonts w:ascii="Times New Roman" w:hAnsi="Times New Roman"/>
          <w:i w:val="1"/>
          <w:iCs w:val="1"/>
          <w:sz w:val="20"/>
          <w:szCs w:val="20"/>
          <w:lang w:eastAsia="sv-SE"/>
        </w:rPr>
        <w:t>1 Vy mot väster från Hermelinsgatan</w:t>
        <w:tab/>
        <w:t xml:space="preserve">                      2 Vy mot nordväst från Sveavägen/brofästet</w:t>
      </w:r>
    </w:p>
    <w:p>
      <w:pPr>
        <w:keepNext w:val="1"/>
      </w:pPr>
      <w:r>
        <w:rPr>
          <w:noProof w:val="1"/>
        </w:rPr>
        <w:drawing>
          <wp:inline xmlns:wp="http://schemas.openxmlformats.org/drawingml/2006/wordprocessingDrawing" distT="0" distB="0" distL="0" distR="0">
            <wp:extent cx="5597525" cy="1169035"/>
            <wp:effectExtent l="0" t="0" r="3175" b="0"/>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6"/>
                    <pic:cNvPicPr/>
                  </pic:nvPicPr>
                  <pic:blipFill dpi="0">
                    <a:blip xmlns:r="http://schemas.openxmlformats.org/officeDocument/2006/relationships" r:embed="Relimage9"/>
                    <a:srcRect/>
                    <a:stretch>
                      <a:fillRect/>
                    </a:stretch>
                  </pic:blipFill>
                  <pic:spPr>
                    <a:xfrm>
                      <a:off x="0" y="0"/>
                      <a:ext cx="5669027" cy="1184412"/>
                    </a:xfrm>
                    <a:prstGeom prst="rect"/>
                  </pic:spPr>
                </pic:pic>
              </a:graphicData>
            </a:graphic>
          </wp:inline>
        </w:drawing>
      </w:r>
    </w:p>
    <w:p>
      <w:pPr>
        <w:keepNext w:val="1"/>
        <w:rPr>
          <w:sz w:val="16"/>
          <w:szCs w:val="14"/>
        </w:rPr>
      </w:pPr>
      <w:r>
        <w:rPr>
          <w:rFonts w:ascii="Times New Roman" w:hAnsi="Times New Roman"/>
          <w:i w:val="1"/>
          <w:iCs w:val="1"/>
          <w:sz w:val="20"/>
          <w:szCs w:val="20"/>
          <w:lang w:eastAsia="sv-SE"/>
        </w:rPr>
        <w:t>3 Vy mot norr från Åbergsleden</w:t>
        <w:tab/>
        <w:t xml:space="preserve">             4 Vy mot norr från korsning Sveavägen/Kyrkogårdsgatan</w:t>
      </w:r>
    </w:p>
    <w:p>
      <w:pPr>
        <w:keepNext w:val="1"/>
      </w:pPr>
      <w:r>
        <w:rPr>
          <w:noProof w:val="1"/>
        </w:rPr>
        <w:drawing>
          <wp:inline xmlns:wp="http://schemas.openxmlformats.org/drawingml/2006/wordprocessingDrawing" distT="0" distB="0" distL="0" distR="0">
            <wp:extent cx="5597525" cy="3271520"/>
            <wp:effectExtent l="0" t="0" r="3175" b="508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7"/>
                    <pic:cNvPicPr/>
                  </pic:nvPicPr>
                  <pic:blipFill dpi="0">
                    <a:blip xmlns:r="http://schemas.openxmlformats.org/officeDocument/2006/relationships" r:embed="Relimage10"/>
                    <a:srcRect l="827"/>
                    <a:stretch>
                      <a:fillRect/>
                    </a:stretch>
                  </pic:blipFill>
                  <pic:spPr bwMode="auto">
                    <a:xfrm>
                      <a:off x="0" y="0"/>
                      <a:ext cx="5654948" cy="3305575"/>
                    </a:xfrm>
                    <a:prstGeom prst="rect"/>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Översiktlig vy möjligt förslag på byggnation</w:t>
      </w:r>
      <w:bookmarkStart w:id="23" w:name="_Toc84918473"/>
      <w:bookmarkStart w:id="24" w:name="_Toc84919526"/>
    </w:p>
    <w:p>
      <w:pPr>
        <w:pStyle w:val="P1"/>
      </w:pPr>
      <w:bookmarkEnd w:id="22"/>
      <w:bookmarkStart w:id="25" w:name="_Toc167430719"/>
      <w:r>
        <w:t>Motiv till detaljplanens regleringar</w:t>
      </w:r>
      <w:bookmarkEnd w:id="23"/>
      <w:bookmarkEnd w:id="24"/>
      <w:bookmarkEnd w:id="25"/>
    </w:p>
    <w:p>
      <w:r>
        <w:rPr>
          <w:noProof w:val="1"/>
        </w:rPr>
        <w:drawing>
          <wp:inline xmlns:wp="http://schemas.openxmlformats.org/drawingml/2006/wordprocessingDrawing" distT="0" distB="0" distL="0" distR="0">
            <wp:extent cx="3333750" cy="4060190"/>
            <wp:effectExtent l="0" t="0" r="0" b="0"/>
            <wp:docPr id="549318468" name="Bildobjekt 54931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8"/>
                    <pic:cNvPicPr/>
                  </pic:nvPicPr>
                  <pic:blipFill dpi="0">
                    <a:blip xmlns:r="http://schemas.openxmlformats.org/officeDocument/2006/relationships" r:embed="Relimage11"/>
                    <a:srcRect/>
                    <a:stretch>
                      <a:fillRect/>
                    </a:stretch>
                  </pic:blipFill>
                  <pic:spPr>
                    <a:xfrm>
                      <a:off x="0" y="0"/>
                      <a:ext cx="3357690" cy="4088597"/>
                    </a:xfrm>
                    <a:prstGeom prst="rect"/>
                  </pic:spPr>
                </pic:pic>
              </a:graphicData>
            </a:graphic>
          </wp:inline>
        </w:drawing>
      </w:r>
    </w:p>
    <w:p>
      <w:pPr>
        <w:rPr>
          <w:i w:val="1"/>
          <w:iCs w:val="1"/>
          <w:sz w:val="20"/>
          <w:szCs w:val="20"/>
        </w:rPr>
      </w:pPr>
      <w:r>
        <w:rPr>
          <w:i w:val="1"/>
          <w:iCs w:val="1"/>
          <w:sz w:val="20"/>
          <w:szCs w:val="20"/>
        </w:rPr>
        <w:t>Detaljplanens markanvändning</w:t>
      </w:r>
    </w:p>
    <w:p>
      <w:pPr>
        <w:pStyle w:val="P3"/>
        <w:numPr>
          <w:ilvl w:val="0"/>
          <w:numId w:val="0"/>
        </w:numPr>
        <w:ind w:hanging="720" w:left="720"/>
      </w:pPr>
      <w:r>
        <w:t>Användning av allmän platsmark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993" w:type="dxa"/>
          </w:tcPr>
          <w:p>
            <w:pPr>
              <w:jc w:val="center"/>
            </w:pPr>
            <w:r>
              <w:rPr>
                <w:noProof w:val="1"/>
              </w:rPr>
              <w:drawing>
                <wp:inline xmlns:wp="http://schemas.openxmlformats.org/drawingml/2006/wordprocessingDrawing" distT="0" distB="0" distL="0" distR="0">
                  <wp:extent cx="737235" cy="379730"/>
                  <wp:effectExtent l="0" t="0" r="5715" b="1270"/>
                  <wp:docPr id="851891324" name="Bildobjekt 85189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39"/>
                          <pic:cNvPicPr/>
                        </pic:nvPicPr>
                        <pic:blipFill dpi="0">
                          <a:blip xmlns:r="http://schemas.openxmlformats.org/officeDocument/2006/relationships" r:embed="Relimage12"/>
                          <a:srcRect/>
                          <a:stretch>
                            <a:fillRect/>
                          </a:stretch>
                        </pic:blipFill>
                        <pic:spPr>
                          <a:xfrm>
                            <a:off x="0" y="0"/>
                            <a:ext cx="752541" cy="387848"/>
                          </a:xfrm>
                          <a:prstGeom prst="rect"/>
                        </pic:spPr>
                      </pic:pic>
                    </a:graphicData>
                  </a:graphic>
                </wp:inline>
              </w:drawing>
            </w:r>
          </w:p>
        </w:tc>
        <w:tc>
          <w:tcPr>
            <w:tcW w:w="7220" w:type="dxa"/>
          </w:tcPr>
          <w:p>
            <w:pPr>
              <w:spacing w:after="0" w:beforeAutospacing="0" w:afterAutospacing="0"/>
              <w:rPr>
                <w:rFonts w:asciiTheme="majorHAnsi" w:hAnsiTheme="majorHAnsi" w:cstheme="majorHAnsi"/>
                <w:szCs w:val="20"/>
              </w:rPr>
            </w:pPr>
            <w:r>
              <w:rPr>
                <w:rFonts w:asciiTheme="majorHAnsi" w:hAnsiTheme="majorHAnsi" w:cstheme="majorHAnsi"/>
                <w:sz w:val="22"/>
                <w:szCs w:val="20"/>
              </w:rPr>
              <w:t>Park</w:t>
            </w:r>
          </w:p>
          <w:p>
            <w:bookmarkStart w:id="26" w:name="mo_motivtillreglering01"/>
            <w:r>
              <w:t xml:space="preserve">Längs med Bodån, Sveavägen och ravinen läggs användningen </w:t>
            </w:r>
            <w:r>
              <w:rPr>
                <w:i w:val="1"/>
                <w:iCs w:val="1"/>
              </w:rPr>
              <w:t>PARK</w:t>
            </w:r>
            <w:r>
              <w:t xml:space="preserve"> med kommunalt huvudmannaskap. Användningen gör att området kommer att skötas av kommunen och förblir tillgängligt för allmänheten.</w:t>
            </w:r>
            <w:bookmarkEnd w:id="26"/>
          </w:p>
        </w:tc>
      </w:tr>
      <w:tr>
        <w:tc>
          <w:tcPr>
            <w:tcW w:w="993" w:type="dxa"/>
          </w:tcPr>
          <w:p>
            <w:pPr>
              <w:jc w:val="center"/>
              <w:rPr>
                <w:noProof w:val="1"/>
              </w:rPr>
            </w:pPr>
            <w:r>
              <w:rPr>
                <w:noProof w:val="1"/>
              </w:rPr>
              <w:drawing>
                <wp:inline xmlns:wp="http://schemas.openxmlformats.org/drawingml/2006/wordprocessingDrawing" distT="0" distB="0" distL="0" distR="0">
                  <wp:extent cx="762635" cy="434340"/>
                  <wp:effectExtent l="0" t="0" r="0" b="3810"/>
                  <wp:docPr id="851891264" name="Bildobjekt 85189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0"/>
                          <pic:cNvPicPr/>
                        </pic:nvPicPr>
                        <pic:blipFill dpi="0">
                          <a:blip xmlns:r="http://schemas.openxmlformats.org/officeDocument/2006/relationships" r:embed="Relimage13"/>
                          <a:srcRect/>
                          <a:stretch>
                            <a:fillRect/>
                          </a:stretch>
                        </pic:blipFill>
                        <pic:spPr>
                          <a:xfrm>
                            <a:off x="0" y="0"/>
                            <a:ext cx="764818" cy="435522"/>
                          </a:xfrm>
                          <a:prstGeom prst="rect"/>
                        </pic:spPr>
                      </pic:pic>
                    </a:graphicData>
                  </a:graphic>
                </wp:inline>
              </w:drawing>
            </w:r>
          </w:p>
        </w:tc>
        <w:tc>
          <w:tcPr>
            <w:tcW w:w="7220"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Transformatorstation</w:t>
            </w:r>
          </w:p>
          <w:p>
            <w:pPr>
              <w:rPr>
                <w:rFonts w:asciiTheme="majorHAnsi" w:hAnsiTheme="majorHAnsi" w:cstheme="majorHAnsi"/>
                <w:sz w:val="22"/>
                <w:szCs w:val="20"/>
              </w:rPr>
            </w:pPr>
            <w:bookmarkStart w:id="27" w:name="mo_motivtillreglering02"/>
            <w:r>
              <w:t>I nordvästra delen av planområdet finns idag en transformatorstation vars placering säkras i planen genom aktuellt E-område.</w:t>
            </w:r>
            <w:bookmarkEnd w:id="27"/>
          </w:p>
        </w:tc>
      </w:tr>
    </w:tbl>
    <w:p>
      <w:pPr>
        <w:pStyle w:val="P3"/>
        <w:numPr>
          <w:ilvl w:val="0"/>
          <w:numId w:val="0"/>
        </w:numPr>
        <w:ind w:hanging="720" w:left="720"/>
      </w:pPr>
      <w:r>
        <w:t>Användning av kvartersmark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rPr>
          <w:trHeight w:hRule="atLeast" w:val="1391"/>
        </w:trPr>
        <w:tc>
          <w:tcPr>
            <w:tcW w:w="1296" w:type="dxa"/>
          </w:tcPr>
          <w:p>
            <w:pPr>
              <w:jc w:val="center"/>
            </w:pPr>
            <w:r>
              <w:rPr>
                <w:noProof w:val="1"/>
              </w:rPr>
              <w:drawing>
                <wp:inline xmlns:wp="http://schemas.openxmlformats.org/drawingml/2006/wordprocessingDrawing" distT="0" distB="0" distL="0" distR="0">
                  <wp:extent cx="725805" cy="385445"/>
                  <wp:effectExtent l="0" t="0" r="0" b="0"/>
                  <wp:docPr id="851891325" name="Bildobjekt 85189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1"/>
                          <pic:cNvPicPr/>
                        </pic:nvPicPr>
                        <pic:blipFill dpi="0">
                          <a:blip xmlns:r="http://schemas.openxmlformats.org/officeDocument/2006/relationships" r:embed="Relimage14"/>
                          <a:srcRect/>
                          <a:stretch>
                            <a:fillRect/>
                          </a:stretch>
                        </pic:blipFill>
                        <pic:spPr>
                          <a:xfrm>
                            <a:off x="0" y="0"/>
                            <a:ext cx="755787" cy="401697"/>
                          </a:xfrm>
                          <a:prstGeom prst="rect"/>
                        </pic:spPr>
                      </pic:pic>
                    </a:graphicData>
                  </a:graphic>
                </wp:inline>
              </w:drawing>
            </w:r>
          </w:p>
        </w:tc>
        <w:tc>
          <w:tcPr>
            <w:tcW w:w="6927" w:type="dxa"/>
          </w:tcPr>
          <w:p>
            <w:pPr>
              <w:spacing w:after="0" w:beforeAutospacing="0" w:afterAutospacing="0"/>
              <w:rPr>
                <w:rFonts w:asciiTheme="majorHAnsi" w:hAnsiTheme="majorHAnsi" w:cstheme="majorHAnsi"/>
                <w:szCs w:val="20"/>
              </w:rPr>
            </w:pPr>
            <w:r>
              <w:rPr>
                <w:rFonts w:asciiTheme="majorHAnsi" w:hAnsiTheme="majorHAnsi" w:cstheme="majorHAnsi"/>
                <w:sz w:val="22"/>
                <w:szCs w:val="20"/>
              </w:rPr>
              <w:t>Bostäder</w:t>
            </w:r>
          </w:p>
          <w:p>
            <w:bookmarkStart w:id="28" w:name="mo_motivtillreglering03"/>
            <w:r>
              <w:t xml:space="preserve">Bestämmelsen </w:t>
            </w:r>
            <w:r>
              <w:rPr>
                <w:i w:val="1"/>
                <w:iCs w:val="1"/>
              </w:rPr>
              <w:t>Bostäder</w:t>
            </w:r>
            <w:r>
              <w:t xml:space="preserve"> syftar till att möjliggöra bostadsbyggnation på Boden 57:66 och genom detta utöka bostadsutbudet i centrumnära läge i Boden. Användningen möjliggör för cirka 150-200 bostäder.</w:t>
            </w:r>
            <w:bookmarkEnd w:id="28"/>
          </w:p>
        </w:tc>
      </w:tr>
      <w:tr>
        <w:trPr>
          <w:trHeight w:hRule="atLeast" w:val="1491"/>
        </w:trPr>
        <w:tc>
          <w:tcPr>
            <w:tcW w:w="1296" w:type="dxa"/>
          </w:tcPr>
          <w:p>
            <w:pPr>
              <w:jc w:val="center"/>
            </w:pPr>
            <w:r>
              <w:rPr>
                <w:noProof w:val="1"/>
              </w:rPr>
              <w:drawing>
                <wp:inline xmlns:wp="http://schemas.openxmlformats.org/drawingml/2006/wordprocessingDrawing" distT="0" distB="0" distL="0" distR="0">
                  <wp:extent cx="655320" cy="426720"/>
                  <wp:effectExtent l="0" t="0" r="0" b="0"/>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2"/>
                          <pic:cNvPicPr/>
                        </pic:nvPicPr>
                        <pic:blipFill dpi="0">
                          <a:blip xmlns:r="http://schemas.openxmlformats.org/officeDocument/2006/relationships" r:embed="Relimage15"/>
                          <a:srcRect/>
                          <a:stretch>
                            <a:fillRect/>
                          </a:stretch>
                        </pic:blipFill>
                        <pic:spPr>
                          <a:xfrm>
                            <a:off x="0" y="0"/>
                            <a:ext cx="662915" cy="431899"/>
                          </a:xfrm>
                          <a:prstGeom prst="rect"/>
                        </pic:spPr>
                      </pic:pic>
                    </a:graphicData>
                  </a:graphic>
                </wp:inline>
              </w:drawing>
            </w:r>
          </w:p>
        </w:tc>
        <w:tc>
          <w:tcPr>
            <w:tcW w:w="6927" w:type="dxa"/>
          </w:tcPr>
          <w:p>
            <w:pPr>
              <w:spacing w:after="0" w:beforeAutospacing="0" w:afterAutospacing="0"/>
              <w:rPr>
                <w:rFonts w:asciiTheme="majorHAnsi" w:hAnsiTheme="majorHAnsi" w:cstheme="majorHAnsi"/>
                <w:szCs w:val="20"/>
              </w:rPr>
            </w:pPr>
            <w:r>
              <w:rPr>
                <w:rFonts w:asciiTheme="majorHAnsi" w:hAnsiTheme="majorHAnsi" w:cstheme="majorHAnsi"/>
                <w:sz w:val="22"/>
                <w:szCs w:val="20"/>
              </w:rPr>
              <w:t xml:space="preserve">Begravningsplats </w:t>
            </w:r>
          </w:p>
          <w:p>
            <w:bookmarkStart w:id="29" w:name="mo_motivtillreglering04"/>
            <w:r>
              <w:t>I norra delen av planområdet planeras marken med bestämmelsen begravningsplats. I och med att marken planeras som kvartersmark kan nuvarande arrende ersättas med att marken övergår i kyrkans ägo</w:t>
            </w:r>
            <w:bookmarkEnd w:id="29"/>
            <w:r>
              <w:t>.</w:t>
            </w:r>
          </w:p>
        </w:tc>
      </w:tr>
    </w:tbl>
    <w:p>
      <w:pPr>
        <w:pStyle w:val="P3"/>
        <w:numPr>
          <w:ilvl w:val="0"/>
          <w:numId w:val="0"/>
        </w:numPr>
        <w:ind w:hanging="720" w:left="720"/>
      </w:pPr>
      <w:r>
        <w:t>Egenskapsbestämmelser för allmän platsmark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8223" w:type="dxa"/>
            <w:gridSpan w:val="2"/>
          </w:tcPr>
          <w:p>
            <w:pPr>
              <w:rPr>
                <w:rFonts w:asciiTheme="majorHAnsi" w:hAnsiTheme="majorHAnsi" w:cstheme="majorHAnsi"/>
              </w:rPr>
            </w:pPr>
            <w:r>
              <w:rPr>
                <w:rFonts w:asciiTheme="majorHAnsi" w:hAnsiTheme="majorHAnsi" w:cstheme="majorHAnsi"/>
                <w:sz w:val="22"/>
                <w:szCs w:val="20"/>
              </w:rPr>
              <w:t>Utformning av allmän platsmark</w:t>
            </w:r>
          </w:p>
        </w:tc>
      </w:tr>
      <w:tr>
        <w:trPr>
          <w:trHeight w:hRule="atLeast" w:val="2174"/>
        </w:trPr>
        <w:tc>
          <w:tcPr>
            <w:tcW w:w="1626" w:type="dxa"/>
          </w:tcPr>
          <w:p>
            <w:pPr>
              <w:jc w:val="center"/>
            </w:pPr>
            <w:r>
              <w:rPr>
                <w:noProof w:val="1"/>
              </w:rPr>
              <w:drawing>
                <wp:inline xmlns:wp="http://schemas.openxmlformats.org/drawingml/2006/wordprocessingDrawing" distT="0" distB="0" distL="0" distR="0">
                  <wp:extent cx="397510" cy="188595"/>
                  <wp:effectExtent l="0" t="0" r="2540" b="1905"/>
                  <wp:docPr id="870054529" name="Bildobjekt 87005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3"/>
                          <pic:cNvPicPr/>
                        </pic:nvPicPr>
                        <pic:blipFill dpi="0">
                          <a:blip xmlns:r="http://schemas.openxmlformats.org/officeDocument/2006/relationships" r:embed="Relimage16"/>
                          <a:srcRect/>
                          <a:stretch>
                            <a:fillRect/>
                          </a:stretch>
                        </pic:blipFill>
                        <pic:spPr>
                          <a:xfrm>
                            <a:off x="0" y="0"/>
                            <a:ext cx="430246" cy="203981"/>
                          </a:xfrm>
                          <a:prstGeom prst="rect"/>
                        </pic:spPr>
                      </pic:pic>
                    </a:graphicData>
                  </a:graphic>
                </wp:inline>
              </w:drawing>
            </w:r>
          </w:p>
        </w:tc>
        <w:tc>
          <w:tcPr>
            <w:tcW w:w="6597" w:type="dxa"/>
          </w:tcPr>
          <w:p>
            <w:pPr>
              <w:spacing w:after="0" w:beforeAutospacing="0" w:afterAutospacing="0"/>
              <w:rPr>
                <w:rFonts w:asciiTheme="majorHAnsi" w:hAnsiTheme="majorHAnsi" w:cstheme="majorHAnsi"/>
                <w:szCs w:val="20"/>
              </w:rPr>
            </w:pPr>
            <w:r>
              <w:rPr>
                <w:rFonts w:asciiTheme="majorHAnsi" w:hAnsiTheme="majorHAnsi" w:cstheme="majorHAnsi"/>
                <w:sz w:val="22"/>
                <w:szCs w:val="20"/>
              </w:rPr>
              <w:t>Dagvattendike</w:t>
            </w:r>
          </w:p>
          <w:p>
            <w:bookmarkStart w:id="30" w:name="mo_motivtillreglering05"/>
            <w:r>
              <w:t>Från Kyrkogårdsgatan till fördröjningsmagasinen ska öppna diken förläggas för att samla upp dagvatten och kontrollerat leda det till magasinen för fördröjning. Dikena utformas med fördel meandrande för att vattnet ska få så lång rinnväg till magasinen som möjligt, vilket bidrar till fördröjning och rening på vägen</w:t>
            </w:r>
            <w:bookmarkEnd w:id="30"/>
            <w:r>
              <w:t>.</w:t>
            </w:r>
          </w:p>
        </w:tc>
      </w:tr>
      <w:tr>
        <w:trPr>
          <w:trHeight w:hRule="atLeast" w:val="1996"/>
        </w:trPr>
        <w:tc>
          <w:tcPr>
            <w:tcW w:w="1626" w:type="dxa"/>
          </w:tcPr>
          <w:p>
            <w:pPr>
              <w:jc w:val="center"/>
            </w:pPr>
            <w:r>
              <w:rPr>
                <w:noProof w:val="1"/>
              </w:rPr>
              <w:drawing>
                <wp:inline xmlns:wp="http://schemas.openxmlformats.org/drawingml/2006/wordprocessingDrawing" distT="0" distB="0" distL="0" distR="0">
                  <wp:extent cx="891540" cy="225425"/>
                  <wp:effectExtent l="0" t="0" r="3810" b="3175"/>
                  <wp:docPr id="870054530" name="Bildobjekt 87005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4"/>
                          <pic:cNvPicPr/>
                        </pic:nvPicPr>
                        <pic:blipFill dpi="0">
                          <a:blip xmlns:r="http://schemas.openxmlformats.org/officeDocument/2006/relationships" r:embed="Relimage17"/>
                          <a:srcRect/>
                          <a:stretch>
                            <a:fillRect/>
                          </a:stretch>
                        </pic:blipFill>
                        <pic:spPr>
                          <a:xfrm>
                            <a:off x="0" y="0"/>
                            <a:ext cx="1043552" cy="263981"/>
                          </a:xfrm>
                          <a:prstGeom prst="rect"/>
                        </pic:spPr>
                      </pic:pic>
                    </a:graphicData>
                  </a:graphic>
                </wp:inline>
              </w:drawing>
            </w:r>
          </w:p>
        </w:tc>
        <w:tc>
          <w:tcPr>
            <w:tcW w:w="6597" w:type="dxa"/>
          </w:tcPr>
          <w:p>
            <w:pPr>
              <w:spacing w:after="0" w:beforeAutospacing="0" w:afterAutospacing="0"/>
              <w:rPr>
                <w:rFonts w:asciiTheme="majorHAnsi" w:hAnsiTheme="majorHAnsi" w:cstheme="majorHAnsi"/>
                <w:szCs w:val="20"/>
                <w:vertAlign w:val="superscript"/>
              </w:rPr>
            </w:pPr>
            <w:r>
              <w:rPr>
                <w:rFonts w:asciiTheme="majorHAnsi" w:hAnsiTheme="majorHAnsi" w:cstheme="majorHAnsi"/>
                <w:sz w:val="22"/>
                <w:szCs w:val="20"/>
              </w:rPr>
              <w:t>Fördröjningsmagasin för dagvatten med en volym av 440,0 m</w:t>
            </w:r>
            <w:r>
              <w:rPr>
                <w:rFonts w:asciiTheme="majorHAnsi" w:hAnsiTheme="majorHAnsi" w:cstheme="majorHAnsi"/>
                <w:sz w:val="22"/>
                <w:szCs w:val="20"/>
                <w:vertAlign w:val="superscript"/>
              </w:rPr>
              <w:t>3</w:t>
            </w:r>
          </w:p>
          <w:p>
            <w:bookmarkStart w:id="31" w:name="mo_motivtillreglering06"/>
            <w:r>
              <w:t>I den norra delen av planområdet ska ett fördröjningsmagasin med en kapacitet av minst 440 kubikmeter vatten anläggas. Syftet med bestämmelsen är att fördröja och rena det dagvatten som kommer ifrån områden väster om Kyrkogårdsgatan innan det når Bodån. Magasinet utformas med fördel som en öppen damm som kan bidra med värden för den biologiska mångfalden.</w:t>
            </w:r>
            <w:bookmarkEnd w:id="31"/>
          </w:p>
        </w:tc>
      </w:tr>
      <w:tr>
        <w:trPr>
          <w:trHeight w:hRule="atLeast" w:val="2195"/>
        </w:trPr>
        <w:tc>
          <w:tcPr>
            <w:tcW w:w="1626" w:type="dxa"/>
          </w:tcPr>
          <w:p>
            <w:pPr>
              <w:jc w:val="center"/>
            </w:pPr>
            <w:r>
              <w:rPr>
                <w:noProof w:val="1"/>
              </w:rPr>
              <w:drawing>
                <wp:inline xmlns:wp="http://schemas.openxmlformats.org/drawingml/2006/wordprocessingDrawing" distT="0" distB="0" distL="0" distR="0">
                  <wp:extent cx="866775" cy="199390"/>
                  <wp:effectExtent l="0" t="0" r="0" b="0"/>
                  <wp:docPr id="870054531" name="Bildobjekt 87005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5"/>
                          <pic:cNvPicPr/>
                        </pic:nvPicPr>
                        <pic:blipFill dpi="0">
                          <a:blip xmlns:r="http://schemas.openxmlformats.org/officeDocument/2006/relationships" r:embed="Relimage18"/>
                          <a:srcRect/>
                          <a:stretch>
                            <a:fillRect/>
                          </a:stretch>
                        </pic:blipFill>
                        <pic:spPr>
                          <a:xfrm>
                            <a:off x="0" y="0"/>
                            <a:ext cx="901020" cy="207377"/>
                          </a:xfrm>
                          <a:prstGeom prst="rect"/>
                        </pic:spPr>
                      </pic:pic>
                    </a:graphicData>
                  </a:graphic>
                </wp:inline>
              </w:drawing>
            </w:r>
          </w:p>
        </w:tc>
        <w:tc>
          <w:tcPr>
            <w:tcW w:w="6597" w:type="dxa"/>
          </w:tcPr>
          <w:p>
            <w:pPr>
              <w:spacing w:after="0" w:beforeAutospacing="0" w:afterAutospacing="0"/>
              <w:rPr>
                <w:rFonts w:asciiTheme="majorHAnsi" w:hAnsiTheme="majorHAnsi" w:cstheme="majorHAnsi"/>
                <w:sz w:val="22"/>
                <w:szCs w:val="20"/>
                <w:vertAlign w:val="superscript"/>
              </w:rPr>
            </w:pPr>
            <w:r>
              <w:rPr>
                <w:rFonts w:asciiTheme="majorHAnsi" w:hAnsiTheme="majorHAnsi" w:cstheme="majorHAnsi"/>
                <w:sz w:val="22"/>
                <w:szCs w:val="20"/>
              </w:rPr>
              <w:t>Fördröjningsmagasin för dagvatten med en volym av 140,0 m</w:t>
            </w:r>
            <w:r>
              <w:rPr>
                <w:rFonts w:asciiTheme="majorHAnsi" w:hAnsiTheme="majorHAnsi" w:cstheme="majorHAnsi"/>
                <w:sz w:val="22"/>
                <w:szCs w:val="20"/>
                <w:vertAlign w:val="superscript"/>
              </w:rPr>
              <w:t>3</w:t>
            </w:r>
          </w:p>
          <w:p>
            <w:pPr>
              <w:rPr>
                <w:rFonts w:asciiTheme="majorHAnsi" w:hAnsiTheme="majorHAnsi" w:cstheme="majorHAnsi"/>
                <w:sz w:val="22"/>
                <w:szCs w:val="20"/>
              </w:rPr>
            </w:pPr>
            <w:bookmarkStart w:id="32" w:name="mo_motivtillreglering07"/>
            <w:r>
              <w:t>I den södra delen av planområdet ska ett fördröjningsmagasin med en kapacitet av minst 140 kubikmeter vatten anläggas. Syftet med bestämmelsen är att rena det dagvatten som kommer ifrån områden väster om Kyrkogårdsgatan och längs Sveavägen innan det når Bodån. Magasinet utformas med fördel som en öppen damm som kan bidra med värden för den biologiska mångfalden</w:t>
            </w:r>
            <w:bookmarkEnd w:id="32"/>
            <w:r>
              <w:t>.</w:t>
            </w:r>
          </w:p>
        </w:tc>
      </w:tr>
      <w:tr>
        <w:tc>
          <w:tcPr>
            <w:tcW w:w="8223" w:type="dxa"/>
            <w:gridSpan w:val="2"/>
          </w:tcPr>
          <w:p>
            <w:pPr>
              <w:rPr>
                <w:rFonts w:asciiTheme="majorHAnsi" w:hAnsiTheme="majorHAnsi" w:cstheme="majorHAnsi"/>
              </w:rPr>
            </w:pPr>
            <w:r>
              <w:rPr>
                <w:rFonts w:asciiTheme="majorHAnsi" w:hAnsiTheme="majorHAnsi" w:cstheme="majorHAnsi"/>
                <w:sz w:val="22"/>
                <w:szCs w:val="20"/>
              </w:rPr>
              <w:t>Upphävande av strandskydd</w:t>
            </w:r>
          </w:p>
        </w:tc>
      </w:tr>
      <w:tr>
        <w:tc>
          <w:tcPr>
            <w:tcW w:w="1626" w:type="dxa"/>
          </w:tcPr>
          <w:p>
            <w:pPr>
              <w:jc w:val="center"/>
            </w:pPr>
            <w:r>
              <w:rPr>
                <w:noProof w:val="1"/>
              </w:rPr>
              <w:drawing>
                <wp:inline xmlns:wp="http://schemas.openxmlformats.org/drawingml/2006/wordprocessingDrawing" distT="0" distB="0" distL="0" distR="0">
                  <wp:extent cx="195580" cy="169545"/>
                  <wp:effectExtent l="0" t="0" r="0" b="1905"/>
                  <wp:docPr id="870054532" name="Bildobjekt 87005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6"/>
                          <pic:cNvPicPr/>
                        </pic:nvPicPr>
                        <pic:blipFill dpi="0">
                          <a:blip xmlns:r="http://schemas.openxmlformats.org/officeDocument/2006/relationships" r:embed="Relimage19"/>
                          <a:srcRect/>
                          <a:stretch>
                            <a:fillRect/>
                          </a:stretch>
                        </pic:blipFill>
                        <pic:spPr>
                          <a:xfrm>
                            <a:off x="0" y="0"/>
                            <a:ext cx="206861" cy="179014"/>
                          </a:xfrm>
                          <a:prstGeom prst="rect"/>
                        </pic:spPr>
                      </pic:pic>
                    </a:graphicData>
                  </a:graphic>
                </wp:inline>
              </w:drawing>
            </w:r>
          </w:p>
        </w:tc>
        <w:tc>
          <w:tcPr>
            <w:tcW w:w="6597" w:type="dxa"/>
          </w:tcPr>
          <w:p>
            <w:pPr>
              <w:spacing w:after="0" w:beforeAutospacing="0" w:afterAutospacing="0"/>
              <w:rPr>
                <w:rFonts w:asciiTheme="majorHAnsi" w:hAnsiTheme="majorHAnsi" w:cstheme="majorHAnsi"/>
                <w:szCs w:val="20"/>
              </w:rPr>
            </w:pPr>
            <w:r>
              <w:rPr>
                <w:rFonts w:asciiTheme="majorHAnsi" w:hAnsiTheme="majorHAnsi" w:cstheme="majorHAnsi"/>
                <w:sz w:val="22"/>
                <w:szCs w:val="20"/>
              </w:rPr>
              <w:t>Strandskyddet är upphävt. Begränsas av sekundär egenskapsgräns.</w:t>
            </w:r>
          </w:p>
          <w:p>
            <w:pPr>
              <w:rPr>
                <w:i w:val="1"/>
                <w:iCs w:val="1"/>
              </w:rPr>
            </w:pPr>
            <w:bookmarkStart w:id="33" w:name="mo_motivtillreglering08"/>
            <w:r>
              <w:t>Strandskyddet upphävs på del av parkområdet för att möjliggöra anläggnings- och underhållsåtgärder inom parkområdet och för dagvattenhanteringen.</w:t>
            </w:r>
            <w:bookmarkEnd w:id="33"/>
            <w:r>
              <w:t xml:space="preserve"> Se motivering till upphävande av strandskydd under rubrik 9</w:t>
            </w:r>
            <w:r>
              <w:rPr>
                <w:i w:val="1"/>
                <w:iCs w:val="1"/>
              </w:rPr>
              <w:t>.3.2 Strandskydd.</w:t>
            </w:r>
          </w:p>
        </w:tc>
      </w:tr>
      <w:tr>
        <w:tc>
          <w:tcPr>
            <w:tcW w:w="1626" w:type="dxa"/>
          </w:tcPr>
          <w:p>
            <w:pPr>
              <w:jc w:val="center"/>
              <w:rPr>
                <w:noProof w:val="1"/>
              </w:rPr>
            </w:pPr>
            <w:r>
              <w:rPr>
                <w:rFonts w:asciiTheme="majorHAnsi" w:hAnsiTheme="majorHAnsi" w:cstheme="majorHAnsi"/>
                <w:sz w:val="22"/>
                <w:szCs w:val="20"/>
              </w:rPr>
              <w:t>Villkor för lov</w:t>
            </w:r>
          </w:p>
        </w:tc>
        <w:tc>
          <w:tcPr>
            <w:tcW w:w="6597" w:type="dxa"/>
          </w:tcPr>
          <w:p>
            <w:pPr>
              <w:spacing w:after="0" w:beforeAutospacing="0" w:afterAutospacing="0"/>
              <w:rPr>
                <w:rFonts w:asciiTheme="majorHAnsi" w:hAnsiTheme="majorHAnsi" w:cstheme="majorHAnsi"/>
                <w:sz w:val="22"/>
                <w:szCs w:val="20"/>
              </w:rPr>
            </w:pPr>
          </w:p>
        </w:tc>
      </w:tr>
      <w:tr>
        <w:tc>
          <w:tcPr>
            <w:tcW w:w="1626" w:type="dxa"/>
          </w:tcPr>
          <w:p>
            <w:pPr>
              <w:spacing w:lineRule="auto" w:line="240" w:after="0" w:beforeAutospacing="0" w:afterAutospacing="0"/>
              <w:jc w:val="center"/>
              <w:rPr>
                <w:rFonts w:asciiTheme="majorHAnsi" w:hAnsiTheme="majorHAnsi" w:cstheme="majorBidi"/>
                <w:sz w:val="32"/>
                <w:szCs w:val="32"/>
              </w:rPr>
            </w:pPr>
            <w:r>
              <w:rPr>
                <w:rFonts w:asciiTheme="majorHAnsi" w:hAnsiTheme="majorHAnsi" w:cstheme="majorBidi"/>
                <w:sz w:val="32"/>
                <w:szCs w:val="32"/>
              </w:rPr>
              <w:t>a</w:t>
            </w:r>
            <w:r>
              <w:rPr>
                <w:rFonts w:asciiTheme="majorHAnsi" w:hAnsiTheme="majorHAnsi" w:cstheme="majorBidi"/>
                <w:sz w:val="32"/>
                <w:szCs w:val="32"/>
                <w:vertAlign w:val="subscript"/>
              </w:rPr>
              <w:t>3</w:t>
            </w:r>
          </w:p>
          <w:p>
            <w:pPr>
              <w:jc w:val="center"/>
              <w:rPr>
                <w:noProof w:val="1"/>
              </w:rPr>
            </w:pPr>
          </w:p>
        </w:tc>
        <w:tc>
          <w:tcPr>
            <w:tcW w:w="659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 xml:space="preserve">Marklov </w:t>
            </w:r>
          </w:p>
          <w:p>
            <w:pPr>
              <w:rPr>
                <w:rFonts w:asciiTheme="majorHAnsi" w:hAnsiTheme="majorHAnsi" w:cstheme="majorBidi"/>
                <w:sz w:val="22"/>
              </w:rPr>
            </w:pPr>
            <w:bookmarkStart w:id="34" w:name="mo_motivtillreglering09"/>
            <w:r>
              <w:t>Marklov får inte ges för utbyggnad av fördröjningsmagasin förrän markförorening har avhjälpts. Begränsas av sekundär egenskapsgräns</w:t>
            </w:r>
            <w:bookmarkEnd w:id="34"/>
            <w:r>
              <w:t>.</w:t>
            </w:r>
          </w:p>
        </w:tc>
      </w:tr>
    </w:tbl>
    <w:p>
      <w:pPr>
        <w:pStyle w:val="P3"/>
        <w:numPr>
          <w:ilvl w:val="0"/>
          <w:numId w:val="0"/>
        </w:numPr>
        <w:ind w:hanging="720" w:left="720"/>
      </w:pPr>
      <w:r>
        <w:t>Egenskapsbestämmelser för kvartersmark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8223" w:type="dxa"/>
            <w:gridSpan w:val="2"/>
          </w:tcPr>
          <w:p>
            <w:r>
              <w:rPr>
                <w:rFonts w:asciiTheme="majorHAnsi" w:hAnsiTheme="majorHAnsi" w:cstheme="majorHAnsi"/>
                <w:sz w:val="22"/>
                <w:szCs w:val="20"/>
              </w:rPr>
              <w:t>Begränsning av markens utnyttjande</w:t>
            </w:r>
          </w:p>
        </w:tc>
      </w:tr>
      <w:tr>
        <w:trPr>
          <w:trHeight w:hRule="atLeast" w:val="1672"/>
        </w:trPr>
        <w:tc>
          <w:tcPr>
            <w:tcW w:w="1656" w:type="dxa"/>
          </w:tcPr>
          <w:p>
            <w:pPr>
              <w:jc w:val="center"/>
            </w:pPr>
            <w:r>
              <w:rPr>
                <w:noProof w:val="1"/>
              </w:rPr>
              <w:drawing>
                <wp:inline xmlns:wp="http://schemas.openxmlformats.org/drawingml/2006/wordprocessingDrawing" distT="0" distB="0" distL="0" distR="0">
                  <wp:extent cx="866775" cy="444500"/>
                  <wp:effectExtent l="0" t="0" r="0" b="0"/>
                  <wp:docPr id="870054534" name="Bildobjekt 87005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7"/>
                          <pic:cNvPicPr/>
                        </pic:nvPicPr>
                        <pic:blipFill dpi="0">
                          <a:blip xmlns:r="http://schemas.openxmlformats.org/officeDocument/2006/relationships" r:embed="Relimage20"/>
                          <a:srcRect/>
                          <a:stretch>
                            <a:fillRect/>
                          </a:stretch>
                        </pic:blipFill>
                        <pic:spPr>
                          <a:xfrm>
                            <a:off x="0" y="0"/>
                            <a:ext cx="883119" cy="453494"/>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Marken får inte förses med byggnad</w:t>
            </w:r>
          </w:p>
          <w:p>
            <w:bookmarkStart w:id="35" w:name="mo_motivtillreglering10"/>
            <w:r>
              <w:t>Inom delar av planområdet finns bestämmelse om att marken inte får förses med byggnad. Detta för att skapa ett avstånd mellan allmän plats och bebyggelsen</w:t>
            </w:r>
            <w:bookmarkEnd w:id="35"/>
            <w:r>
              <w:t xml:space="preserve">. </w:t>
            </w:r>
          </w:p>
        </w:tc>
      </w:tr>
      <w:tr>
        <w:trPr>
          <w:trHeight w:hRule="atLeast" w:val="1274"/>
        </w:trPr>
        <w:tc>
          <w:tcPr>
            <w:tcW w:w="1656" w:type="dxa"/>
          </w:tcPr>
          <w:p>
            <w:pPr>
              <w:jc w:val="center"/>
              <w:rPr>
                <w:noProof w:val="1"/>
              </w:rPr>
            </w:pPr>
            <w:r>
              <w:rPr>
                <w:noProof w:val="1"/>
              </w:rPr>
              <w:drawing>
                <wp:inline xmlns:wp="http://schemas.openxmlformats.org/drawingml/2006/wordprocessingDrawing" distT="0" distB="0" distL="0" distR="0">
                  <wp:extent cx="914400" cy="497205"/>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8"/>
                          <pic:cNvPicPr/>
                        </pic:nvPicPr>
                        <pic:blipFill dpi="0">
                          <a:blip xmlns:r="http://schemas.openxmlformats.org/officeDocument/2006/relationships" r:embed="Relimage21"/>
                          <a:srcRect/>
                          <a:stretch>
                            <a:fillRect/>
                          </a:stretch>
                        </pic:blipFill>
                        <pic:spPr>
                          <a:xfrm>
                            <a:off x="0" y="0"/>
                            <a:ext cx="917361" cy="498916"/>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Marken får endast förses med komplementbyggnad</w:t>
            </w:r>
          </w:p>
          <w:p>
            <w:pPr>
              <w:rPr>
                <w:rFonts w:asciiTheme="majorHAnsi" w:hAnsiTheme="majorHAnsi" w:cstheme="majorHAnsi"/>
                <w:sz w:val="22"/>
                <w:szCs w:val="20"/>
              </w:rPr>
            </w:pPr>
            <w:bookmarkStart w:id="36" w:name="mo_motivtillreglering11"/>
            <w:r>
              <w:t>Inom del av planområdet får endast komplementbyggnader i form av förråd, garage eller liknande med en maximal nockhöjd på 4 meter uppföras.</w:t>
            </w:r>
            <w:bookmarkEnd w:id="36"/>
          </w:p>
        </w:tc>
      </w:tr>
      <w:tr>
        <w:tc>
          <w:tcPr>
            <w:tcW w:w="8223" w:type="dxa"/>
            <w:gridSpan w:val="2"/>
          </w:tcPr>
          <w:p>
            <w:r>
              <w:rPr>
                <w:rFonts w:asciiTheme="majorHAnsi" w:hAnsiTheme="majorHAnsi" w:cstheme="majorHAnsi"/>
                <w:sz w:val="22"/>
                <w:szCs w:val="20"/>
              </w:rPr>
              <w:t>Höjd på byggnadsverk</w:t>
            </w:r>
          </w:p>
        </w:tc>
      </w:tr>
      <w:tr>
        <w:trPr>
          <w:trHeight w:hRule="atLeast" w:val="1657"/>
        </w:trPr>
        <w:tc>
          <w:tcPr>
            <w:tcW w:w="1656" w:type="dxa"/>
          </w:tcPr>
          <w:p>
            <w:pPr>
              <w:jc w:val="center"/>
            </w:pPr>
            <w:r>
              <w:rPr>
                <w:noProof w:val="1"/>
              </w:rPr>
              <w:drawing>
                <wp:inline xmlns:wp="http://schemas.openxmlformats.org/drawingml/2006/wordprocessingDrawing" distT="0" distB="0" distL="0" distR="0">
                  <wp:extent cx="225425" cy="247015"/>
                  <wp:effectExtent l="0" t="0" r="3175" b="635"/>
                  <wp:docPr id="870054535" name="Bildobjekt 87005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49"/>
                          <pic:cNvPicPr/>
                        </pic:nvPicPr>
                        <pic:blipFill dpi="0">
                          <a:blip xmlns:r="http://schemas.openxmlformats.org/officeDocument/2006/relationships" r:embed="Relimage22"/>
                          <a:srcRect/>
                          <a:stretch>
                            <a:fillRect/>
                          </a:stretch>
                        </pic:blipFill>
                        <pic:spPr>
                          <a:xfrm>
                            <a:off x="0" y="0"/>
                            <a:ext cx="232974" cy="255161"/>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Högsta nockhöjd är 9,0 meter</w:t>
            </w:r>
          </w:p>
          <w:p>
            <w:bookmarkStart w:id="37" w:name="mo_motivtillreglering12"/>
            <w:r>
              <w:t>Längs parkmarken, Sveavägen och ravinen regleras byggrätten till maximalt 9 meter nockhöjd. Syftet med bestämmelsen är dels att hålla bebyggelsen låg mot det låglänta parkområdet, dels att försäkra att trycket av bebyggelsen på marken inte blir för hög i närheten av slänterna.</w:t>
            </w:r>
            <w:bookmarkEnd w:id="37"/>
          </w:p>
        </w:tc>
      </w:tr>
      <w:tr>
        <w:trPr>
          <w:trHeight w:hRule="atLeast" w:val="1842"/>
        </w:trPr>
        <w:tc>
          <w:tcPr>
            <w:tcW w:w="1656" w:type="dxa"/>
          </w:tcPr>
          <w:p>
            <w:pPr>
              <w:jc w:val="center"/>
            </w:pPr>
            <w:r>
              <w:rPr>
                <w:noProof w:val="1"/>
              </w:rPr>
              <w:drawing>
                <wp:inline xmlns:wp="http://schemas.openxmlformats.org/drawingml/2006/wordprocessingDrawing" distT="0" distB="0" distL="0" distR="0">
                  <wp:extent cx="229870" cy="243205"/>
                  <wp:effectExtent l="0" t="0" r="0" b="4445"/>
                  <wp:docPr id="870054536" name="Bildobjekt 87005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0"/>
                          <pic:cNvPicPr/>
                        </pic:nvPicPr>
                        <pic:blipFill dpi="0">
                          <a:blip xmlns:r="http://schemas.openxmlformats.org/officeDocument/2006/relationships" r:embed="Relimage23"/>
                          <a:srcRect/>
                          <a:stretch>
                            <a:fillRect/>
                          </a:stretch>
                        </pic:blipFill>
                        <pic:spPr>
                          <a:xfrm>
                            <a:off x="0" y="0"/>
                            <a:ext cx="241072" cy="255116"/>
                          </a:xfrm>
                          <a:prstGeom prst="rect"/>
                        </pic:spPr>
                      </pic:pic>
                    </a:graphicData>
                  </a:graphic>
                </wp:inline>
              </w:drawing>
            </w:r>
          </w:p>
        </w:tc>
        <w:tc>
          <w:tcPr>
            <w:tcW w:w="6567" w:type="dxa"/>
          </w:tcPr>
          <w:p>
            <w:pPr>
              <w:spacing w:after="0" w:beforeAutospacing="0" w:afterAutospacing="0"/>
              <w:rPr>
                <w:rFonts w:asciiTheme="majorHAnsi" w:hAnsiTheme="majorHAnsi" w:cstheme="majorBidi"/>
                <w:sz w:val="22"/>
              </w:rPr>
            </w:pPr>
            <w:r>
              <w:rPr>
                <w:rFonts w:asciiTheme="majorHAnsi" w:hAnsiTheme="majorHAnsi" w:cstheme="majorBidi"/>
                <w:sz w:val="22"/>
              </w:rPr>
              <w:t>Högsta nockhöjd är 18,0 meter</w:t>
            </w:r>
          </w:p>
          <w:p>
            <w:bookmarkStart w:id="38" w:name="mo_motivtillreglering13"/>
            <w:r>
              <w:t>I den mellersta delen av området för bostäder regleras byggrätten till maximalt 18 meter nockhöjd. Syftet med bestämmelsen är att synliggöra områdets topologi genom att låta den högsta bebyggelsen placeras utmed Kyrkogårdsgatan för att sedan bli en nedtrappning mot Bodån och Sveavägen.</w:t>
            </w:r>
            <w:bookmarkEnd w:id="38"/>
            <w:r>
              <w:t xml:space="preserve"> </w:t>
            </w:r>
          </w:p>
        </w:tc>
      </w:tr>
      <w:tr>
        <w:trPr>
          <w:trHeight w:hRule="atLeast" w:val="2081"/>
        </w:trPr>
        <w:tc>
          <w:tcPr>
            <w:tcW w:w="1656" w:type="dxa"/>
          </w:tcPr>
          <w:p>
            <w:pPr>
              <w:jc w:val="center"/>
            </w:pPr>
            <w:r>
              <w:rPr>
                <w:noProof w:val="1"/>
              </w:rPr>
              <w:drawing>
                <wp:inline xmlns:wp="http://schemas.openxmlformats.org/drawingml/2006/wordprocessingDrawing" distT="0" distB="0" distL="0" distR="0">
                  <wp:extent cx="227965" cy="237490"/>
                  <wp:effectExtent l="0" t="0" r="635" b="0"/>
                  <wp:docPr id="870054537" name="Bildobjekt 870054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1"/>
                          <pic:cNvPicPr/>
                        </pic:nvPicPr>
                        <pic:blipFill dpi="0">
                          <a:blip xmlns:r="http://schemas.openxmlformats.org/officeDocument/2006/relationships" r:embed="Relimage24"/>
                          <a:srcRect/>
                          <a:stretch>
                            <a:fillRect/>
                          </a:stretch>
                        </pic:blipFill>
                        <pic:spPr>
                          <a:xfrm>
                            <a:off x="0" y="0"/>
                            <a:ext cx="236149" cy="245412"/>
                          </a:xfrm>
                          <a:prstGeom prst="rect"/>
                        </pic:spPr>
                      </pic:pic>
                    </a:graphicData>
                  </a:graphic>
                </wp:inline>
              </w:drawing>
            </w:r>
          </w:p>
        </w:tc>
        <w:tc>
          <w:tcPr>
            <w:tcW w:w="6567" w:type="dxa"/>
          </w:tcPr>
          <w:p>
            <w:pPr>
              <w:spacing w:after="0" w:beforeAutospacing="0" w:afterAutospacing="0"/>
              <w:rPr>
                <w:rFonts w:asciiTheme="majorHAnsi" w:hAnsiTheme="majorHAnsi" w:cstheme="majorBidi"/>
                <w:sz w:val="22"/>
              </w:rPr>
            </w:pPr>
            <w:r>
              <w:rPr>
                <w:rFonts w:asciiTheme="majorHAnsi" w:hAnsiTheme="majorHAnsi" w:cstheme="majorBidi"/>
                <w:sz w:val="22"/>
              </w:rPr>
              <w:t>Högsta nockhöjd är 21,0 meter</w:t>
            </w:r>
          </w:p>
          <w:p>
            <w:bookmarkStart w:id="39" w:name="mo_motivtillreglering14"/>
            <w:r>
              <w:t>Intill Kyrkogårdsgatan, längst i väster, regleras byggrätten till maximalt 21 meter nockhöjd. Syftet med bestämmelsen är att tillåta den högsta bebyggelsen utmed Kyrkogårdsgatan och genom det förstärka områdets topologiska förutsättningar där den högsta punkten ligger utmed vägen och den lägsta punkten ligger invid Bodån</w:t>
            </w:r>
            <w:bookmarkEnd w:id="39"/>
            <w:r>
              <w:t>.</w:t>
            </w:r>
          </w:p>
        </w:tc>
      </w:tr>
      <w:tr>
        <w:trPr>
          <w:trHeight w:hRule="atLeast" w:val="1343"/>
        </w:trPr>
        <w:tc>
          <w:tcPr>
            <w:tcW w:w="1656" w:type="dxa"/>
          </w:tcPr>
          <w:p>
            <w:pPr>
              <w:jc w:val="center"/>
              <w:rPr>
                <w:rFonts w:asciiTheme="majorHAnsi" w:hAnsiTheme="majorHAnsi" w:cstheme="majorBidi"/>
                <w:sz w:val="36"/>
                <w:szCs w:val="36"/>
              </w:rPr>
            </w:pPr>
            <w:r>
              <w:rPr>
                <w:noProof w:val="1"/>
              </w:rPr>
              <w:drawing>
                <wp:anchor xmlns:wp="http://schemas.openxmlformats.org/drawingml/2006/wordprocessingDrawing" distT="0" distB="0" distL="114300" distR="114300" simplePos="0" relativeHeight="251658243" behindDoc="1" locked="0" layoutInCell="1" allowOverlap="1">
                  <wp:simplePos x="0" y="0"/>
                  <wp:positionH relativeFrom="column">
                    <wp:posOffset>318770</wp:posOffset>
                  </wp:positionH>
                  <wp:positionV relativeFrom="paragraph">
                    <wp:posOffset>790575</wp:posOffset>
                  </wp:positionV>
                  <wp:extent cx="304800" cy="285750"/>
                  <wp:effectExtent l="0" t="0" r="0" b="0"/>
                  <wp:wrapNone/>
                  <wp:docPr id="171948324" name="Bildobjekt 171948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610265565"/>
                          <pic:cNvPicPr/>
                        </pic:nvPicPr>
                        <pic:blipFill dpi="0">
                          <a:blip xmlns:r="http://schemas.openxmlformats.org/officeDocument/2006/relationships" r:embed="Relimage25"/>
                          <a:srcRect/>
                          <a:stretch>
                            <a:fillRect/>
                          </a:stretch>
                        </pic:blipFill>
                        <pic:spPr>
                          <a:xfrm>
                            <a:off x="0" y="0"/>
                            <a:ext cx="304800" cy="285750"/>
                          </a:xfrm>
                          <a:prstGeom prst="rect"/>
                        </pic:spPr>
                      </pic:pic>
                    </a:graphicData>
                  </a:graphic>
                </wp:anchor>
              </w:drawing>
            </w:r>
            <w:r>
              <w:rPr>
                <w:rFonts w:asciiTheme="majorHAnsi" w:hAnsiTheme="majorHAnsi" w:cstheme="majorBidi"/>
                <w:sz w:val="36"/>
                <w:szCs w:val="36"/>
              </w:rPr>
              <w:t>h</w:t>
            </w:r>
            <w:r>
              <w:rPr>
                <w:rFonts w:asciiTheme="majorHAnsi" w:hAnsiTheme="majorHAnsi" w:cstheme="majorBidi"/>
                <w:sz w:val="36"/>
                <w:szCs w:val="36"/>
                <w:vertAlign w:val="subscript"/>
              </w:rPr>
              <w:t>4</w:t>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Högsta nockhöjd på komplementbyggnad är 4,0 meter</w:t>
            </w:r>
          </w:p>
          <w:p>
            <w:bookmarkStart w:id="40" w:name="mo_motivtillreglering15"/>
            <w:r>
              <w:t>Vid uppförande av komplementbyggnader är den högsta tillåtna nockhöjden för dessa byggnader 4 meter.</w:t>
            </w:r>
          </w:p>
          <w:p>
            <w:pPr>
              <w:spacing w:after="0" w:beforeAutospacing="0" w:afterAutospacing="0"/>
            </w:pPr>
            <w:bookmarkEnd w:id="40"/>
          </w:p>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Högsta nockhöjd på komplementbyggnad är 4,0 meter</w:t>
            </w:r>
          </w:p>
          <w:p>
            <w:pPr>
              <w:jc w:val="both"/>
            </w:pPr>
            <w:bookmarkStart w:id="41" w:name="mo_motivtillreglering16"/>
            <w:r>
              <w:t>Planbestämmelsen säkerställer transformatorstationens höjd.</w:t>
            </w:r>
          </w:p>
          <w:p>
            <w:pPr>
              <w:spacing w:after="0" w:beforeAutospacing="0" w:afterAutospacing="0"/>
              <w:jc w:val="both"/>
            </w:pPr>
            <w:bookmarkEnd w:id="41"/>
          </w:p>
          <w:p>
            <w:pPr>
              <w:spacing w:after="0" w:beforeAutospacing="0" w:afterAutospacing="0"/>
              <w:jc w:val="both"/>
            </w:pPr>
          </w:p>
          <w:p>
            <w:pPr>
              <w:spacing w:after="0" w:beforeAutospacing="0" w:afterAutospacing="0"/>
              <w:jc w:val="both"/>
            </w:pPr>
          </w:p>
          <w:p>
            <w:pPr>
              <w:spacing w:after="0" w:beforeAutospacing="0" w:afterAutospacing="0"/>
              <w:jc w:val="both"/>
            </w:pPr>
          </w:p>
          <w:p>
            <w:pPr>
              <w:spacing w:after="0" w:beforeAutospacing="0" w:afterAutospacing="0"/>
              <w:jc w:val="both"/>
            </w:pPr>
          </w:p>
          <w:p>
            <w:pPr>
              <w:spacing w:after="0" w:beforeAutospacing="0" w:afterAutospacing="0"/>
              <w:jc w:val="both"/>
            </w:pPr>
          </w:p>
          <w:p>
            <w:pPr>
              <w:spacing w:after="0" w:beforeAutospacing="0" w:afterAutospacing="0"/>
              <w:jc w:val="both"/>
            </w:pPr>
          </w:p>
          <w:p>
            <w:pPr>
              <w:spacing w:after="0" w:beforeAutospacing="0" w:afterAutospacing="0"/>
              <w:jc w:val="both"/>
            </w:pPr>
          </w:p>
        </w:tc>
      </w:tr>
      <w:tr>
        <w:tc>
          <w:tcPr>
            <w:tcW w:w="8223" w:type="dxa"/>
            <w:gridSpan w:val="2"/>
          </w:tcPr>
          <w:p>
            <w:r>
              <w:br w:type="page"/>
            </w:r>
            <w:r>
              <w:rPr>
                <w:rFonts w:asciiTheme="majorHAnsi" w:hAnsiTheme="majorHAnsi" w:cstheme="majorHAnsi"/>
                <w:sz w:val="22"/>
                <w:szCs w:val="20"/>
              </w:rPr>
              <w:t>Markreservat för allmännyttiga ändamål</w:t>
            </w:r>
          </w:p>
        </w:tc>
      </w:tr>
      <w:tr>
        <w:trPr>
          <w:trHeight w:hRule="atLeast" w:val="1946"/>
        </w:trPr>
        <w:tc>
          <w:tcPr>
            <w:tcW w:w="1656" w:type="dxa"/>
          </w:tcPr>
          <w:p>
            <w:pPr>
              <w:jc w:val="center"/>
            </w:pPr>
            <w:r>
              <w:rPr>
                <w:noProof w:val="1"/>
              </w:rPr>
              <w:drawing>
                <wp:inline xmlns:wp="http://schemas.openxmlformats.org/drawingml/2006/wordprocessingDrawing" distT="0" distB="0" distL="0" distR="0">
                  <wp:extent cx="210820" cy="201295"/>
                  <wp:effectExtent l="0" t="0" r="0" b="8255"/>
                  <wp:docPr id="870054538" name="Bildobjekt 870054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2"/>
                          <pic:cNvPicPr/>
                        </pic:nvPicPr>
                        <pic:blipFill dpi="0">
                          <a:blip xmlns:r="http://schemas.openxmlformats.org/officeDocument/2006/relationships" r:embed="Relimage26"/>
                          <a:srcRect/>
                          <a:stretch>
                            <a:fillRect/>
                          </a:stretch>
                        </pic:blipFill>
                        <pic:spPr>
                          <a:xfrm>
                            <a:off x="0" y="0"/>
                            <a:ext cx="219926" cy="210366"/>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Markreservat för allmännyttiga underjordiska ledningar</w:t>
            </w:r>
          </w:p>
          <w:p>
            <w:pPr>
              <w:spacing w:after="0" w:beforeAutospacing="0" w:afterAutospacing="0"/>
            </w:pPr>
            <w:bookmarkStart w:id="42" w:name="mo_motivtillreglering17"/>
            <w:r>
              <w:t>Inom markanvändningen begravningsplats, längst i norr, läggs ett område om markreservat för allmännyttiga underjordiska ledningar. Syftet med bestämmelsen är att möjliggöra att de ledningar som finns där i dag kan ligga kvar även om marken i framtiden inte skulle vara kommunal</w:t>
            </w:r>
            <w:bookmarkEnd w:id="42"/>
            <w:r>
              <w:t>.</w:t>
            </w:r>
          </w:p>
        </w:tc>
      </w:tr>
      <w:tr>
        <w:tc>
          <w:tcPr>
            <w:tcW w:w="8223" w:type="dxa"/>
            <w:gridSpan w:val="2"/>
          </w:tcPr>
          <w:p>
            <w:r>
              <w:rPr>
                <w:rFonts w:asciiTheme="majorHAnsi" w:hAnsiTheme="majorHAnsi" w:cstheme="majorHAnsi"/>
                <w:sz w:val="22"/>
                <w:szCs w:val="20"/>
              </w:rPr>
              <w:t>Utnyttjandegrad</w:t>
            </w:r>
          </w:p>
        </w:tc>
      </w:tr>
      <w:tr>
        <w:trPr>
          <w:trHeight w:hRule="atLeast" w:val="2321"/>
        </w:trPr>
        <w:tc>
          <w:tcPr>
            <w:tcW w:w="1656" w:type="dxa"/>
          </w:tcPr>
          <w:p>
            <w:pPr>
              <w:jc w:val="center"/>
            </w:pPr>
            <w:r>
              <w:rPr>
                <w:noProof w:val="1"/>
              </w:rPr>
              <w:drawing>
                <wp:inline xmlns:wp="http://schemas.openxmlformats.org/drawingml/2006/wordprocessingDrawing" distT="0" distB="0" distL="0" distR="0">
                  <wp:extent cx="214630" cy="238125"/>
                  <wp:effectExtent l="0" t="0" r="0" b="9525"/>
                  <wp:docPr id="870054539" name="Bildobjekt 87005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3"/>
                          <pic:cNvPicPr/>
                        </pic:nvPicPr>
                        <pic:blipFill dpi="0">
                          <a:blip xmlns:r="http://schemas.openxmlformats.org/officeDocument/2006/relationships" r:embed="Relimage27"/>
                          <a:srcRect r="67093" b="-5818"/>
                          <a:stretch>
                            <a:fillRect/>
                          </a:stretch>
                        </pic:blipFill>
                        <pic:spPr bwMode="auto">
                          <a:xfrm>
                            <a:off x="0" y="0"/>
                            <a:ext cx="228375" cy="253750"/>
                          </a:xfrm>
                          <a:prstGeom prst="rect"/>
                          <a:ln>
                            <a:noFill/>
                          </a:ln>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Största byggnadsarea är 30 % av fastighetsarean inom användningsområdet</w:t>
            </w:r>
          </w:p>
          <w:p>
            <w:bookmarkStart w:id="43" w:name="mo_motivtillreglering18"/>
            <w:r>
              <w:t>Byggrätten begränsas till 30 % av fastighetsarean inom användningsområdet för bostäder. Bestämmelsen säkerställer att inte för stora andelar av fastigheten hårdgörs samt begränsar hur många bostäder som kan placeras på fastigheten i förhållande till friyta och parkering</w:t>
            </w:r>
            <w:bookmarkEnd w:id="43"/>
            <w:r>
              <w:t>.</w:t>
            </w:r>
          </w:p>
        </w:tc>
      </w:tr>
      <w:tr>
        <w:tc>
          <w:tcPr>
            <w:tcW w:w="8223" w:type="dxa"/>
            <w:gridSpan w:val="2"/>
          </w:tcPr>
          <w:p>
            <w:r>
              <w:rPr>
                <w:rFonts w:asciiTheme="majorHAnsi" w:hAnsiTheme="majorHAnsi" w:cstheme="majorHAnsi"/>
                <w:sz w:val="22"/>
                <w:szCs w:val="20"/>
              </w:rPr>
              <w:t>Utformning</w:t>
            </w:r>
          </w:p>
        </w:tc>
      </w:tr>
      <w:tr>
        <w:trPr>
          <w:trHeight w:hRule="atLeast" w:val="1449"/>
        </w:trPr>
        <w:tc>
          <w:tcPr>
            <w:tcW w:w="1656" w:type="dxa"/>
          </w:tcPr>
          <w:p>
            <w:pPr>
              <w:jc w:val="center"/>
            </w:pPr>
            <w:r>
              <w:rPr>
                <w:noProof w:val="1"/>
              </w:rPr>
              <w:drawing>
                <wp:inline xmlns:wp="http://schemas.openxmlformats.org/drawingml/2006/wordprocessingDrawing" distT="0" distB="0" distL="0" distR="0">
                  <wp:extent cx="173990" cy="266700"/>
                  <wp:effectExtent l="0" t="0" r="0" b="0"/>
                  <wp:docPr id="870054541" name="Bildobjekt 87005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4"/>
                          <pic:cNvPicPr/>
                        </pic:nvPicPr>
                        <pic:blipFill dpi="0">
                          <a:blip xmlns:r="http://schemas.openxmlformats.org/officeDocument/2006/relationships" r:embed="Relimage28"/>
                          <a:srcRect/>
                          <a:stretch>
                            <a:fillRect/>
                          </a:stretch>
                        </pic:blipFill>
                        <pic:spPr>
                          <a:xfrm>
                            <a:off x="0" y="0"/>
                            <a:ext cx="183618" cy="281891"/>
                          </a:xfrm>
                          <a:prstGeom prst="rect"/>
                        </pic:spPr>
                      </pic:pic>
                    </a:graphicData>
                  </a:graphic>
                </wp:inline>
              </w:drawing>
            </w:r>
          </w:p>
        </w:tc>
        <w:tc>
          <w:tcPr>
            <w:tcW w:w="6567" w:type="dxa"/>
          </w:tcPr>
          <w:p>
            <w:pPr>
              <w:spacing w:lineRule="auto" w:line="240" w:after="0" w:beforeAutospacing="0" w:afterAutospacing="0"/>
              <w:rPr>
                <w:rFonts w:asciiTheme="majorHAnsi" w:hAnsiTheme="majorHAnsi" w:cstheme="majorBidi"/>
                <w:sz w:val="22"/>
              </w:rPr>
            </w:pPr>
            <w:r>
              <w:rPr>
                <w:rFonts w:asciiTheme="majorHAnsi" w:hAnsiTheme="majorHAnsi" w:cstheme="majorBidi"/>
                <w:sz w:val="22"/>
              </w:rPr>
              <w:t>Huvudbyggnad får uppföras i maximalt två våningar.</w:t>
            </w:r>
            <w:r>
              <w:rPr>
                <w:rFonts w:ascii="ArialMT" w:hAnsi="ArialMT" w:cs="ArialMT"/>
                <w:sz w:val="22"/>
              </w:rPr>
              <w:t xml:space="preserve"> Angivna tillåtna våningsantal är utöver vindsvåning med tekniska installationer.</w:t>
            </w:r>
          </w:p>
          <w:p>
            <w:bookmarkStart w:id="44" w:name="mo_motivtillreglering19"/>
            <w:r>
              <w:t>Inom bostadsområdets norra, östra och södra delar regleras antal våningar till maximalt två för att bebyggelsen ska upplevas lägst nära de låglänta områdena runt Bodån och parkmarken.</w:t>
            </w:r>
            <w:bookmarkEnd w:id="44"/>
          </w:p>
        </w:tc>
      </w:tr>
      <w:tr>
        <w:trPr>
          <w:trHeight w:hRule="atLeast" w:val="1130"/>
        </w:trPr>
        <w:tc>
          <w:tcPr>
            <w:tcW w:w="1656" w:type="dxa"/>
          </w:tcPr>
          <w:p>
            <w:pPr>
              <w:jc w:val="center"/>
            </w:pPr>
            <w:r>
              <w:rPr>
                <w:noProof w:val="1"/>
              </w:rPr>
              <w:drawing>
                <wp:inline xmlns:wp="http://schemas.openxmlformats.org/drawingml/2006/wordprocessingDrawing" distT="0" distB="0" distL="0" distR="0">
                  <wp:extent cx="181610" cy="243205"/>
                  <wp:effectExtent l="0" t="0" r="8890" b="4445"/>
                  <wp:docPr id="870054542" name="Bildobjekt 87005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5"/>
                          <pic:cNvPicPr/>
                        </pic:nvPicPr>
                        <pic:blipFill dpi="0">
                          <a:blip xmlns:r="http://schemas.openxmlformats.org/officeDocument/2006/relationships" r:embed="Relimage29"/>
                          <a:srcRect/>
                          <a:stretch>
                            <a:fillRect/>
                          </a:stretch>
                        </pic:blipFill>
                        <pic:spPr>
                          <a:xfrm>
                            <a:off x="0" y="0"/>
                            <a:ext cx="192460" cy="257414"/>
                          </a:xfrm>
                          <a:prstGeom prst="rect"/>
                        </pic:spPr>
                      </pic:pic>
                    </a:graphicData>
                  </a:graphic>
                </wp:inline>
              </w:drawing>
            </w:r>
          </w:p>
        </w:tc>
        <w:tc>
          <w:tcPr>
            <w:tcW w:w="6567" w:type="dxa"/>
          </w:tcPr>
          <w:p>
            <w:pPr>
              <w:spacing w:after="0" w:beforeAutospacing="0" w:afterAutospacing="0"/>
              <w:rPr>
                <w:rFonts w:asciiTheme="majorHAnsi" w:hAnsiTheme="majorHAnsi" w:cstheme="majorBidi"/>
                <w:sz w:val="22"/>
              </w:rPr>
            </w:pPr>
            <w:r>
              <w:rPr>
                <w:rFonts w:asciiTheme="majorHAnsi" w:hAnsiTheme="majorHAnsi" w:cstheme="majorBidi"/>
                <w:sz w:val="22"/>
              </w:rPr>
              <w:t>Huvudbyggnad får uppföras i maximalt fyra våningar.</w:t>
            </w:r>
            <w:r>
              <w:rPr>
                <w:sz w:val="22"/>
              </w:rPr>
              <w:t xml:space="preserve"> </w:t>
            </w:r>
            <w:r>
              <w:rPr>
                <w:rFonts w:ascii="ArialMT" w:hAnsi="ArialMT" w:cs="ArialMT"/>
                <w:sz w:val="22"/>
              </w:rPr>
              <w:t>Angivna tillåtna våningsantal är utöver vindsvåning med tekniska installationer.</w:t>
            </w:r>
          </w:p>
          <w:p>
            <w:pPr>
              <w:spacing w:lineRule="auto" w:line="240" w:after="0" w:beforeAutospacing="0" w:afterAutospacing="0"/>
            </w:pPr>
            <w:bookmarkStart w:id="45" w:name="mo_motivtillreglering23"/>
            <w:r>
              <w:t>I den mellersta delen av området för bostäder regleras antal våningar till maximalt fyra.</w:t>
            </w:r>
          </w:p>
          <w:p>
            <w:pPr>
              <w:spacing w:lineRule="auto" w:line="240" w:after="0" w:beforeAutospacing="0" w:afterAutospacing="0"/>
            </w:pPr>
            <w:bookmarkEnd w:id="45"/>
          </w:p>
        </w:tc>
      </w:tr>
      <w:tr>
        <w:trPr>
          <w:trHeight w:hRule="atLeast" w:val="1143"/>
        </w:trPr>
        <w:tc>
          <w:tcPr>
            <w:tcW w:w="1656" w:type="dxa"/>
          </w:tcPr>
          <w:p>
            <w:pPr>
              <w:jc w:val="center"/>
            </w:pPr>
            <w:r>
              <w:rPr>
                <w:noProof w:val="1"/>
              </w:rPr>
              <w:drawing>
                <wp:inline xmlns:wp="http://schemas.openxmlformats.org/drawingml/2006/wordprocessingDrawing" distT="0" distB="0" distL="0" distR="0">
                  <wp:extent cx="181610" cy="246380"/>
                  <wp:effectExtent l="0" t="0" r="8890" b="1270"/>
                  <wp:docPr id="870054543" name="Bildobjekt 870054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6"/>
                          <pic:cNvPicPr/>
                        </pic:nvPicPr>
                        <pic:blipFill dpi="0">
                          <a:blip xmlns:r="http://schemas.openxmlformats.org/officeDocument/2006/relationships" r:embed="Relimage30"/>
                          <a:srcRect/>
                          <a:stretch>
                            <a:fillRect/>
                          </a:stretch>
                        </pic:blipFill>
                        <pic:spPr>
                          <a:xfrm>
                            <a:off x="0" y="0"/>
                            <a:ext cx="188919" cy="256736"/>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Huvudbyggnad får uppföras i maximalt fem våningar</w:t>
            </w:r>
            <w:r>
              <w:rPr>
                <w:rFonts w:asciiTheme="majorHAnsi" w:hAnsiTheme="majorHAnsi" w:cstheme="majorHAnsi"/>
                <w:sz w:val="22"/>
              </w:rPr>
              <w:t>.</w:t>
            </w:r>
            <w:r>
              <w:rPr>
                <w:sz w:val="22"/>
              </w:rPr>
              <w:t xml:space="preserve"> </w:t>
            </w:r>
            <w:r>
              <w:rPr>
                <w:rFonts w:ascii="ArialMT" w:hAnsi="ArialMT" w:cs="ArialMT"/>
                <w:sz w:val="22"/>
              </w:rPr>
              <w:t>Angivna tillåtna våningsantal är utöver vindsvåning med tekniska installationer.</w:t>
            </w:r>
          </w:p>
          <w:p>
            <w:pPr>
              <w:spacing w:lineRule="auto" w:line="240" w:after="0" w:beforeAutospacing="0" w:afterAutospacing="0"/>
            </w:pPr>
            <w:bookmarkStart w:id="46" w:name="mo_motivtillreglering22"/>
            <w:r>
              <w:t>I området mot Kyrkogårdsgatan regleras antal våningar till maximalt fem.</w:t>
            </w:r>
            <w:bookmarkEnd w:id="46"/>
          </w:p>
          <w:p>
            <w:pPr>
              <w:spacing w:lineRule="auto" w:line="240" w:after="0" w:beforeAutospacing="0" w:afterAutospacing="0"/>
            </w:pPr>
          </w:p>
          <w:p>
            <w:pPr>
              <w:spacing w:lineRule="auto" w:line="240" w:after="0" w:beforeAutospacing="0" w:afterAutospacing="0"/>
            </w:pPr>
          </w:p>
        </w:tc>
      </w:tr>
      <w:tr>
        <w:tc>
          <w:tcPr>
            <w:tcW w:w="8223" w:type="dxa"/>
            <w:gridSpan w:val="2"/>
          </w:tcPr>
          <w:p>
            <w:r>
              <w:rPr>
                <w:rFonts w:asciiTheme="majorHAnsi" w:hAnsiTheme="majorHAnsi" w:cstheme="majorHAnsi"/>
                <w:sz w:val="22"/>
                <w:szCs w:val="20"/>
              </w:rPr>
              <w:t>Utförande</w:t>
            </w:r>
          </w:p>
        </w:tc>
      </w:tr>
      <w:tr>
        <w:trPr>
          <w:trHeight w:hRule="atLeast" w:val="1592"/>
        </w:trPr>
        <w:tc>
          <w:tcPr>
            <w:tcW w:w="1656" w:type="dxa"/>
          </w:tcPr>
          <w:p>
            <w:pPr>
              <w:jc w:val="center"/>
            </w:pPr>
            <w:r>
              <w:rPr>
                <w:noProof w:val="1"/>
              </w:rPr>
              <w:drawing>
                <wp:inline xmlns:wp="http://schemas.openxmlformats.org/drawingml/2006/wordprocessingDrawing" distT="0" distB="0" distL="0" distR="0">
                  <wp:extent cx="190500" cy="213360"/>
                  <wp:effectExtent l="0" t="0" r="0" b="0"/>
                  <wp:docPr id="870054544" name="Bildobjekt 87005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7"/>
                          <pic:cNvPicPr/>
                        </pic:nvPicPr>
                        <pic:blipFill dpi="0">
                          <a:blip xmlns:r="http://schemas.openxmlformats.org/officeDocument/2006/relationships" r:embed="Relimage31"/>
                          <a:srcRect/>
                          <a:stretch>
                            <a:fillRect/>
                          </a:stretch>
                        </pic:blipFill>
                        <pic:spPr>
                          <a:xfrm>
                            <a:off x="0" y="0"/>
                            <a:ext cx="198926" cy="223038"/>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Minst 25,0 % av marken ska vara genomsläpplig</w:t>
            </w:r>
          </w:p>
          <w:p>
            <w:bookmarkStart w:id="47" w:name="mo_motivtillreglering25"/>
            <w:r>
              <w:t>Minst 25 % av marken i användningsområdet för bostäder ska vara genomsläpplig i form av plantering, gräs, grus eller armerat gräs för att vatten från tak ska kunna infiltreras. Bestämmelsen säkerställer att inte för stora andelar av området hårdgörs.</w:t>
            </w:r>
            <w:bookmarkEnd w:id="47"/>
          </w:p>
        </w:tc>
      </w:tr>
      <w:tr>
        <w:trPr>
          <w:trHeight w:hRule="atLeast" w:val="1684"/>
        </w:trPr>
        <w:tc>
          <w:tcPr>
            <w:tcW w:w="1656" w:type="dxa"/>
          </w:tcPr>
          <w:p>
            <w:pPr>
              <w:jc w:val="center"/>
            </w:pPr>
            <w:r>
              <w:rPr>
                <w:noProof w:val="1"/>
              </w:rPr>
              <w:drawing>
                <wp:inline xmlns:wp="http://schemas.openxmlformats.org/drawingml/2006/wordprocessingDrawing" distT="0" distB="0" distL="0" distR="0">
                  <wp:extent cx="213360" cy="213360"/>
                  <wp:effectExtent l="0" t="0" r="0" b="0"/>
                  <wp:docPr id="870054545" name="Bildobjekt 870054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8"/>
                          <pic:cNvPicPr/>
                        </pic:nvPicPr>
                        <pic:blipFill dpi="0">
                          <a:blip xmlns:r="http://schemas.openxmlformats.org/officeDocument/2006/relationships" r:embed="Relimage32"/>
                          <a:srcRect/>
                          <a:stretch>
                            <a:fillRect/>
                          </a:stretch>
                        </pic:blipFill>
                        <pic:spPr>
                          <a:xfrm>
                            <a:off x="0" y="0"/>
                            <a:ext cx="218732" cy="218732"/>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Takvatten ska infiltreras på den egna fastigheten</w:t>
            </w:r>
          </w:p>
          <w:p>
            <w:bookmarkStart w:id="48" w:name="mo_motivtillreglering20"/>
            <w:r>
              <w:t>Det takvatten som uppstår inom fastigheten ska även infiltreras inom fastigheten. Bestämmelsen syftar till att minska mängden dagvatten som når de två större fördröjningsdammarna genom att säkerställa att fastighetsägaren tar hand om eget dagvatten</w:t>
            </w:r>
            <w:bookmarkEnd w:id="48"/>
            <w:r>
              <w:t>.</w:t>
            </w:r>
          </w:p>
        </w:tc>
      </w:tr>
      <w:tr>
        <w:tc>
          <w:tcPr>
            <w:tcW w:w="8223" w:type="dxa"/>
            <w:gridSpan w:val="2"/>
          </w:tcPr>
          <w:p>
            <w:r>
              <w:rPr>
                <w:rFonts w:asciiTheme="majorHAnsi" w:hAnsiTheme="majorHAnsi" w:cstheme="majorHAnsi"/>
                <w:sz w:val="22"/>
                <w:szCs w:val="20"/>
              </w:rPr>
              <w:t>Upphävande av strandskydd</w:t>
            </w:r>
          </w:p>
        </w:tc>
      </w:tr>
      <w:tr>
        <w:tc>
          <w:tcPr>
            <w:tcW w:w="1656" w:type="dxa"/>
          </w:tcPr>
          <w:p>
            <w:pPr>
              <w:jc w:val="center"/>
            </w:pPr>
            <w:r>
              <w:rPr>
                <w:noProof w:val="1"/>
              </w:rPr>
              <w:drawing>
                <wp:inline xmlns:wp="http://schemas.openxmlformats.org/drawingml/2006/wordprocessingDrawing" distT="0" distB="0" distL="0" distR="0">
                  <wp:extent cx="202565" cy="165735"/>
                  <wp:effectExtent l="0" t="0" r="6985" b="5715"/>
                  <wp:docPr id="870054546" name="Bildobjekt 87005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59"/>
                          <pic:cNvPicPr/>
                        </pic:nvPicPr>
                        <pic:blipFill dpi="0">
                          <a:blip xmlns:r="http://schemas.openxmlformats.org/officeDocument/2006/relationships" r:embed="Relimage33"/>
                          <a:srcRect/>
                          <a:stretch>
                            <a:fillRect/>
                          </a:stretch>
                        </pic:blipFill>
                        <pic:spPr>
                          <a:xfrm>
                            <a:off x="0" y="0"/>
                            <a:ext cx="213636" cy="175181"/>
                          </a:xfrm>
                          <a:prstGeom prst="rect"/>
                        </pic:spPr>
                      </pic:pic>
                    </a:graphicData>
                  </a:graphic>
                </wp:inline>
              </w:drawing>
            </w:r>
          </w:p>
        </w:tc>
        <w:tc>
          <w:tcPr>
            <w:tcW w:w="6567" w:type="dxa"/>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Strandskyddet är upphävt. Begränsas av sekundär egenskapsgräns.</w:t>
            </w:r>
          </w:p>
          <w:p>
            <w:bookmarkStart w:id="49" w:name="mo_motivtillreglering24"/>
            <w:r>
              <w:t>Strandskyddet upphävs på område för bostäder och begravningsplats för att möjliggöra bostadsbebyggelse, anläggning av parkering samt komplementbyggnad</w:t>
            </w:r>
            <w:bookmarkEnd w:id="49"/>
            <w:r>
              <w:t xml:space="preserve">. </w:t>
            </w:r>
          </w:p>
          <w:p>
            <w:r>
              <w:t>Se motivering till upphävande av strandskydd under rubrik 9</w:t>
            </w:r>
            <w:r>
              <w:rPr>
                <w:i w:val="1"/>
                <w:iCs w:val="1"/>
              </w:rPr>
              <w:t>.3.2 Strandskydd.</w:t>
            </w:r>
          </w:p>
        </w:tc>
      </w:tr>
      <w:tr>
        <w:tc>
          <w:tcPr>
            <w:tcW w:w="8223" w:type="dxa"/>
            <w:gridSpan w:val="2"/>
          </w:tcPr>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Skydd mot störningar</w:t>
            </w:r>
          </w:p>
        </w:tc>
      </w:tr>
      <w:tr>
        <w:trPr>
          <w:trHeight w:hRule="atLeast" w:val="300"/>
        </w:trPr>
        <w:tc>
          <w:tcPr>
            <w:tcW w:w="1656" w:type="dxa"/>
          </w:tcPr>
          <w:p>
            <w:pPr>
              <w:jc w:val="center"/>
              <w:rPr>
                <w:rFonts w:asciiTheme="majorHAnsi" w:hAnsiTheme="majorHAnsi" w:cstheme="majorBidi"/>
                <w:sz w:val="40"/>
                <w:szCs w:val="40"/>
              </w:rPr>
            </w:pPr>
            <w:r>
              <w:rPr>
                <w:rFonts w:asciiTheme="majorHAnsi" w:hAnsiTheme="majorHAnsi" w:cstheme="majorBidi"/>
                <w:sz w:val="48"/>
                <w:szCs w:val="48"/>
                <w:vertAlign w:val="subscript"/>
              </w:rPr>
              <w:t>m</w:t>
            </w:r>
            <w:r>
              <w:rPr>
                <w:rFonts w:asciiTheme="majorHAnsi" w:hAnsiTheme="majorHAnsi" w:cstheme="majorBidi"/>
                <w:sz w:val="40"/>
                <w:szCs w:val="40"/>
                <w:vertAlign w:val="subscript"/>
              </w:rPr>
              <w:t xml:space="preserve">1 </w:t>
            </w:r>
          </w:p>
        </w:tc>
        <w:tc>
          <w:tcPr>
            <w:tcW w:w="6567" w:type="dxa"/>
          </w:tcPr>
          <w:p>
            <w:pPr>
              <w:spacing w:after="0" w:beforeAutospacing="0" w:afterAutospacing="0"/>
              <w:rPr>
                <w:rFonts w:asciiTheme="majorHAnsi" w:hAnsiTheme="majorHAnsi" w:cstheme="majorBidi"/>
                <w:sz w:val="22"/>
              </w:rPr>
            </w:pPr>
            <w:r>
              <w:rPr>
                <w:rFonts w:asciiTheme="majorHAnsi" w:hAnsiTheme="majorHAnsi" w:cstheme="majorBidi"/>
                <w:sz w:val="22"/>
              </w:rPr>
              <w:t>Gravplats får inte anordnas.</w:t>
            </w:r>
          </w:p>
          <w:p>
            <w:pPr>
              <w:rPr>
                <w:rFonts w:asciiTheme="majorHAnsi" w:hAnsiTheme="majorHAnsi" w:cstheme="majorBidi"/>
                <w:sz w:val="22"/>
              </w:rPr>
            </w:pPr>
            <w:bookmarkStart w:id="50" w:name="mo_motivtillreglering21"/>
            <w:r>
              <w:t>Området får endast förses med komplementbyggnader och parkering på grund av dess närhet till dagvattenhantering</w:t>
            </w:r>
            <w:bookmarkEnd w:id="50"/>
            <w:r>
              <w:t>.</w:t>
            </w:r>
          </w:p>
        </w:tc>
      </w:tr>
    </w:tbl>
    <w:p>
      <w:pPr>
        <w:pStyle w:val="P3"/>
        <w:numPr>
          <w:ilvl w:val="0"/>
          <w:numId w:val="0"/>
        </w:numPr>
        <w:ind w:hanging="720" w:left="720"/>
      </w:pPr>
      <w:r>
        <w:t xml:space="preserve">Genomförandetid </w:t>
      </w:r>
    </w:p>
    <w:p>
      <w:r>
        <w:t>Genomförandetiden är 5 år (60 månader) över hela planområdet och börjar gälla fr.o.m. laga kraftdatum.</w:t>
        <w:br w:type="page"/>
      </w:r>
    </w:p>
    <w:p>
      <w:pPr>
        <w:pStyle w:val="P1"/>
      </w:pPr>
      <w:bookmarkStart w:id="51" w:name="_Toc167430720"/>
      <w:r>
        <w:t>Planeringsförutsättningar</w:t>
      </w:r>
      <w:bookmarkEnd w:id="51"/>
    </w:p>
    <w:p>
      <w:pPr>
        <w:pStyle w:val="P2"/>
      </w:pPr>
      <w:bookmarkStart w:id="52" w:name="pf_kommunala01"/>
      <w:r>
        <w:t>Kommunala</w:t>
      </w:r>
    </w:p>
    <w:p>
      <w:pPr>
        <w:pStyle w:val="P3"/>
      </w:pPr>
      <w:bookmarkStart w:id="53" w:name="pf_översiktsplan01"/>
      <w:r>
        <w:t>Översiktsplan/fördjupad översiktsplan</w:t>
      </w:r>
    </w:p>
    <w:p>
      <w:pPr>
        <w:rPr>
          <w:szCs w:val="24"/>
        </w:rPr>
      </w:pPr>
      <w:r>
        <w:rPr>
          <w:noProof w:val="1"/>
        </w:rPr>
        <w:drawing>
          <wp:anchor xmlns:wp="http://schemas.openxmlformats.org/drawingml/2006/wordprocessingDrawing" distT="0" distB="0" distL="114300" distR="114300" simplePos="0" relativeHeight="3" behindDoc="0" locked="0" layoutInCell="1" allowOverlap="1">
            <wp:simplePos x="0" y="0"/>
            <wp:positionH relativeFrom="column">
              <wp:posOffset>2687320</wp:posOffset>
            </wp:positionH>
            <wp:positionV relativeFrom="paragraph">
              <wp:posOffset>63500</wp:posOffset>
            </wp:positionV>
            <wp:extent cx="2503170" cy="3674745"/>
            <wp:effectExtent l="0" t="0" r="0" b="1905"/>
            <wp:wrapThrough wrapText="bothSides">
              <wp:wrapPolygon edited="0">
                <wp:start x="0" y="0"/>
                <wp:lineTo x="0" y="21499"/>
                <wp:lineTo x="21370" y="21499"/>
                <wp:lineTo x="21370" y="0"/>
                <wp:lineTo x="0" y="0"/>
              </wp:wrapPolygon>
            </wp:wrapThrough>
            <wp:docPr id="13" name="Bildobjekt 13"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En bild som visar diagram&#10;&#10;Automatiskt genererad beskrivning"/>
                    <pic:cNvPicPr/>
                  </pic:nvPicPr>
                  <pic:blipFill dpi="0">
                    <a:blip xmlns:r="http://schemas.openxmlformats.org/officeDocument/2006/relationships" r:embed="Relimage34"/>
                    <a:srcRect l="5067" t="3586" r="5452" b="3497"/>
                    <a:stretch>
                      <a:fillRect/>
                    </a:stretch>
                  </pic:blipFill>
                  <pic:spPr bwMode="auto">
                    <a:xfrm>
                      <a:off x="0" y="0"/>
                      <a:ext cx="2503170" cy="3674745"/>
                    </a:xfrm>
                    <a:prstGeom prst="rect"/>
                    <a:ln>
                      <a:noFill/>
                    </a:ln>
                  </pic:spPr>
                </pic:pic>
              </a:graphicData>
            </a:graphic>
          </wp:anchor>
        </w:drawing>
      </w:r>
      <w:r>
        <w:rPr>
          <w:szCs w:val="24"/>
        </w:rPr>
        <w:t xml:space="preserve">I kommunens fördjupade översiktsplan för Boden och Sävast (2020) har Bodens kommuns pekat ut aktuellt planområde för bostäder. För att klara bostadsförsörjningen för nuvarande och framtida kommuninvånare behöver nya bostäder tillskapas samtidigt som det befintliga bostadsbeståndet behöver utvecklas och anpassas för att matcha behov och efterfrågan. </w:t>
      </w:r>
    </w:p>
    <w:p>
      <w:pPr>
        <w:rPr>
          <w:szCs w:val="24"/>
        </w:rPr>
      </w:pPr>
      <w:r>
        <w:rPr>
          <w:szCs w:val="24"/>
        </w:rPr>
        <w:t>Utvecklingen av bostäder föreslås genom förtätning i Bodens centrum och Sävast centrum. Nya bostäder föreslås även i nya bostadsområden. Dessa innebär främst en fortsättning på befintlig bebyggelsestruktur för att möjliggöra nyttjande av infrastruktur och säkerställa kollektivtrafikförsörjning.</w:t>
      </w:r>
    </w:p>
    <w:p>
      <w:pPr>
        <w:rPr>
          <w:szCs w:val="24"/>
        </w:rPr>
      </w:pPr>
      <w:r>
        <w:rPr>
          <w:noProof w:val="1"/>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2742565</wp:posOffset>
                </wp:positionH>
                <wp:positionV relativeFrom="paragraph">
                  <wp:posOffset>339090</wp:posOffset>
                </wp:positionV>
                <wp:extent cx="2376805" cy="635"/>
                <wp:effectExtent l="0" t="0" r="4445" b="6350"/>
                <wp:wrapThrough wrapText="bothSides">
                  <wp:wrapPolygon edited="0">
                    <wp:start x="0" y="0"/>
                    <wp:lineTo x="0" y="21115"/>
                    <wp:lineTo x="21467" y="21115"/>
                    <wp:lineTo x="21467" y="0"/>
                    <wp:lineTo x="0" y="0"/>
                  </wp:wrapPolygon>
                </wp:wrapThrough>
                <wp:docPr id="20" name="Textruta 20"/>
                <wp:cNvGraphicFramePr/>
                <a:graphic xmlns:a="http://schemas.openxmlformats.org/drawingml/2006/main">
                  <a:graphicData uri="http://schemas.microsoft.com/office/word/2010/wordprocessingShape">
                    <wps:wsp>
                      <wps:cNvSpPr txBox="1"/>
                      <wps:spPr>
                        <a:xfrm>
                          <a:off x="0" y="0"/>
                          <a:ext cx="237680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Utklipp från den fördjupade översiktsplanen men aktuellt planområdet schematiskt markerat inom svart polygon.</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20" o:spid="_x0000_s1029" style="position:absolute;width:187.15pt;height:0.05pt;z-index:7;mso-wrap-distance-left:9pt;mso-wrap-distance-top:0pt;mso-wrap-distance-right:9pt;mso-wrap-distance-bottom:0pt;margin-left:215.95pt;margin-top:26.7pt;mso-position-horizontal:absolute;mso-position-horizontal-relative:text;mso-position-vertical:absolute;mso-position-vertical-relative:text" o:allowincell="t" fillcolor="#FFFFFF" stroked="f">
                <v:textbox style="mso-fit-shape-to-text:t" inset="0mm,0mm,0mm,0mm">
                  <w:txbxContent>
                    <w:p>
                      <w:pPr>
                        <w:pStyle w:val="P50"/>
                        <w:ind w:left="0"/>
                        <w:rPr>
                          <w:b w:val="0"/>
                          <w:i w:val="1"/>
                          <w:bCs w:val="0"/>
                          <w:iCs w:val="1"/>
                          <w:color w:val="auto"/>
                          <w:sz w:val="20"/>
                          <w:szCs w:val="20"/>
                        </w:rPr>
                      </w:pPr>
                      <w:r>
                        <w:rPr>
                          <w:b w:val="0"/>
                          <w:i w:val="1"/>
                          <w:bCs w:val="0"/>
                          <w:iCs w:val="1"/>
                          <w:color w:val="auto"/>
                          <w:sz w:val="20"/>
                          <w:szCs w:val="20"/>
                        </w:rPr>
                        <w:t>Utklipp från den fördjupade översiktsplanen men aktuellt planområdet schematiskt markerat inom svart polygon.</w:t>
                      </w:r>
                    </w:p>
                  </w:txbxContent>
                </v:textbox>
                <w10:wrap type="through" anchory="line"/>
              </v:shape>
            </w:pict>
          </mc:Fallback>
        </mc:AlternateContent>
      </w:r>
      <w:r>
        <w:rPr>
          <w:szCs w:val="24"/>
        </w:rPr>
        <w:t>Stråket längs med Bodån och längs med Sveavägen är i den fördjupade översikts-planen utpekat som grönstråk.</w:t>
      </w:r>
    </w:p>
    <w:p>
      <w:pPr>
        <w:rPr>
          <w:szCs w:val="24"/>
        </w:rPr>
      </w:pPr>
      <w:r>
        <w:rPr>
          <w:szCs w:val="24"/>
        </w:rPr>
        <w:t xml:space="preserve">Grönstråk avses främst fungera som spridningskorridorer för växter och djur, men även som gång- och cykelstråk i gröna miljöer. Stråken ska koppla samman olika områden så väl som olika typer av grönområden samtidigt som de erbjuder rekreativa värden. </w:t>
      </w:r>
    </w:p>
    <w:p>
      <w:pPr>
        <w:rPr>
          <w:szCs w:val="24"/>
        </w:rPr>
      </w:pPr>
      <w:r>
        <w:rPr>
          <w:szCs w:val="24"/>
        </w:rPr>
        <w:t xml:space="preserve">I den fördjupade översiktsplanen framgår att befintliga grönstråk bör förädlas och kompletteras för att skapa en mer sammanhängande struktur. Tillägg till dessa grönstråk i form av vistelseytor i anslutning till vattnet. </w:t>
      </w:r>
    </w:p>
    <w:p>
      <w:pPr>
        <w:rPr>
          <w:szCs w:val="24"/>
        </w:rPr>
      </w:pPr>
      <w:r>
        <w:rPr>
          <w:szCs w:val="24"/>
        </w:rPr>
        <w:t xml:space="preserve">Detta ger ett mervärde både till stråket och till den specifika platsen. Hur och var vistelseytor placeras beslutas av kommunen då kommunen är huvudman för allmän plats. Detta sker i dialog med framtida exploatör och närboende. </w:t>
      </w:r>
    </w:p>
    <w:p>
      <w:pPr>
        <w:rPr>
          <w:szCs w:val="24"/>
        </w:rPr>
      </w:pPr>
      <w:r>
        <w:rPr>
          <w:szCs w:val="24"/>
        </w:rPr>
        <w:t>Det finns även andra linjära gröna inslag som fyller en viktig roll för grönstrukturen. Trädalléer utmed större vägar och entréplatser samt planterade gaturum inne i mer tätbebyggd miljö har viktiga ekologiska värden, skapar struktur och bidrar till bättre orienterbarhet. Stadens befintliga trädbestånd ska bevaras.</w:t>
      </w:r>
    </w:p>
    <w:p>
      <w:pPr>
        <w:rPr>
          <w:szCs w:val="24"/>
        </w:rPr>
      </w:pPr>
      <w:r>
        <w:rPr>
          <w:noProof w:val="1"/>
        </w:rPr>
        <w:drawing>
          <wp:anchor xmlns:wp="http://schemas.openxmlformats.org/drawingml/2006/wordprocessingDrawing" distT="0" distB="0" distL="114300" distR="114300" simplePos="0" relativeHeight="8" behindDoc="0" locked="0" layoutInCell="1" allowOverlap="1">
            <wp:simplePos x="0" y="0"/>
            <wp:positionH relativeFrom="column">
              <wp:posOffset>-8890</wp:posOffset>
            </wp:positionH>
            <wp:positionV relativeFrom="paragraph">
              <wp:posOffset>970915</wp:posOffset>
            </wp:positionV>
            <wp:extent cx="4250690" cy="2844165"/>
            <wp:effectExtent l="0" t="0" r="0" b="0"/>
            <wp:wrapThrough wrapText="bothSides">
              <wp:wrapPolygon edited="0">
                <wp:start x="0" y="0"/>
                <wp:lineTo x="0" y="21412"/>
                <wp:lineTo x="21490" y="21412"/>
                <wp:lineTo x="21490" y="0"/>
                <wp:lineTo x="0" y="0"/>
              </wp:wrapPolygon>
            </wp:wrapThrough>
            <wp:docPr id="19" name="Bildobjekt 19"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En bild som visar diagram&#10;&#10;Automatiskt genererad beskrivning"/>
                    <pic:cNvPicPr/>
                  </pic:nvPicPr>
                  <pic:blipFill dpi="0">
                    <a:blip xmlns:r="http://schemas.openxmlformats.org/officeDocument/2006/relationships" r:embed="Relimage35"/>
                    <a:srcRect/>
                    <a:stretch>
                      <a:fillRect/>
                    </a:stretch>
                  </pic:blipFill>
                  <pic:spPr>
                    <a:xfrm>
                      <a:off x="0" y="0"/>
                      <a:ext cx="4250690" cy="2844165"/>
                    </a:xfrm>
                    <a:prstGeom prst="rect"/>
                  </pic:spPr>
                </pic:pic>
              </a:graphicData>
            </a:graphic>
          </wp:anchor>
        </w:drawing>
      </w:r>
      <w:r>
        <w:rPr>
          <w:szCs w:val="24"/>
        </w:rPr>
        <w:t xml:space="preserve">I den norra delen av detaljplaneområdet finns ett låglänt område som benämns </w:t>
      </w:r>
      <w:r>
        <w:rPr>
          <w:i w:val="1"/>
          <w:iCs w:val="1"/>
          <w:szCs w:val="24"/>
        </w:rPr>
        <w:t>ravinen</w:t>
      </w:r>
      <w:r>
        <w:rPr>
          <w:szCs w:val="24"/>
        </w:rPr>
        <w:t xml:space="preserve"> och som omgärdas av branta slänter. Ravinen är i kommunens fördjupande översiktsplan utpekat som ett så kallat klimatanpassningsstråk. Klimatanpassnings-stråk utgör viktiga samband för hantering av höga flöden i vattendrag och vid kraftiga och ihållande regn.</w:t>
      </w:r>
    </w:p>
    <w:p>
      <w:pPr>
        <w:rPr>
          <w:szCs w:val="24"/>
        </w:rPr>
      </w:pPr>
    </w:p>
    <w:p>
      <w:pPr>
        <w:rPr>
          <w:szCs w:val="24"/>
        </w:rPr>
      </w:pPr>
    </w:p>
    <w:p>
      <w:pPr>
        <w:pStyle w:val="P16"/>
        <w:rPr>
          <w:szCs w:val="24"/>
        </w:rPr>
      </w:pPr>
    </w:p>
    <w:p>
      <w:pPr>
        <w:rPr>
          <w:szCs w:val="24"/>
        </w:rPr>
      </w:pPr>
    </w:p>
    <w:p>
      <w:pPr>
        <w:rPr>
          <w:szCs w:val="24"/>
        </w:rPr>
      </w:pPr>
    </w:p>
    <w:p>
      <w:pPr>
        <w:rPr>
          <w:szCs w:val="24"/>
        </w:rPr>
      </w:pPr>
    </w:p>
    <w:p>
      <w:pPr>
        <w:rPr>
          <w:szCs w:val="24"/>
        </w:rPr>
      </w:pPr>
    </w:p>
    <w:p>
      <w:pPr>
        <w:rPr>
          <w:szCs w:val="24"/>
        </w:rPr>
      </w:pPr>
    </w:p>
    <w:p>
      <w:pPr>
        <w:rPr>
          <w:szCs w:val="24"/>
        </w:rPr>
      </w:pPr>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column">
                  <wp:posOffset>-90170</wp:posOffset>
                </wp:positionH>
                <wp:positionV relativeFrom="paragraph">
                  <wp:posOffset>207010</wp:posOffset>
                </wp:positionV>
                <wp:extent cx="4646930" cy="457200"/>
                <wp:effectExtent l="0" t="0" r="0" b="0"/>
                <wp:wrapNone/>
                <wp:docPr id="21" name="Textruta 21"/>
                <wp:cNvGraphicFramePr/>
                <a:graphic xmlns:a="http://schemas.openxmlformats.org/drawingml/2006/main">
                  <a:graphicData uri="http://schemas.microsoft.com/office/word/2010/wordprocessingShape">
                    <wps:wsp>
                      <wps:cNvSpPr txBox="1"/>
                      <wps:spPr>
                        <a:xfrm>
                          <a:off x="0" y="0"/>
                          <a:ext cx="4647064" cy="45720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Klimatanpassningsstråk 1 utpekat i den fördjupade översiktsplanen (2020)</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21" o:spid="_x0000_s1030" style="position:absolute;width:365.9pt;height:36pt;z-index:9;mso-wrap-distance-left:9pt;mso-wrap-distance-top:0pt;mso-wrap-distance-right:9pt;mso-wrap-distance-bottom:0pt;margin-left:-7.1pt;margin-top:16.3pt;mso-position-horizontal:absolute;mso-position-horizontal-relative:text;mso-position-vertical:absolute;mso-position-vertical-relative:text" o:allowincell="t" filled="f" strokeweight="0.5pt" stroked="f">
                <v:textbox inset="3mm,1mm,3mm,1mm">
                  <w:txbxContent>
                    <w:p>
                      <w:pPr>
                        <w:pStyle w:val="P50"/>
                        <w:ind w:left="0"/>
                        <w:rPr>
                          <w:b w:val="0"/>
                          <w:i w:val="1"/>
                          <w:bCs w:val="0"/>
                          <w:iCs w:val="1"/>
                          <w:color w:val="auto"/>
                          <w:sz w:val="20"/>
                          <w:szCs w:val="20"/>
                        </w:rPr>
                      </w:pPr>
                      <w:r>
                        <w:rPr>
                          <w:b w:val="0"/>
                          <w:i w:val="1"/>
                          <w:bCs w:val="0"/>
                          <w:iCs w:val="1"/>
                          <w:color w:val="auto"/>
                          <w:sz w:val="20"/>
                          <w:szCs w:val="20"/>
                        </w:rPr>
                        <w:t>Klimatanpassningsstråk 1 utpekat i den fördjupade översiktsplanen (2020)</w:t>
                      </w:r>
                    </w:p>
                    <w:p/>
                  </w:txbxContent>
                </v:textbox>
              </v:shape>
            </w:pict>
          </mc:Fallback>
        </mc:AlternateContent>
      </w:r>
    </w:p>
    <w:p>
      <w:pPr>
        <w:rPr>
          <w:szCs w:val="24"/>
        </w:rPr>
      </w:pPr>
    </w:p>
    <w:p>
      <w:pPr>
        <w:rPr>
          <w:szCs w:val="24"/>
        </w:rPr>
      </w:pPr>
      <w:r>
        <w:rPr>
          <w:szCs w:val="24"/>
        </w:rPr>
        <w:t>Det område som i kommunens fördjupade översiktsplan har pekats ut som grön- och klimatsstråk kommer i aktuellt planförslag att planläggas som park, vilket ger möjlighet för flora/fauna att röra sig mellan olika områden.</w:t>
      </w:r>
    </w:p>
    <w:p>
      <w:pPr>
        <w:rPr>
          <w:szCs w:val="24"/>
        </w:rPr>
      </w:pPr>
      <w:bookmarkEnd w:id="53"/>
    </w:p>
    <w:p>
      <w:pPr>
        <w:rPr>
          <w:szCs w:val="24"/>
        </w:rPr>
      </w:pPr>
    </w:p>
    <w:p>
      <w:pPr>
        <w:pStyle w:val="P3"/>
      </w:pPr>
      <w:bookmarkStart w:id="54" w:name="pf_detaljplan01"/>
      <w:r>
        <w:t>Detaljplan</w:t>
      </w:r>
    </w:p>
    <w:p>
      <w:r>
        <w:t>Aktuellt planområde omfattar gällande detaljplaner:</w:t>
      </w:r>
    </w:p>
    <w:p/>
    <w:tbl>
      <w:tblPr>
        <w:tblStyle w:val="T2"/>
        <w:tblW w:w="0" w:type="auto"/>
        <w:tblLayout w:type="fixed"/>
        <w:tblLook w:val="04A0"/>
      </w:tblPr>
      <w:tblGrid/>
      <w:tr>
        <w:tc>
          <w:tcPr>
            <w:tcW w:w="3261" w:type="dxa"/>
            <w:tcBorders>
              <w:top w:val="nil"/>
              <w:left w:val="nil"/>
              <w:bottom w:val="nil"/>
              <w:right w:val="nil"/>
            </w:tcBorders>
          </w:tcPr>
          <w:p>
            <w:pPr>
              <w:rPr>
                <w:rFonts w:asciiTheme="majorHAnsi" w:hAnsiTheme="majorHAnsi" w:cstheme="majorHAnsi"/>
                <w:sz w:val="22"/>
                <w:szCs w:val="20"/>
              </w:rPr>
            </w:pPr>
            <w:r>
              <w:rPr>
                <w:rFonts w:asciiTheme="majorHAnsi" w:hAnsiTheme="majorHAnsi" w:cstheme="majorHAnsi"/>
                <w:sz w:val="22"/>
                <w:szCs w:val="20"/>
              </w:rPr>
              <w:t>1.</w:t>
            </w:r>
            <w:r>
              <w:rPr>
                <w:rFonts w:asciiTheme="majorHAnsi" w:hAnsiTheme="majorHAnsi" w:cstheme="majorHAnsi"/>
                <w:i w:val="1"/>
                <w:iCs w:val="1"/>
                <w:sz w:val="22"/>
                <w:szCs w:val="20"/>
              </w:rPr>
              <w:t xml:space="preserve"> </w:t>
            </w:r>
            <w:r>
              <w:rPr>
                <w:rFonts w:asciiTheme="majorHAnsi" w:hAnsiTheme="majorHAnsi" w:cstheme="majorHAnsi"/>
                <w:sz w:val="22"/>
                <w:szCs w:val="20"/>
              </w:rPr>
              <w:t>Ändring av stadsplanen för STG 1321 m.fl.</w:t>
            </w:r>
          </w:p>
          <w:p>
            <w:r>
              <w:rPr>
                <w:i w:val="1"/>
                <w:iCs w:val="1"/>
              </w:rPr>
              <w:t>25-P79/68</w:t>
            </w:r>
            <w:r>
              <w:t xml:space="preserve"> fick laga kraft år 1979, där aktuellt planområde omfattas av kvartersmark för militärt ändamål (M</w:t>
            </w:r>
            <w:r>
              <w:rPr>
                <w:vertAlign w:val="subscript"/>
              </w:rPr>
              <w:t>2</w:t>
            </w:r>
            <w:r>
              <w:t xml:space="preserve">). </w:t>
            </w:r>
          </w:p>
        </w:tc>
        <w:tc>
          <w:tcPr>
            <w:tcW w:w="4962" w:type="dxa"/>
            <w:tcBorders>
              <w:top w:val="nil"/>
              <w:left w:val="nil"/>
              <w:bottom w:val="nil"/>
              <w:right w:val="nil"/>
            </w:tcBorders>
          </w:tcPr>
          <w:p>
            <w:r>
              <w:rPr>
                <w:noProof w:val="1"/>
              </w:rPr>
              <mc:AlternateContent>
                <mc:Choice Requires="wpg">
                  <w:drawing>
                    <wp:anchor xmlns:wp="http://schemas.openxmlformats.org/drawingml/2006/wordprocessingDrawing" distT="0" distB="0" distL="114300" distR="114300" simplePos="0" relativeHeight="21" behindDoc="0" locked="0" layoutInCell="1" allowOverlap="1">
                      <wp:simplePos x="0" y="0"/>
                      <wp:positionH relativeFrom="margin">
                        <wp:posOffset>-635</wp:posOffset>
                      </wp:positionH>
                      <wp:positionV relativeFrom="paragraph">
                        <wp:posOffset>0</wp:posOffset>
                      </wp:positionV>
                      <wp:extent cx="2314575" cy="3019425"/>
                      <wp:effectExtent l="0" t="0" r="9525" b="9525"/>
                      <wp:wrapSquare wrapText="bothSides"/>
                      <wp:docPr id="851891295" name="Grupp 851891295"/>
                      <wp:cNvGraphicFramePr/>
                      <a:graphic xmlns:a="http://schemas.openxmlformats.org/drawingml/2006/main">
                        <a:graphicData uri="http://schemas.microsoft.com/office/word/2010/wordprocessingGroup">
                          <wpg:wgp>
                            <wpg:cNvGrpSpPr/>
                            <wpg:grpSpPr>
                              <a:xfrm>
                                <a:off x="0" y="0"/>
                                <a:ext cx="2314575" cy="3019425"/>
                                <a:chOff x="0" y="0"/>
                                <a:chExt cx="2186940" cy="3086100"/>
                              </a:xfrm>
                            </wpg:grpSpPr>
                            <pic:pic xmlns:pic="http://schemas.openxmlformats.org/drawingml/2006/picture">
                              <pic:nvPicPr>
                                <pic:cNvPr id="851891296" name="Bildobjekt 851891296"/>
                                <pic:cNvPicPr>
                                  <a:picLocks noChangeAspect="1"/>
                                </pic:cNvPicPr>
                              </pic:nvPicPr>
                              <pic:blipFill dpi="0">
                                <a:blip xmlns:r="http://schemas.openxmlformats.org/officeDocument/2006/relationships" r:embed="Relimage36"/>
                                <a:srcRect t="4956"/>
                                <a:stretch>
                                  <a:fillRect/>
                                </a:stretch>
                              </pic:blipFill>
                              <pic:spPr bwMode="auto">
                                <a:xfrm>
                                  <a:off x="0" y="0"/>
                                  <a:ext cx="2186940" cy="3086100"/>
                                </a:xfrm>
                                <a:prstGeom prst="rect"/>
                                <a:ln>
                                  <a:noFill/>
                                </a:ln>
                              </pic:spPr>
                            </pic:pic>
                            <wps:wsp>
                              <wps:cNvPr id="851891297" name="Frihandsfigur: Form 851891297"/>
                              <wps:cNvSpPr/>
                              <wps:spPr>
                                <a:xfrm>
                                  <a:off x="773728" y="507444"/>
                                  <a:ext cx="905747" cy="2402825"/>
                                </a:xfrm>
                                <a:custGeom>
                                  <a:gdLst>
                                    <a:gd name="connsiteX0" fmla="*/ 40383 w 905746"/>
                                    <a:gd name="connsiteY0" fmla="*/ 2402824 h 2402824"/>
                                    <a:gd name="connsiteX1" fmla="*/ 0 w 905746"/>
                                    <a:gd name="connsiteY1" fmla="*/ 2345133 h 2402824"/>
                                    <a:gd name="connsiteX2" fmla="*/ 5769 w 905746"/>
                                    <a:gd name="connsiteY2" fmla="*/ 2264366 h 2402824"/>
                                    <a:gd name="connsiteX3" fmla="*/ 227879 w 905746"/>
                                    <a:gd name="connsiteY3" fmla="*/ 1857645 h 2402824"/>
                                    <a:gd name="connsiteX4" fmla="*/ 299992 w 905746"/>
                                    <a:gd name="connsiteY4" fmla="*/ 1595152 h 2402824"/>
                                    <a:gd name="connsiteX5" fmla="*/ 328838 w 905746"/>
                                    <a:gd name="connsiteY5" fmla="*/ 1185547 h 2402824"/>
                                    <a:gd name="connsiteX6" fmla="*/ 490372 w 905746"/>
                                    <a:gd name="connsiteY6" fmla="*/ 614407 h 2402824"/>
                                    <a:gd name="connsiteX7" fmla="*/ 686521 w 905746"/>
                                    <a:gd name="connsiteY7" fmla="*/ 155765 h 2402824"/>
                                    <a:gd name="connsiteX8" fmla="*/ 773057 w 905746"/>
                                    <a:gd name="connsiteY8" fmla="*/ 0 h 2402824"/>
                                    <a:gd name="connsiteX9" fmla="*/ 905746 w 905746"/>
                                    <a:gd name="connsiteY9" fmla="*/ 77882 h 2402824"/>
                                    <a:gd name="connsiteX10" fmla="*/ 839402 w 905746"/>
                                    <a:gd name="connsiteY10" fmla="*/ 178841 h 2402824"/>
                                    <a:gd name="connsiteX11" fmla="*/ 571139 w 905746"/>
                                    <a:gd name="connsiteY11" fmla="*/ 1205739 h 2402824"/>
                                    <a:gd name="connsiteX12" fmla="*/ 389413 w 905746"/>
                                    <a:gd name="connsiteY12" fmla="*/ 1811493 h 2402824"/>
                                    <a:gd name="connsiteX13" fmla="*/ 121151 w 905746"/>
                                    <a:gd name="connsiteY13" fmla="*/ 2264366 h 2402824"/>
                                    <a:gd name="connsiteX14" fmla="*/ 40383 w 905746"/>
                                    <a:gd name="connsiteY14" fmla="*/ 2402824 h 240282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905746" h="2402824">
                                      <a:moveTo>
                                        <a:pt x="40383" y="2402824"/>
                                      </a:moveTo>
                                      <a:lnTo>
                                        <a:pt x="0" y="2345133"/>
                                      </a:lnTo>
                                      <a:lnTo>
                                        <a:pt x="5769" y="2264366"/>
                                      </a:lnTo>
                                      <a:lnTo>
                                        <a:pt x="227879" y="1857645"/>
                                      </a:lnTo>
                                      <a:lnTo>
                                        <a:pt x="299992" y="1595152"/>
                                      </a:lnTo>
                                      <a:lnTo>
                                        <a:pt x="328838" y="1185547"/>
                                      </a:lnTo>
                                      <a:lnTo>
                                        <a:pt x="490372" y="614407"/>
                                      </a:lnTo>
                                      <a:lnTo>
                                        <a:pt x="686521" y="155765"/>
                                      </a:lnTo>
                                      <a:lnTo>
                                        <a:pt x="773057" y="0"/>
                                      </a:lnTo>
                                      <a:lnTo>
                                        <a:pt x="905746" y="77882"/>
                                      </a:lnTo>
                                      <a:lnTo>
                                        <a:pt x="839402" y="178841"/>
                                      </a:lnTo>
                                      <a:lnTo>
                                        <a:pt x="571139" y="1205739"/>
                                      </a:lnTo>
                                      <a:lnTo>
                                        <a:pt x="389413" y="1811493"/>
                                      </a:lnTo>
                                      <a:lnTo>
                                        <a:pt x="121151" y="2264366"/>
                                      </a:lnTo>
                                      <a:lnTo>
                                        <a:pt x="40383" y="2402824"/>
                                      </a:lnTo>
                                      <a:close/>
                                    </a:path>
                                  </a:pathLst>
                                </a:custGeom>
                                <a:noFill/>
                                <a:ln w="1905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xmlns:o="urn:schemas-microsoft-com:office:office" id="Grupp 851891295" style="position:absolute;width:182.25pt;height:237.75pt;z-index:21;mso-wrap-distance-left:9pt;mso-wrap-distance-top:0pt;mso-wrap-distance-right:9pt;mso-wrap-distance-bottom:0pt;margin-left:-0.05pt;margin-top:0pt;mso-position-horizontal:absolute;mso-position-horizontal-relative:margin;mso-position-vertical:absolute;mso-position-vertical-relative:text" coordorigin="0,0" coordsize="2186940,3086100"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851891296" o:spid="_x0000_s1032" type="#_x0000_t75" style="position:absolute;width:2186940;height:3086100" o:preferrelative="t" stroked="f" o:allowincell="t">
                        <v:imagedata src="Relimage36" o:title="" croptop="3248f" cropbottom="0f" cropleft="0f" cropright="0f"/>
                        <w10:wrap type="square"/>
                        <o:lock aspectratio="t"/>
                      </v:shape>
                      <v:shape id="Frihandsfigur: Form 851891297" o:spid="_x0000_s1033" style="position:absolute;left:773727;top:507443;width:905746;height:2402824;v-text-anchor:middle" o:allowincell="t" filled="f" strokecolor="#FF0000" strokeweight="1.5pt" stroked="t" coordsize="1426,373,3783,976" path="m40383,2402824l,2345133,5769,2264366,227879,1857645,299992,1595152,328838,1185547,490372,614407,686521,155765,773057,,905746,77882,839402,178841,571139,1205739,389413,1811493,121151,2264366,40383,2402824,xe">
                        <w10:wrap type="square"/>
                        <v:stroke dashstyle="dash"/>
                      </v:shape>
                    </v:group>
                  </w:pict>
                </mc:Fallback>
              </mc:AlternateContent>
            </w:r>
          </w:p>
        </w:tc>
      </w:tr>
      <w:tr>
        <w:tc>
          <w:tcPr>
            <w:tcW w:w="3261" w:type="dxa"/>
            <w:tcBorders>
              <w:top w:val="nil"/>
              <w:left w:val="nil"/>
              <w:bottom w:val="nil"/>
              <w:right w:val="nil"/>
            </w:tcBorders>
          </w:tcPr>
          <w:p>
            <w:pPr>
              <w:rPr>
                <w:rFonts w:asciiTheme="majorHAnsi" w:hAnsiTheme="majorHAnsi" w:cstheme="majorHAnsi"/>
                <w:sz w:val="22"/>
                <w:szCs w:val="20"/>
              </w:rPr>
            </w:pPr>
            <w:r>
              <w:rPr>
                <w:rFonts w:asciiTheme="majorHAnsi" w:hAnsiTheme="majorHAnsi" w:cstheme="majorHAnsi"/>
                <w:sz w:val="22"/>
                <w:szCs w:val="20"/>
              </w:rPr>
              <w:t>2. Ändring av stadsplanen för den västra stadsdelen.</w:t>
            </w:r>
          </w:p>
          <w:p>
            <w:r>
              <w:rPr>
                <w:i w:val="1"/>
                <w:iCs w:val="1"/>
              </w:rPr>
              <w:t>25-BOD-2483</w:t>
            </w:r>
            <w:r>
              <w:t xml:space="preserve"> fick laga kraft år 1961, där aktuellt planområde omfattas av kvartersmark för militärt ändamål (M</w:t>
            </w:r>
            <w:r>
              <w:rPr>
                <w:vertAlign w:val="subscript"/>
              </w:rPr>
              <w:t>1</w:t>
            </w:r>
            <w:r>
              <w:t>)</w:t>
            </w:r>
          </w:p>
          <w:p/>
          <w:p>
            <w:r>
              <w:t>Berörda delar av ovanstående planer upphör i samband med laga kraft.</w:t>
            </w:r>
          </w:p>
          <w:p/>
        </w:tc>
        <w:tc>
          <w:tcPr>
            <w:tcW w:w="4962" w:type="dxa"/>
            <w:tcBorders>
              <w:top w:val="nil"/>
              <w:left w:val="nil"/>
              <w:bottom w:val="nil"/>
              <w:right w:val="nil"/>
            </w:tcBorders>
          </w:tcPr>
          <w:p>
            <w:r>
              <w:rPr>
                <w:noProof w:val="1"/>
              </w:rPr>
              <mc:AlternateContent>
                <mc:Choice Requires="wpg">
                  <w:drawing>
                    <wp:anchor xmlns:wp="http://schemas.openxmlformats.org/drawingml/2006/wordprocessingDrawing" distT="0" distB="0" distL="114300" distR="114300" simplePos="0" relativeHeight="22" behindDoc="0" locked="0" layoutInCell="1" allowOverlap="1">
                      <wp:simplePos x="0" y="0"/>
                      <wp:positionH relativeFrom="margin">
                        <wp:posOffset>9525</wp:posOffset>
                      </wp:positionH>
                      <wp:positionV relativeFrom="paragraph">
                        <wp:posOffset>85725</wp:posOffset>
                      </wp:positionV>
                      <wp:extent cx="2686050" cy="2600325"/>
                      <wp:effectExtent l="0" t="0" r="0" b="9525"/>
                      <wp:wrapSquare wrapText="bothSides"/>
                      <wp:docPr id="851891298" name="Grupp 851891298"/>
                      <wp:cNvGraphicFramePr/>
                      <a:graphic xmlns:a="http://schemas.openxmlformats.org/drawingml/2006/main">
                        <a:graphicData uri="http://schemas.microsoft.com/office/word/2010/wordprocessingGroup">
                          <wpg:wgp>
                            <wpg:cNvGrpSpPr/>
                            <wpg:grpSpPr>
                              <a:xfrm>
                                <a:off x="0" y="0"/>
                                <a:ext cx="2686050" cy="2600325"/>
                                <a:chOff x="0" y="0"/>
                                <a:chExt cx="2040890" cy="2245360"/>
                              </a:xfrm>
                            </wpg:grpSpPr>
                            <wpg:grpSp>
                              <wpg:cNvPr id="851891299" name="Grupp 851891299"/>
                              <wpg:cNvGrpSpPr/>
                              <wpg:grpSpPr>
                                <a:xfrm>
                                  <a:off x="0" y="0"/>
                                  <a:ext cx="2040890" cy="2245360"/>
                                  <a:chOff x="0" y="0"/>
                                  <a:chExt cx="2371877" cy="2647062"/>
                                </a:xfrm>
                              </wpg:grpSpPr>
                              <pic:pic xmlns:pic="http://schemas.openxmlformats.org/drawingml/2006/picture">
                                <pic:nvPicPr>
                                  <pic:cNvPr id="851891300" name="Bildobjekt 851891300"/>
                                  <pic:cNvPicPr>
                                    <a:picLocks noChangeAspect="1"/>
                                  </pic:cNvPicPr>
                                </pic:nvPicPr>
                                <pic:blipFill dpi="0">
                                  <a:blip xmlns:r="http://schemas.openxmlformats.org/officeDocument/2006/relationships" r:embed="Relimage37"/>
                                  <a:srcRect t="20395"/>
                                  <a:stretch>
                                    <a:fillRect/>
                                  </a:stretch>
                                </pic:blipFill>
                                <pic:spPr bwMode="auto">
                                  <a:xfrm>
                                    <a:off x="0" y="0"/>
                                    <a:ext cx="1931035" cy="2112645"/>
                                  </a:xfrm>
                                  <a:prstGeom prst="rect"/>
                                  <a:ln>
                                    <a:noFill/>
                                  </a:ln>
                                </pic:spPr>
                              </pic:pic>
                              <pic:pic xmlns:pic="http://schemas.openxmlformats.org/drawingml/2006/picture">
                                <pic:nvPicPr>
                                  <pic:cNvPr id="851891301" name="Bildobjekt 851891301"/>
                                  <pic:cNvPicPr>
                                    <a:picLocks noChangeAspect="1"/>
                                  </pic:cNvPicPr>
                                </pic:nvPicPr>
                                <pic:blipFill dpi="0">
                                  <a:blip xmlns:r="http://schemas.openxmlformats.org/officeDocument/2006/relationships" r:embed="Relimage38"/>
                                  <a:srcRect l="37417" t="4731"/>
                                  <a:stretch>
                                    <a:fillRect/>
                                  </a:stretch>
                                </pic:blipFill>
                                <pic:spPr bwMode="auto">
                                  <a:xfrm>
                                    <a:off x="1002187" y="585216"/>
                                    <a:ext cx="1369695" cy="2061845"/>
                                  </a:xfrm>
                                  <a:prstGeom prst="rect"/>
                                  <a:ln>
                                    <a:noFill/>
                                  </a:ln>
                                </pic:spPr>
                              </pic:pic>
                            </wpg:grpSp>
                            <wps:wsp>
                              <wps:cNvPr id="851891302" name="Frihandsfigur: Form 851891302"/>
                              <wps:cNvSpPr/>
                              <wps:spPr>
                                <a:xfrm>
                                  <a:off x="427056" y="371790"/>
                                  <a:ext cx="1073055" cy="1543230"/>
                                </a:xfrm>
                                <a:custGeom>
                                  <a:gdLst>
                                    <a:gd name="connsiteX0" fmla="*/ 0 w 1073050"/>
                                    <a:gd name="connsiteY0" fmla="*/ 1156702 h 1543230"/>
                                    <a:gd name="connsiteX1" fmla="*/ 175957 w 1073050"/>
                                    <a:gd name="connsiteY1" fmla="*/ 735558 h 1543230"/>
                                    <a:gd name="connsiteX2" fmla="*/ 288454 w 1073050"/>
                                    <a:gd name="connsiteY2" fmla="*/ 248071 h 1543230"/>
                                    <a:gd name="connsiteX3" fmla="*/ 374990 w 1073050"/>
                                    <a:gd name="connsiteY3" fmla="*/ 0 h 1543230"/>
                                    <a:gd name="connsiteX4" fmla="*/ 1024012 w 1073050"/>
                                    <a:gd name="connsiteY4" fmla="*/ 372106 h 1543230"/>
                                    <a:gd name="connsiteX5" fmla="*/ 1026897 w 1073050"/>
                                    <a:gd name="connsiteY5" fmla="*/ 314415 h 1543230"/>
                                    <a:gd name="connsiteX6" fmla="*/ 1073050 w 1073050"/>
                                    <a:gd name="connsiteY6" fmla="*/ 334607 h 1543230"/>
                                    <a:gd name="connsiteX7" fmla="*/ 946130 w 1073050"/>
                                    <a:gd name="connsiteY7" fmla="*/ 836517 h 1543230"/>
                                    <a:gd name="connsiteX8" fmla="*/ 499026 w 1073050"/>
                                    <a:gd name="connsiteY8" fmla="*/ 1462463 h 1543230"/>
                                    <a:gd name="connsiteX9" fmla="*/ 426912 w 1073050"/>
                                    <a:gd name="connsiteY9" fmla="*/ 1543230 h 1543230"/>
                                    <a:gd name="connsiteX10" fmla="*/ 0 w 1073050"/>
                                    <a:gd name="connsiteY10" fmla="*/ 1156702 h 154323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73050" h="1543230">
                                      <a:moveTo>
                                        <a:pt x="0" y="1156702"/>
                                      </a:moveTo>
                                      <a:lnTo>
                                        <a:pt x="175957" y="735558"/>
                                      </a:lnTo>
                                      <a:lnTo>
                                        <a:pt x="288454" y="248071"/>
                                      </a:lnTo>
                                      <a:lnTo>
                                        <a:pt x="374990" y="0"/>
                                      </a:lnTo>
                                      <a:lnTo>
                                        <a:pt x="1024012" y="372106"/>
                                      </a:lnTo>
                                      <a:lnTo>
                                        <a:pt x="1026897" y="314415"/>
                                      </a:lnTo>
                                      <a:lnTo>
                                        <a:pt x="1073050" y="334607"/>
                                      </a:lnTo>
                                      <a:lnTo>
                                        <a:pt x="946130" y="836517"/>
                                      </a:lnTo>
                                      <a:lnTo>
                                        <a:pt x="499026" y="1462463"/>
                                      </a:lnTo>
                                      <a:lnTo>
                                        <a:pt x="426912" y="1543230"/>
                                      </a:lnTo>
                                      <a:lnTo>
                                        <a:pt x="0" y="1156702"/>
                                      </a:lnTo>
                                      <a:close/>
                                    </a:path>
                                  </a:pathLst>
                                </a:custGeom>
                                <a:noFill/>
                                <a:ln w="1905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xmlns:o="urn:schemas-microsoft-com:office:office" id="Grupp 851891298" style="position:absolute;width:211.5pt;height:204.75pt;z-index:22;mso-wrap-distance-left:9pt;mso-wrap-distance-top:0pt;mso-wrap-distance-right:9pt;mso-wrap-distance-bottom:0pt;margin-left:0.75pt;margin-top:6.75pt;mso-position-horizontal:absolute;mso-position-horizontal-relative:margin;mso-position-vertical:absolute;mso-position-vertical-relative:text" coordorigin="0,0" coordsize="2040890,2245360" o:allowincell="t">
                      <v:group id="Grupp 851891299" style="position:absolute;width:2040890;height:2245360" coordorigin="0,0" coordsize="2371876,2647061" o:allowincell="t">
                        <v:shape id="Bildobjekt 851891300" o:spid="_x0000_s1036" type="#_x0000_t75" style="position:absolute;width:1931035;height:2112645" o:preferrelative="t" stroked="f" o:allowincell="t">
                          <v:imagedata src="Relimage37" o:title="" croptop="13366f" cropbottom="0f" cropleft="0f" cropright="0f"/>
                          <w10:wrap type="square"/>
                          <o:lock aspectratio="t"/>
                        </v:shape>
                        <v:shape id="Bildobjekt 851891301" o:spid="_x0000_s1037" type="#_x0000_t75" style="position:absolute;left:1002186;top:585215;width:1369695;height:2061845" o:preferrelative="t" stroked="f" o:allowincell="t">
                          <v:imagedata src="Relimage38" o:title="" croptop="3101f" cropbottom="0f" cropleft="24522f" cropright="0f"/>
                          <w10:wrap type="square"/>
                          <o:lock aspectratio="t"/>
                        </v:shape>
                      </v:group>
                      <v:shape id="Frihandsfigur: Form 851891302" o:spid="_x0000_s1038" style="position:absolute;left:427055;top:371789;width:1073054;height:1543229;v-text-anchor:middle" o:allowincell="t" filled="f" strokecolor="#FF0000" strokeweight="1.5pt" stroked="t" coordsize="1689,85,2430,283" path="m0,1156702l175957,735558,288454,248071,374990,,1024012,372106,1026897,314415,1073050,334607,946130,836517,499026,1462463,426912,1543230,,1156702,xe">
                        <w10:wrap type="square"/>
                        <v:stroke dashstyle="dash"/>
                      </v:shape>
                    </v:group>
                  </w:pict>
                </mc:Fallback>
              </mc:AlternateContent>
            </w:r>
          </w:p>
        </w:tc>
      </w:tr>
    </w:tbl>
    <w:p>
      <w:pPr>
        <w:pStyle w:val="P2"/>
        <w:rPr>
          <w:rFonts w:cstheme="majorHAnsi"/>
        </w:rPr>
      </w:pPr>
      <w:bookmarkEnd w:id="54"/>
      <w:r>
        <w:rPr>
          <w:rStyle w:val="C5"/>
        </w:rPr>
        <w:t>Undersökningssamråd</w:t>
      </w:r>
    </w:p>
    <w:p>
      <w:r>
        <w:t xml:space="preserve">I enlighet med bestämmelserna i plan- och bygglagen, miljöbalken och förordningen om miljökonsekvensbeskrivningar ska planer och program som kan antas leda till en betydande miljöpåverkan miljöbedömas. För detaljplaner ska behovet av en miljöbedömning utredas i det enskilda fallet, ett s.k. undersökningssamråd. </w:t>
      </w:r>
    </w:p>
    <w:p>
      <w:r>
        <w:t>Med utgångspunkt från miljöbedömningsförordningen (2017:966) och genomfört undersökningssamråd med länsstyrelsen gör kommunen den sammanvägda bedömningen att genomförande av den föreslagna detaljplanen inte riskerar att medföra betydande miljöpåverkan. Det innebär att fortsatt miljöbedömning inte anses nödvändig och en miljökonsekvensbeskrivning inte behöver upprättas.</w:t>
      </w:r>
    </w:p>
    <w:p>
      <w:r>
        <w:t>I särskilt samrådsyttrande gällande undersökningssamrådet meddelande Länsstyrelsen 2022-06-14 att de anser att undersökningen saknar redovisning av planförslagets påverkan på riksintresset för kulturmiljö. Undersökningssamrådets underlag bedöms inte vara tillräckligt detaljerat för att Länsstyrelsen ska kunna göra en bedömning av om det innebär betydande miljöpåverkan ur kulturmiljösynpunkt och om riksintresset för kulturmiljö riskerar att påtagligt skadas. Länsstyrelsen kan därav inte avgöra om de delar kommunens bedömning om att en särskild miljökonsekvensbeskrivning (MKB) för detaljplanen inte behöver upprättas. Utifrån länsstyrelsens yttrande har en kulturmiljöutredning upprättats som en del av planhandlingarna, se utredning med diarienummer: 116-2023.</w:t>
      </w:r>
    </w:p>
    <w:p>
      <w:pPr>
        <w:pStyle w:val="P2"/>
      </w:pPr>
      <w:bookmarkEnd w:id="52"/>
      <w:bookmarkStart w:id="55" w:name="pf_hushållningsbestämmelserenl3kap_mb01"/>
      <w:r>
        <w:t xml:space="preserve">Förenlighet med 3, 4 och 5 kap. Miljöbalken </w:t>
      </w:r>
    </w:p>
    <w:p>
      <w:r>
        <w:t xml:space="preserve">Kommunens bedömning är att ett genomförande av detaljplanen är förenligt med Miljöbalkens kapitel 3, 4 och 5. </w:t>
      </w:r>
    </w:p>
    <w:p>
      <w:pPr>
        <w:pStyle w:val="P3"/>
      </w:pPr>
      <w:bookmarkStart w:id="56" w:name="_Toc31144615"/>
      <w:bookmarkStart w:id="57" w:name="_Toc31357347"/>
      <w:r>
        <w:t>Kapitel 3, miljöbalken</w:t>
      </w:r>
      <w:bookmarkEnd w:id="56"/>
      <w:bookmarkEnd w:id="57"/>
    </w:p>
    <w:p>
      <w:r>
        <w:t xml:space="preserve">I 3 kap. miljöbalken finns bestämmelser om hushållning med mark och vatten och preciserar vissa slag av mark- och vattenområden som är av allmänt intresse. </w:t>
      </w:r>
    </w:p>
    <w:p>
      <w:r>
        <w:t xml:space="preserve">Mark- och vattenområden ska användas för det eller de ändamål för vilka områdena är mest lämpade med hänsyn till beskaffenhet och läge samt föreliggande behov. Företräde ska ges sådan användning som medför en från allmän synpunkt god hushållning, 3 kap. 1 §. </w:t>
      </w:r>
    </w:p>
    <w:p>
      <w:bookmarkEnd w:id="55"/>
    </w:p>
    <w:p>
      <w:pPr>
        <w:spacing w:after="0" w:beforeAutospacing="0" w:afterAutospacing="0"/>
        <w:rPr>
          <w:rFonts w:asciiTheme="majorHAnsi" w:hAnsiTheme="majorHAnsi" w:cstheme="majorHAnsi"/>
          <w:sz w:val="22"/>
          <w:szCs w:val="20"/>
        </w:rPr>
      </w:pPr>
      <w:bookmarkStart w:id="58" w:name="_Toc31357349"/>
      <w:bookmarkStart w:id="59" w:name="pf_rennaring01"/>
      <w:r>
        <w:rPr>
          <w:rFonts w:asciiTheme="majorHAnsi" w:hAnsiTheme="majorHAnsi" w:cstheme="majorHAnsi"/>
          <w:sz w:val="22"/>
          <w:szCs w:val="20"/>
        </w:rPr>
        <w:t>Rennäring</w:t>
      </w:r>
      <w:bookmarkEnd w:id="58"/>
    </w:p>
    <w:p>
      <w:r>
        <w:t>Planområdet ligger inom vinterland för rennäringen och samebyarnas totala betesområde, Planområdet ingår inte i riksintresse för rennäringen. Ett genomförande av detaljplanen i centrala Boden bedöms inte påverka eller försämra möjligheterna att bedriva rennäring.</w:t>
      </w:r>
    </w:p>
    <w:p>
      <w:pPr>
        <w:spacing w:after="0" w:beforeAutospacing="0" w:afterAutospacing="0"/>
        <w:rPr>
          <w:rFonts w:asciiTheme="majorHAnsi" w:hAnsiTheme="majorHAnsi" w:cstheme="majorHAnsi"/>
          <w:sz w:val="22"/>
          <w:szCs w:val="20"/>
        </w:rPr>
      </w:pPr>
      <w:bookmarkEnd w:id="59"/>
      <w:bookmarkStart w:id="60" w:name="pf_riksintressen01"/>
      <w:bookmarkStart w:id="61" w:name="_Toc31357350"/>
      <w:r>
        <w:rPr>
          <w:rFonts w:asciiTheme="majorHAnsi" w:hAnsiTheme="majorHAnsi" w:cstheme="majorHAnsi"/>
          <w:sz w:val="22"/>
          <w:szCs w:val="20"/>
        </w:rPr>
        <w:t>Riksintressen</w:t>
      </w:r>
    </w:p>
    <w:p>
      <w:bookmarkStart w:id="62" w:name="pf_kulturmiljövård01"/>
      <w:r>
        <w:t xml:space="preserve">Planområdet omfattas av riksintresse för </w:t>
      </w:r>
      <w:bookmarkStart w:id="63" w:name="_Hlk130562053"/>
      <w:r>
        <w:t xml:space="preserve">totalförsvaret 3 kap 9 § miljöbalken </w:t>
      </w:r>
      <w:bookmarkEnd w:id="63"/>
      <w:r>
        <w:t>och ligger inom stoppområde för höga objekt samt inom område med särskilt behov av hindersfrihet. I enlighet med ställningstagande i den fördjupade översiktsplanen (2020) gäller följande riktlinjer inom påverkansområdet för riksintresset:</w:t>
      </w:r>
    </w:p>
    <w:p>
      <w:pPr>
        <w:pStyle w:val="P16"/>
        <w:numPr>
          <w:ilvl w:val="0"/>
          <w:numId w:val="10"/>
        </w:numPr>
      </w:pPr>
      <w:r>
        <w:t>Samråd med Försvarsmakten ska ske i tidiga skeden vid planering och exploatering som riskerar att påverka områden av riksintresse för totalförsvaret.</w:t>
      </w:r>
    </w:p>
    <w:p>
      <w:pPr>
        <w:pStyle w:val="P16"/>
        <w:numPr>
          <w:ilvl w:val="0"/>
          <w:numId w:val="10"/>
        </w:numPr>
      </w:pPr>
      <w:r>
        <w:t>Hela landets yta är samrådsområde med Försvarsmakten för objekt högre än 20 meter utanför tätort och högre än 45 meter inom tätort.</w:t>
      </w:r>
    </w:p>
    <w:p>
      <w:pPr>
        <w:pStyle w:val="P16"/>
        <w:numPr>
          <w:ilvl w:val="0"/>
          <w:numId w:val="10"/>
        </w:numPr>
      </w:pPr>
      <w:r>
        <w:t>Riktlinjer för utbyggnad av bostäder kring skjutfält och övningsområden i Bodens kommun ska vara vägledande vid planläggning och bygglovsprövning.</w:t>
      </w:r>
    </w:p>
    <w:p>
      <w:r>
        <w:t xml:space="preserve">Planområdet ligger även inom </w:t>
      </w:r>
      <w:bookmarkStart w:id="64" w:name="_Hlk130562067"/>
      <w:r>
        <w:t>hindersfritt område för Luleå flygplats, riksintresse för kommunikationer (3 kap 8 § MB)</w:t>
      </w:r>
      <w:bookmarkEnd w:id="64"/>
      <w:r>
        <w:t>. Uppförande av byggnader eller objekt högre än 20 meter bedöms kunna ha en negativ inverkan på flygtrafiken. Vid uppförande av byggnader eller andra föremål högre än 20 meter ska Luftfartsverket, Försvarsmakten och Luleå Flygplats tillfrågas som sakägare.</w:t>
      </w:r>
    </w:p>
    <w:p>
      <w:r>
        <w:t xml:space="preserve">Planområdet ligger inom riksintresse för </w:t>
      </w:r>
      <w:bookmarkStart w:id="65" w:name="_Hlk130562079"/>
      <w:r>
        <w:t>kulturmiljövården Boden BD74 enligt 3 kap 6 § miljöbalken</w:t>
      </w:r>
      <w:bookmarkEnd w:id="65"/>
      <w:r>
        <w:t xml:space="preserve">. Riksintresset för Boden [BD 74] sträcker sig utanför centralorten och ingår i ett kluster av områden som omfattar en mängd miljöer och anläggningar med anknytning till Bodens fästning. </w:t>
      </w:r>
    </w:p>
    <w:p>
      <w:r>
        <w:t>Motivtexten för Boden [BD 74] är:</w:t>
      </w:r>
    </w:p>
    <w:p>
      <w:pPr>
        <w:rPr>
          <w:i w:val="1"/>
          <w:iCs w:val="1"/>
        </w:rPr>
      </w:pPr>
      <w:r>
        <w:rPr>
          <w:i w:val="1"/>
          <w:iCs w:val="1"/>
        </w:rPr>
        <w:t>Bodens fästning och garnison bildar ett komplext militärt landskap som speglar 1900-talets försvarshistoria och geopolitiska idévärld. Miljön representerar Försvarsmaktens tekniska och sociala utveckling genom åren, från värnpliktens införande över de båda världskrigens beredskapstider och kalla krigets långa epok till det sena 1900-talets islossningspolitik. (Militär miljö, fästningsmiljö)</w:t>
      </w:r>
    </w:p>
    <w:p>
      <w:pPr>
        <w:rPr>
          <w:i w:val="1"/>
          <w:iCs w:val="1"/>
        </w:rPr>
      </w:pPr>
      <w:r>
        <w:rPr>
          <w:noProof w:val="1"/>
        </w:rPr>
        <w:drawing>
          <wp:inline xmlns:wp="http://schemas.openxmlformats.org/drawingml/2006/wordprocessingDrawing" distT="0" distB="0" distL="0" distR="0">
            <wp:extent cx="4305300" cy="3782695"/>
            <wp:effectExtent l="0" t="0" r="0" b="8255"/>
            <wp:docPr id="10" name="Bildobjekt 10"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karta&#10;&#10;Automatiskt genererad beskrivning"/>
                    <pic:cNvPicPr/>
                  </pic:nvPicPr>
                  <pic:blipFill dpi="0">
                    <a:blip xmlns:r="http://schemas.openxmlformats.org/officeDocument/2006/relationships" r:embed="Relimage39"/>
                    <a:srcRect/>
                    <a:stretch>
                      <a:fillRect/>
                    </a:stretch>
                  </pic:blipFill>
                  <pic:spPr>
                    <a:xfrm>
                      <a:off x="0" y="0"/>
                      <a:ext cx="4337295" cy="3810751"/>
                    </a:xfrm>
                    <a:prstGeom prst="rect"/>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I kartan redovisas planområden med röd markering i relation till riksintresse kulturmiljövård.</w:t>
      </w:r>
    </w:p>
    <w:p>
      <w:r>
        <w:t>Det är regementen med de olika byggnader och anläggningar, exercisplatser samt bostäder och servicefunktioner som hör till den militära verksamheten som ska värnas så att uttrycket för garnisonsstaden och 1900-talets försvarspolitik inte förminskas. Riksintresset innebär inte ett förbud mot ändringar, men de ska göras utan att påtagligt skada kulturmiljön (Kulturmiljövärden i Bodens centralort, Norrbottens museum, 2015:8).</w:t>
      </w:r>
    </w:p>
    <w:p>
      <w:pPr>
        <w:spacing w:after="0" w:beforeAutospacing="0" w:afterAutospacing="0"/>
      </w:pPr>
      <w:r>
        <w:t>De uttryck för riksintresset som bedöms som viktiga att beakta i detaljplaneprocessen är:</w:t>
      </w:r>
    </w:p>
    <w:p>
      <w:pPr>
        <w:pStyle w:val="P16"/>
        <w:numPr>
          <w:ilvl w:val="0"/>
          <w:numId w:val="9"/>
        </w:numPr>
      </w:pPr>
      <w:r>
        <w:t>De av och för militären byggda broarna inklusive försvarsanläggningarna och de rätlinjiga vägsträckningarna i garnisonsområdet.</w:t>
      </w:r>
    </w:p>
    <w:p>
      <w:pPr>
        <w:pStyle w:val="P16"/>
        <w:numPr>
          <w:ilvl w:val="0"/>
          <w:numId w:val="9"/>
        </w:numPr>
      </w:pPr>
      <w:r>
        <w:t>Förgårdsmarken, parkerna och idrottsplanerna samt övningsområdena på och intill regementena.</w:t>
      </w:r>
    </w:p>
    <w:p>
      <w:pPr>
        <w:pStyle w:val="P16"/>
        <w:numPr>
          <w:ilvl w:val="0"/>
          <w:numId w:val="9"/>
        </w:numPr>
      </w:pPr>
      <w:r>
        <w:t>Alléerna och grönstråken som betonar garnisonsområdets struktur.</w:t>
      </w:r>
    </w:p>
    <w:p>
      <w:pPr>
        <w:pStyle w:val="P16"/>
        <w:numPr>
          <w:ilvl w:val="0"/>
          <w:numId w:val="9"/>
        </w:numPr>
      </w:pPr>
      <w:r>
        <w:t xml:space="preserve">Siktlinjerna längs vägarna mellan regementena. </w:t>
      </w:r>
    </w:p>
    <w:p>
      <w:pPr>
        <w:pStyle w:val="P16"/>
        <w:numPr>
          <w:ilvl w:val="0"/>
          <w:numId w:val="9"/>
        </w:numPr>
      </w:pPr>
      <w:r>
        <w:t>Skjutbanorna.</w:t>
      </w:r>
    </w:p>
    <w:p>
      <w:r>
        <w:t xml:space="preserve">Ett genomförande av detaljplanen bedöms inte påverka riksintresset för totalförsvaret. Detaljplanens genomförande bedöms heller inte påtagligt skada riksintresset för kulturmiljövården, se vidare under kapitel </w:t>
      </w:r>
      <w:r>
        <w:rPr>
          <w:i w:val="1"/>
          <w:iCs w:val="1"/>
        </w:rPr>
        <w:t>9 Konsekvenser</w:t>
      </w:r>
      <w:r>
        <w:t xml:space="preserve">. </w:t>
      </w:r>
      <w:bookmarkEnd w:id="60"/>
      <w:bookmarkEnd w:id="62"/>
    </w:p>
    <w:p>
      <w:pPr>
        <w:pStyle w:val="P3"/>
      </w:pPr>
      <w:bookmarkEnd w:id="61"/>
      <w:bookmarkStart w:id="66" w:name="_Toc31144619"/>
      <w:bookmarkStart w:id="67" w:name="_Toc31357351"/>
      <w:bookmarkStart w:id="68" w:name="pf_annat01"/>
      <w:r>
        <w:t>Kapitel 4, miljöbalken</w:t>
      </w:r>
      <w:bookmarkEnd w:id="66"/>
      <w:bookmarkEnd w:id="67"/>
    </w:p>
    <w:p>
      <w:r>
        <w:t>4 kap. miljöbalken innehåller särskilda bestämmelser för hushållning med mark och vatten för vissa områden. Kapitlet delas upp i områden som i sin helhet är av riksintresse, områden för geologisk lagring av koldioxid samt havsområden. Aktuell detaljplan omfattar inga av dessa områden.</w:t>
      </w:r>
    </w:p>
    <w:p>
      <w:pPr>
        <w:pStyle w:val="P3"/>
      </w:pPr>
      <w:bookmarkEnd w:id="68"/>
      <w:bookmarkStart w:id="69" w:name="_Toc31144620"/>
      <w:bookmarkStart w:id="70" w:name="_Toc31357352"/>
      <w:bookmarkStart w:id="71" w:name="pf_miljökvalitetsnormer01"/>
      <w:r>
        <w:t>Kapitel 5, miljöbalken</w:t>
      </w:r>
      <w:bookmarkEnd w:id="69"/>
      <w:bookmarkEnd w:id="70"/>
    </w:p>
    <w:p>
      <w:pPr>
        <w:rPr>
          <w:rFonts w:asciiTheme="majorHAnsi" w:hAnsiTheme="majorHAnsi" w:cstheme="majorHAnsi"/>
          <w:sz w:val="22"/>
          <w:szCs w:val="20"/>
        </w:rPr>
      </w:pPr>
      <w:bookmarkStart w:id="72" w:name="_Toc31357353"/>
      <w:r>
        <w:rPr>
          <w:rFonts w:asciiTheme="majorHAnsi" w:hAnsiTheme="majorHAnsi" w:cstheme="majorHAnsi"/>
          <w:sz w:val="22"/>
          <w:szCs w:val="20"/>
        </w:rPr>
        <w:t>Miljökvalitetsnormer</w:t>
      </w:r>
      <w:bookmarkEnd w:id="72"/>
      <w:r>
        <w:rPr>
          <w:rFonts w:asciiTheme="majorHAnsi" w:hAnsiTheme="majorHAnsi" w:cstheme="majorHAnsi"/>
          <w:sz w:val="22"/>
          <w:szCs w:val="20"/>
        </w:rPr>
        <w:br w:type="textWrapping"/>
      </w:r>
      <w:r>
        <w:t>Miljökvalitetsnormer regleras i 5 kap. miljöbalken. Regeringen får för vissa områden eller för hela landet meddela föreskrifter om kvaliteten på mark, vatten, luft eller miljön i övrigt, om det behövs för att varaktigt skydda människors hälsa eller miljön eller för att avhjälpa skador på eller olägenheter för människors hälsa eller miljön (miljökvalitetsnormer). Myndigheter och kommuner ska ansvara för att miljökvalitetsnormer följs och vid planering och planläggning ska hänsyn tas till gällande miljökvalitetsnormer.</w:t>
      </w:r>
      <w:bookmarkStart w:id="73" w:name="pf_vatten01"/>
    </w:p>
    <w:p>
      <w:pPr>
        <w:spacing w:after="0" w:beforeAutospacing="0" w:afterAutospacing="0"/>
        <w:rPr>
          <w:rFonts w:asciiTheme="majorHAnsi" w:hAnsiTheme="majorHAnsi" w:cstheme="majorHAnsi"/>
          <w:sz w:val="22"/>
          <w:szCs w:val="20"/>
        </w:rPr>
      </w:pPr>
      <w:r>
        <w:rPr>
          <w:rFonts w:asciiTheme="majorHAnsi" w:hAnsiTheme="majorHAnsi" w:cstheme="majorHAnsi"/>
          <w:sz w:val="22"/>
          <w:szCs w:val="20"/>
        </w:rPr>
        <w:t>Vatten</w:t>
      </w:r>
    </w:p>
    <w:p>
      <w:r>
        <w:t xml:space="preserve">Bodån omfattas av miljökvalitetsnormer för ekologisk och kemisk vattenstatus, vilka visar att den nuvarande statusen är måttlig ekologisk status och uppnår ej god kemisk status. </w:t>
      </w:r>
    </w:p>
    <w:p>
      <w:r>
        <w:t>Området är i nuläget enbart delvis ianspråktaget med byggnader och verksamhet men den största delen av detaljplanen är obebyggd naturmark/impediment. Eftersom områden med naturmark ska bebyggas och hårdgöras kommer utgående föroreningshalter och föroreningsmängder efter byggnation att öka i jämförelse med dagens situation om ingen rening av dagvattnet sker. Den huvudsakliga föroreningskällan inom planområdet är bostadsområdet med tillhörande vägar och parkeringar. Den ökade hårdgörandegraden tillsammans med klimatfaktorn medför även att flödena kommer att öka i efterläget om inte flödesutjämning via fördröjning sker. Även med fördröjning kommer den totala årliga avrinningen från området att öka.</w:t>
      </w:r>
    </w:p>
    <w:p/>
    <w:p>
      <w:r>
        <w:t>Helhetsbedömningen över dagvattenhanteringen, med föreslagna dagvattenanläggningar såsom svackdike och dagvattendamm med försedimentering och huvuddamm är tillfredställande. Detta i kombination med att vägar, parkeringsytor och takavvattning avleds från hårdgjorda ytor till översilningsytor/öppna diken innan vidare avledning via svackdiket till dagvattendammarna bedöms vara tillräckligt för att inte detaljplanen ska riskera försämra statusen för recipienten eller försvåra för möjligheterna att uppfylla miljökvalitetsnormerna.</w:t>
      </w:r>
    </w:p>
    <w:p>
      <w:r>
        <w:t>En utveckling i enlighet med planförslaget innebär att yta som tidigare infiltrerat dagvatten delvis kommer att hårdgöras. Genom att fastigheter för bostäder ska infiltrera sitt dagvatten lokalt inom den egna fastigheten samt att större fördröjningsmagasin anläggs i norr och söder på parkmarken kommer planförslaget bidra till att mer renat dagvatten släpps ut till Bodån efter genomförandet av planen än innan. Planförslaget bedöms därför inte påverka miljökvalitetsnormer för Bodån negativt.</w:t>
      </w:r>
    </w:p>
    <w:p>
      <w:pPr>
        <w:spacing w:after="0" w:beforeAutospacing="0" w:afterAutospacing="0"/>
        <w:rPr>
          <w:rFonts w:asciiTheme="majorHAnsi" w:hAnsiTheme="majorHAnsi" w:cstheme="majorHAnsi"/>
          <w:sz w:val="22"/>
          <w:szCs w:val="20"/>
        </w:rPr>
      </w:pPr>
      <w:bookmarkEnd w:id="73"/>
      <w:bookmarkStart w:id="74" w:name="pf_buller01"/>
      <w:r>
        <w:rPr>
          <w:rFonts w:asciiTheme="majorHAnsi" w:hAnsiTheme="majorHAnsi" w:cstheme="majorHAnsi"/>
          <w:sz w:val="22"/>
          <w:szCs w:val="20"/>
        </w:rPr>
        <w:t>Buller</w:t>
      </w:r>
    </w:p>
    <w:p>
      <w:r>
        <w:t xml:space="preserve">Planområdet ligger i centrala Boden utmed den större Sveavägen. Vägen ger upphov till buller inom planområdet. En bedömning av bullersituationen har genomförts i samband med framtagande av planförslaget som visar att vid 25 meter ifrån Sveavägens vägmitt är nivåerna så låga att ingen åtgärd behöver göras i detaljplanen. För att hantera bullersituationen anpassas byggrätten efter avståndet från Sveavägen. </w:t>
      </w:r>
    </w:p>
    <w:p>
      <w:r>
        <w:t xml:space="preserve">Bodens kommun arbetar aktivt med hållbart resande och formulerar i sin Trafik- och parkeringsstrategi att gång- och cykel ska vara det naturliga valet. Dessutom ska förutsättningarna att åka kollektivt förbättras. Planområdet ligger i anslutning till gång- och cykelbana samt hållplats för kollektivtrafik på Sveavägen. Förutsättningarna är därmed goda för hållbart resande vid en utveckling i enlighet med planförslaget som därmed inte bedöms påverka bullersituationen negativt. </w:t>
      </w:r>
    </w:p>
    <w:p>
      <w:pPr>
        <w:spacing w:after="0" w:beforeAutospacing="0" w:afterAutospacing="0"/>
        <w:rPr>
          <w:rFonts w:asciiTheme="majorHAnsi" w:hAnsiTheme="majorHAnsi" w:cstheme="majorHAnsi"/>
        </w:rPr>
      </w:pPr>
      <w:bookmarkEnd w:id="74"/>
      <w:bookmarkStart w:id="75" w:name="pf_luft01"/>
      <w:r>
        <w:rPr>
          <w:rFonts w:asciiTheme="majorHAnsi" w:hAnsiTheme="majorHAnsi" w:cstheme="majorHAnsi"/>
          <w:sz w:val="22"/>
        </w:rPr>
        <w:t>Luft</w:t>
      </w:r>
    </w:p>
    <w:p>
      <w:pPr>
        <w:spacing w:after="120" w:beforeAutospacing="0" w:afterAutospacing="0"/>
      </w:pPr>
      <w:r>
        <w:t>I Boden kommun förekommer luftföroreningar framför allt i centralorten Boden. Vägtrafiken bedöms vara den största källan till luftföroreningar. Förekomsten av farliga ämnen i luften ligger dock under gällande miljökvalitetsnormer för utomhusluft. Genom planförslaget föreslås en förtätning inom befintligt ianspråktagen mark. Planområdet är lokaliserat i centrala Boden med god tillgänglighet till såväl gång- och cykelväg som kollektivtrafik. En utveckling enligt planförslaget kan således öka andelen gående och cyklister samt kollektivresenärer. En sådan utveckling kan få positiv inverkan på miljökvalitetsnormen för luft</w:t>
      </w:r>
      <w:bookmarkEnd w:id="71"/>
      <w:bookmarkEnd w:id="75"/>
      <w:r>
        <w:t xml:space="preserve">. </w:t>
      </w:r>
    </w:p>
    <w:p>
      <w:pPr>
        <w:pStyle w:val="P2"/>
      </w:pPr>
      <w:bookmarkStart w:id="76" w:name="pf_annat02"/>
      <w:bookmarkStart w:id="77" w:name="pf_allmännaochenskildaintressen01"/>
      <w:r>
        <w:t xml:space="preserve">Allmänna intressen </w:t>
      </w:r>
    </w:p>
    <w:p>
      <w:r>
        <w:t>Riksdagen har fastställt 16 övergripande miljömål för Sverige. Målen beskriver de kvaliteter som vår miljö och våra gemensamma natur- och kulturresurser måste uppfylla för att vara hållbara på sikt. I följande del kommer de relevanta miljömålen för denna plan att diskuteras utifrån hur planförslaget bidrar eller motverkar miljömålet.</w:t>
      </w:r>
    </w:p>
    <w:p>
      <w:pPr>
        <w:spacing w:lineRule="auto" w:line="240" w:after="0" w:beforeAutospacing="0" w:afterAutospacing="0"/>
        <w:rPr>
          <w:rFonts w:asciiTheme="majorHAnsi" w:hAnsiTheme="majorHAnsi" w:cstheme="majorHAnsi"/>
          <w:sz w:val="22"/>
        </w:rPr>
      </w:pPr>
      <w:r>
        <w:rPr>
          <w:noProof w:val="1"/>
        </w:rPr>
        <w:drawing>
          <wp:anchor xmlns:wp="http://schemas.openxmlformats.org/drawingml/2006/wordprocessingDrawing" distT="0" distB="0" distL="114300" distR="114300" simplePos="0" relativeHeight="25" behindDoc="0" locked="0" layoutInCell="1" allowOverlap="1">
            <wp:simplePos x="0" y="0"/>
            <wp:positionH relativeFrom="margin">
              <wp:posOffset>-610870</wp:posOffset>
            </wp:positionH>
            <wp:positionV relativeFrom="paragraph">
              <wp:posOffset>8255</wp:posOffset>
            </wp:positionV>
            <wp:extent cx="452755" cy="452755"/>
            <wp:effectExtent l="0" t="0" r="4445" b="4445"/>
            <wp:wrapSquare wrapText="bothSides"/>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40"/>
                    <a:srcRect/>
                    <a:stretch>
                      <a:fillRect/>
                    </a:stretch>
                  </pic:blipFill>
                  <pic:spPr bwMode="auto">
                    <a:xfrm>
                      <a:off x="0" y="0"/>
                      <a:ext cx="452755" cy="452755"/>
                    </a:xfrm>
                    <a:prstGeom prst="rect"/>
                    <a:noFill/>
                    <a:ln>
                      <a:noFill/>
                    </a:ln>
                  </pic:spPr>
                </pic:pic>
              </a:graphicData>
            </a:graphic>
          </wp:anchor>
        </w:drawing>
      </w:r>
      <w:r>
        <w:rPr>
          <w:rFonts w:asciiTheme="majorHAnsi" w:hAnsiTheme="majorHAnsi" w:cstheme="majorHAnsi"/>
          <w:sz w:val="22"/>
        </w:rPr>
        <w:t xml:space="preserve">Frisk luft </w:t>
      </w:r>
    </w:p>
    <w:p>
      <w:r>
        <w:t xml:space="preserve">Miljömålet </w:t>
      </w:r>
      <w:r>
        <w:rPr>
          <w:i w:val="1"/>
          <w:iCs w:val="1"/>
        </w:rPr>
        <w:t>Frisk luft</w:t>
      </w:r>
      <w:r>
        <w:t xml:space="preserve"> grundar sig i problematiken med luftföroreningar och effekten det medför på människors hälsa. Miljömålet eftersträvar att luften ska vara så ren att människors hälsa samt djur, växter och kulturvärden inte skadas. Åtgärder för att hantera detta är att minska utsläppskällor av olika slag. Inom Bodens tätort förekommer luftföroreningar. Planförslaget innebär en förtätning av befintlig tätort. Planområdet är centralt beläget och möjligheten att ta sig till och från planområdet med kollektivtrafik, gång eller cykel är god. </w:t>
      </w:r>
    </w:p>
    <w:p>
      <w:pPr>
        <w:spacing w:lineRule="auto" w:line="240" w:after="0" w:beforeAutospacing="0" w:afterAutospacing="0"/>
        <w:rPr>
          <w:rFonts w:asciiTheme="majorHAnsi" w:hAnsiTheme="majorHAnsi" w:cstheme="majorHAnsi"/>
          <w:sz w:val="22"/>
        </w:rPr>
      </w:pPr>
      <w:r>
        <w:rPr>
          <w:noProof w:val="1"/>
        </w:rPr>
        <w:drawing>
          <wp:anchor xmlns:wp="http://schemas.openxmlformats.org/drawingml/2006/wordprocessingDrawing" distT="0" distB="0" distL="114300" distR="114300" simplePos="0" relativeHeight="26" behindDoc="0" locked="0" layoutInCell="1" allowOverlap="1">
            <wp:simplePos x="0" y="0"/>
            <wp:positionH relativeFrom="leftMargin">
              <wp:posOffset>500380</wp:posOffset>
            </wp:positionH>
            <wp:positionV relativeFrom="paragraph">
              <wp:posOffset>11430</wp:posOffset>
            </wp:positionV>
            <wp:extent cx="461010" cy="461010"/>
            <wp:effectExtent l="0" t="0" r="0" b="0"/>
            <wp:wrapSquare wrapText="bothSides"/>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41"/>
                    <a:srcRect/>
                    <a:stretch>
                      <a:fillRect/>
                    </a:stretch>
                  </pic:blipFill>
                  <pic:spPr bwMode="auto">
                    <a:xfrm>
                      <a:off x="0" y="0"/>
                      <a:ext cx="461010" cy="461010"/>
                    </a:xfrm>
                    <a:prstGeom prst="rect"/>
                    <a:noFill/>
                    <a:ln>
                      <a:noFill/>
                    </a:ln>
                  </pic:spPr>
                </pic:pic>
              </a:graphicData>
            </a:graphic>
          </wp:anchor>
        </w:drawing>
      </w:r>
      <w:r>
        <w:rPr>
          <w:rFonts w:asciiTheme="majorHAnsi" w:hAnsiTheme="majorHAnsi" w:cstheme="majorHAnsi"/>
          <w:sz w:val="22"/>
        </w:rPr>
        <w:t xml:space="preserve">Levande sjöar och vattendrag </w:t>
      </w:r>
    </w:p>
    <w:p>
      <w:r>
        <w:t xml:space="preserve">Miljömålet </w:t>
      </w:r>
      <w:r>
        <w:rPr>
          <w:i w:val="1"/>
          <w:iCs w:val="1"/>
        </w:rPr>
        <w:t>Levande sjöar och vattendrag</w:t>
      </w:r>
      <w:r>
        <w:t xml:space="preserve"> grundar sig i problematiken att sjöar och vattendrag utsätts för negativ påverkan från många håll, exempelvis från skogsbruk, jordbruk, industrier och vattenkraftverk. Utmaningarna ligger i att skydda och restaurera befintliga miljöer tillika som vi skapar möjlighet för nya att växa fram. Miljömålet eftersträvar att sjöar och vattendrag ska vara ekologiskt hållbara och deras variationsrika livsmiljöer ska bevaras. </w:t>
      </w:r>
    </w:p>
    <w:p>
      <w:r>
        <w:t>Planområdet berör delvis Bodån. Planförslaget innebär att fördröjningsdammar placeras inom området för att fördröja och rena det dagvatten som rinner till Bodån. På så vis förbättras statusen i ån. Dammarna kan även utformas som nya habitat för vattenlevande organismer.</w:t>
      </w:r>
    </w:p>
    <w:p>
      <w:pPr>
        <w:spacing w:lineRule="auto" w:line="240" w:after="0" w:beforeAutospacing="0" w:afterAutospacing="0"/>
        <w:rPr>
          <w:rFonts w:asciiTheme="majorHAnsi" w:hAnsiTheme="majorHAnsi" w:cstheme="majorHAnsi"/>
          <w:sz w:val="22"/>
        </w:rPr>
      </w:pPr>
      <w:r>
        <w:rPr>
          <w:noProof w:val="1"/>
        </w:rPr>
        <w:drawing>
          <wp:anchor xmlns:wp="http://schemas.openxmlformats.org/drawingml/2006/wordprocessingDrawing" distT="0" distB="0" distL="114300" distR="114300" simplePos="0" relativeHeight="27" behindDoc="0" locked="0" layoutInCell="1" allowOverlap="1">
            <wp:simplePos x="0" y="0"/>
            <wp:positionH relativeFrom="column">
              <wp:posOffset>-563245</wp:posOffset>
            </wp:positionH>
            <wp:positionV relativeFrom="paragraph">
              <wp:posOffset>4445</wp:posOffset>
            </wp:positionV>
            <wp:extent cx="452755" cy="452755"/>
            <wp:effectExtent l="0" t="0" r="4445" b="4445"/>
            <wp:wrapSquare wrapText="bothSides"/>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xmlns:r="http://schemas.openxmlformats.org/officeDocument/2006/relationships" r:embed="Relimage42"/>
                    <a:srcRect/>
                    <a:stretch>
                      <a:fillRect/>
                    </a:stretch>
                  </pic:blipFill>
                  <pic:spPr bwMode="auto">
                    <a:xfrm>
                      <a:off x="0" y="0"/>
                      <a:ext cx="452755" cy="452755"/>
                    </a:xfrm>
                    <a:prstGeom prst="rect"/>
                    <a:noFill/>
                    <a:ln>
                      <a:noFill/>
                    </a:ln>
                  </pic:spPr>
                </pic:pic>
              </a:graphicData>
            </a:graphic>
          </wp:anchor>
        </w:drawing>
      </w:r>
      <w:r>
        <w:rPr>
          <w:rFonts w:asciiTheme="majorHAnsi" w:hAnsiTheme="majorHAnsi" w:cstheme="majorHAnsi"/>
          <w:sz w:val="22"/>
        </w:rPr>
        <w:t xml:space="preserve">God bebyggd miljö </w:t>
      </w:r>
    </w:p>
    <w:p>
      <w:r>
        <w:t xml:space="preserve">Miljömålet </w:t>
      </w:r>
      <w:r>
        <w:rPr>
          <w:i w:val="1"/>
          <w:iCs w:val="1"/>
        </w:rPr>
        <w:t>God bebyggd miljö</w:t>
      </w:r>
      <w:r>
        <w:t xml:space="preserve"> grundar sig i urbaniseringen och dess effekter på människa och miljö. Miljömålet eftersträvar att uppnå en god och hälsosam livsmiljö för all bebyggd miljö samt att denna ska sträva efter att bidra till en god regional och global miljö. </w:t>
      </w:r>
    </w:p>
    <w:p>
      <w:r>
        <w:t xml:space="preserve">Planförslaget innebär en förtätning av Bodens centrala delar. Genom att nyttja mark som tidigare använts för militärens ändamål och därefter stått oanvänd kan mark i centrumnära läge med goda kommunikationer och närhet till service och rekreation användas mer effektivt. </w:t>
      </w:r>
    </w:p>
    <w:p>
      <w:pPr>
        <w:spacing w:lineRule="auto" w:line="240" w:after="0" w:beforeAutospacing="0" w:afterAutospacing="0"/>
        <w:rPr>
          <w:rFonts w:asciiTheme="majorHAnsi" w:hAnsiTheme="majorHAnsi" w:cstheme="majorHAnsi"/>
          <w:sz w:val="22"/>
        </w:rPr>
      </w:pPr>
      <w:r>
        <w:rPr>
          <w:noProof w:val="1"/>
        </w:rPr>
        <w:drawing>
          <wp:anchor xmlns:wp="http://schemas.openxmlformats.org/drawingml/2006/wordprocessingDrawing" distT="0" distB="0" distL="114300" distR="114300" simplePos="0" relativeHeight="28" behindDoc="0" locked="0" layoutInCell="1" allowOverlap="1">
            <wp:simplePos x="0" y="0"/>
            <wp:positionH relativeFrom="column">
              <wp:posOffset>-531495</wp:posOffset>
            </wp:positionH>
            <wp:positionV relativeFrom="paragraph">
              <wp:posOffset>27940</wp:posOffset>
            </wp:positionV>
            <wp:extent cx="436880" cy="436880"/>
            <wp:effectExtent l="0" t="0" r="1270" b="1270"/>
            <wp:wrapSquare wrapText="bothSides"/>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dpi="0">
                    <a:blip xmlns:r="http://schemas.openxmlformats.org/officeDocument/2006/relationships" r:embed="Relimage43"/>
                    <a:srcRect/>
                    <a:stretch>
                      <a:fillRect/>
                    </a:stretch>
                  </pic:blipFill>
                  <pic:spPr bwMode="auto">
                    <a:xfrm>
                      <a:off x="0" y="0"/>
                      <a:ext cx="437322" cy="437322"/>
                    </a:xfrm>
                    <a:prstGeom prst="rect"/>
                    <a:noFill/>
                    <a:ln>
                      <a:noFill/>
                    </a:ln>
                  </pic:spPr>
                </pic:pic>
              </a:graphicData>
            </a:graphic>
          </wp:anchor>
        </w:drawing>
      </w:r>
      <w:r>
        <w:rPr>
          <w:rFonts w:asciiTheme="majorHAnsi" w:hAnsiTheme="majorHAnsi" w:cstheme="majorHAnsi"/>
          <w:sz w:val="22"/>
        </w:rPr>
        <w:t xml:space="preserve">Ett rikt växt och djurliv </w:t>
      </w:r>
    </w:p>
    <w:p>
      <w:r>
        <w:t xml:space="preserve">Miljömålet </w:t>
      </w:r>
      <w:r>
        <w:rPr>
          <w:i w:val="1"/>
          <w:iCs w:val="1"/>
        </w:rPr>
        <w:t>Ett rikt växt och djurliv</w:t>
      </w:r>
      <w:r>
        <w:t xml:space="preserve"> grundar sig i problematiken att våra växt- och djurliv minskar till följd av hur vi nyttjar mark och miljö. Miljömålet strävar mot ett bevarande av den biologiska mångfalden och att naturen nyttjas på ett hållbart sätt, för nuvarande och framtida generationer. Människor ska ha tillgång till en god natur- och kulturmiljö med rik biologisk mångfald, som grund för hälsa, livskvalitet och välfärd.</w:t>
      </w:r>
    </w:p>
    <w:p>
      <w:r>
        <w:t>Planförslaget innebär en vidareutveckling av befintlig fastighet för att ta vara på redan ianspråktagen mark. Delar av det befintliga grönområdet och då främst mot Bodån bevaras som parkmark och kvarstår som en rekreationsplats i centrala staden för människor samt växt- och djurliv.</w:t>
      </w:r>
    </w:p>
    <w:p>
      <w:pPr>
        <w:pStyle w:val="P2"/>
      </w:pPr>
      <w:bookmarkEnd w:id="76"/>
      <w:bookmarkEnd w:id="77"/>
      <w:bookmarkStart w:id="78" w:name="pf_hälsaochsäkerhet01"/>
      <w:r>
        <w:t>Hälsa och säkerhet</w:t>
      </w:r>
    </w:p>
    <w:p>
      <w:pPr>
        <w:pStyle w:val="P3"/>
      </w:pPr>
      <w:bookmarkStart w:id="79" w:name="pf_förorenadmark01"/>
      <w:r>
        <w:t>Förorenad mark</w:t>
      </w:r>
    </w:p>
    <w:p>
      <w:bookmarkStart w:id="80" w:name="_Hlk165887580"/>
      <w:r>
        <w:t>Naturvårdsverkets generella riktvärden för förorenad mark (Rapport 5976, 2009) har tagits fram för två olika typer av markanvändning, känslig markanvändning (KM) och mindre känslig markanvändning (MKM). KM avser sådan typ av användning som innebär att människor kan vistas inom området på livstid, exempelvis markanvändning för bostadsbebyggelse. MKM avser sådan typ av användning som innebär endast tillfällig vistelse eller vistelse under en individs yrkesverksamma tid.</w:t>
      </w:r>
    </w:p>
    <w:p>
      <w:r>
        <w:t>Enligt Naturverkets generella riktvärden för förorenad mark (publicerad i november 2022) ska blyhalten vid KM vara under 50 mg/kg TS. Vid MKM tillåts blyhalten uppgå till 180 mg/kg.</w:t>
      </w:r>
    </w:p>
    <w:p>
      <w:r>
        <w:t>Den fördetta skjutbanan i planområdets östra del lades ner år 1996 och i samband med det så rev Försvarsmakten kulfånget och sanerade området genom att gräva ur allt material från kulfånget. Slutkontroll av korthållsbanan skedde enligt protokoll år 1999 och i denna står att läsa att 150,7 kubikmeter material gick till rening. Ingen återfyllnad skedde efter urgrävningen.</w:t>
      </w:r>
    </w:p>
    <w:p>
      <w:bookmarkEnd w:id="80"/>
      <w:r>
        <w:rPr>
          <w:noProof w:val="1"/>
        </w:rPr>
        <mc:AlternateContent>
          <mc:Choice Requires="wps">
            <w:drawing>
              <wp:anchor xmlns:wp="http://schemas.openxmlformats.org/drawingml/2006/wordprocessingDrawing" distT="0" distB="0" distL="114300" distR="114300" simplePos="0" relativeHeight="35" behindDoc="0" locked="0" layoutInCell="1" allowOverlap="1">
                <wp:simplePos x="0" y="0"/>
                <wp:positionH relativeFrom="column">
                  <wp:posOffset>2721610</wp:posOffset>
                </wp:positionH>
                <wp:positionV relativeFrom="paragraph">
                  <wp:posOffset>2484755</wp:posOffset>
                </wp:positionV>
                <wp:extent cx="2499995" cy="635"/>
                <wp:effectExtent l="0" t="0" r="0" b="0"/>
                <wp:wrapThrough wrapText="bothSides">
                  <wp:wrapPolygon edited="0">
                    <wp:start x="0" y="0"/>
                    <wp:lineTo x="0" y="21600"/>
                    <wp:lineTo x="21600" y="21600"/>
                    <wp:lineTo x="21600" y="0"/>
                  </wp:wrapPolygon>
                </wp:wrapThrough>
                <wp:docPr id="32" name="Textruta 32"/>
                <wp:cNvGraphicFramePr/>
                <a:graphic xmlns:a="http://schemas.openxmlformats.org/drawingml/2006/main">
                  <a:graphicData uri="http://schemas.microsoft.com/office/word/2010/wordprocessingShape">
                    <wps:wsp>
                      <wps:cNvSpPr txBox="1"/>
                      <wps:spPr>
                        <a:xfrm>
                          <a:off x="0" y="0"/>
                          <a:ext cx="249999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Lokalisering av den före detta skjutbanan markerat med blått.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2" o:spid="_x0000_s1039" style="position:absolute;width:196.85pt;height:0.05pt;z-index:35;mso-wrap-distance-left:9pt;mso-wrap-distance-top:0pt;mso-wrap-distance-right:9pt;mso-wrap-distance-bottom:0pt;margin-left:214.3pt;margin-top:195.65pt;mso-position-horizontal:absolute;mso-position-horizontal-relative:text;mso-position-vertical:absolute;mso-position-vertical-relative:text" o:allowincell="t" fillcolor="#FFFFFF" stroked="f">
                <v:textbox style="mso-fit-shape-to-text:t" inset="0mm,0mm,0mm,0mm">
                  <w:txbxContent>
                    <w:p>
                      <w:pPr>
                        <w:pStyle w:val="P50"/>
                        <w:ind w:left="0"/>
                        <w:rPr>
                          <w:b w:val="0"/>
                          <w:i w:val="1"/>
                          <w:bCs w:val="0"/>
                          <w:iCs w:val="1"/>
                          <w:color w:val="auto"/>
                          <w:sz w:val="20"/>
                          <w:szCs w:val="20"/>
                        </w:rPr>
                      </w:pPr>
                      <w:r>
                        <w:rPr>
                          <w:b w:val="0"/>
                          <w:i w:val="1"/>
                          <w:bCs w:val="0"/>
                          <w:iCs w:val="1"/>
                          <w:color w:val="auto"/>
                          <w:sz w:val="20"/>
                          <w:szCs w:val="20"/>
                        </w:rPr>
                        <w:t>Lokalisering av den före detta skjutbanan markerat med blått.</w:t>
                      </w:r>
                    </w:p>
                  </w:txbxContent>
                </v:textbox>
                <w10:wrap type="through" anchory="line"/>
              </v:shape>
            </w:pict>
          </mc:Fallback>
        </mc:AlternateContent>
      </w:r>
      <w:r>
        <w:rPr>
          <w:noProof w:val="1"/>
          <w:szCs w:val="24"/>
        </w:rPr>
        <w:drawing>
          <wp:anchor xmlns:wp="http://schemas.openxmlformats.org/drawingml/2006/wordprocessingDrawing" distT="0" distB="0" distL="114300" distR="114300" simplePos="0" relativeHeight="15" behindDoc="0" locked="0" layoutInCell="1" allowOverlap="1">
            <wp:simplePos x="0" y="0"/>
            <wp:positionH relativeFrom="margin">
              <wp:align>right</wp:align>
            </wp:positionH>
            <wp:positionV relativeFrom="paragraph">
              <wp:posOffset>13335</wp:posOffset>
            </wp:positionV>
            <wp:extent cx="2499995" cy="2414270"/>
            <wp:effectExtent l="0" t="0" r="0" b="5080"/>
            <wp:wrapThrough wrapText="bothSides">
              <wp:wrapPolygon edited="0">
                <wp:start x="0" y="0"/>
                <wp:lineTo x="0" y="21475"/>
                <wp:lineTo x="21397" y="21475"/>
                <wp:lineTo x="21397" y="0"/>
                <wp:lineTo x="0" y="0"/>
              </wp:wrapPolygon>
            </wp:wrapThrough>
            <wp:docPr id="23" name="Bildobjekt 2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text&#10;&#10;Automatiskt genererad beskrivning"/>
                    <pic:cNvPicPr/>
                  </pic:nvPicPr>
                  <pic:blipFill dpi="0">
                    <a:blip xmlns:r="http://schemas.openxmlformats.org/officeDocument/2006/relationships" r:embed="Relimage4"/>
                    <a:srcRect l="3208" t="14430" r="5355" b="23075"/>
                    <a:stretch>
                      <a:fillRect/>
                    </a:stretch>
                  </pic:blipFill>
                  <pic:spPr bwMode="auto">
                    <a:xfrm>
                      <a:off x="0" y="0"/>
                      <a:ext cx="2499995" cy="2414270"/>
                    </a:xfrm>
                    <a:prstGeom prst="rect"/>
                    <a:ln>
                      <a:noFill/>
                    </a:ln>
                  </pic:spPr>
                </pic:pic>
              </a:graphicData>
            </a:graphic>
          </wp:anchor>
        </w:drawing>
      </w:r>
      <w:r>
        <w:t>Kommunen lät i samband med fastighetsförvärvet år 2016 utföra geoteknisk undersökning, markundersökning och miljöprovtagning av aktuellt område. I miljöprovtagningen framkom att blyhalten (mellan 164–315 mg/kg TS) för ett begränsat område, där just kulfånget hade varit placerad, är över rekommenderade värden för känslig markanvändning (KM). Provtagningen visade att blyhalterna påträffats på mellan 0-1 meters djup, vilket är möjligt att avhjälpa genom utgrävning och bortförsel av förorenat material.</w:t>
      </w:r>
    </w:p>
    <w:p/>
    <w:p>
      <w:pPr>
        <w:keepNext w:val="1"/>
      </w:pPr>
      <w:r>
        <w:rPr>
          <w:noProof w:val="1"/>
        </w:rPr>
        <mc:AlternateContent>
          <mc:Choice Requires="wps">
            <w:drawing>
              <wp:anchor xmlns:wp="http://schemas.openxmlformats.org/drawingml/2006/wordprocessingDrawing" distT="0" distB="0" distL="114300" distR="114300" simplePos="0" relativeHeight="39" behindDoc="0" locked="0" layoutInCell="1" allowOverlap="1">
                <wp:simplePos x="0" y="0"/>
                <wp:positionH relativeFrom="column">
                  <wp:posOffset>2684780</wp:posOffset>
                </wp:positionH>
                <wp:positionV relativeFrom="paragraph">
                  <wp:posOffset>1798320</wp:posOffset>
                </wp:positionV>
                <wp:extent cx="924560" cy="537210"/>
                <wp:effectExtent l="19050" t="19050" r="46990" b="34290"/>
                <wp:wrapNone/>
                <wp:docPr id="1701432401" name="Ellips 1701432401"/>
                <wp:cNvGraphicFramePr/>
                <a:graphic xmlns:a="http://schemas.openxmlformats.org/drawingml/2006/main">
                  <a:graphicData uri="http://schemas.microsoft.com/office/word/2010/wordprocessingShape">
                    <wps:wsp>
                      <wps:cNvSpPr/>
                      <wps:spPr>
                        <a:xfrm>
                          <a:off x="0" y="0"/>
                          <a:ext cx="925009" cy="537284"/>
                        </a:xfrm>
                        <a:prstGeom prst="ellipse"/>
                        <a:noFill/>
                        <a:ln w="57150">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701432401" o:spid="_x0000_s1040" style="position:absolute;width:72.8pt;height:42.3pt;z-index:39;mso-wrap-distance-left:9pt;mso-wrap-distance-top:0pt;mso-wrap-distance-right:9pt;mso-wrap-distance-bottom:0pt;margin-left:211.4pt;margin-top:141.6pt;mso-position-horizontal:absolute;mso-position-horizontal-relative:text;mso-position-vertical:absolute;mso-position-vertical-relative:text;v-text-anchor:middle" o:allowincell="t" filled="f" strokecolor="#00B0F0" strokeweight="4.5pt" stroked="t">
                <v:textbox inset="3mm,1mm,3mm,1mm">
                  <w:txbxContent>
                    <w:p/>
                  </w:txbxContent>
                </v:textbox>
              </v:oval>
            </w:pict>
          </mc:Fallback>
        </mc:AlternateContent>
      </w:r>
      <w:r>
        <w:rPr>
          <w:noProof w:val="1"/>
        </w:rPr>
        <w:drawing>
          <wp:inline xmlns:wp="http://schemas.openxmlformats.org/drawingml/2006/wordprocessingDrawing" distT="0" distB="0" distL="0" distR="0">
            <wp:extent cx="4140200" cy="3667760"/>
            <wp:effectExtent l="0" t="0" r="0" b="8890"/>
            <wp:docPr id="863572993" name="Bildobjekt 863572993" descr="En bild som visar karta, text,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72993" name="Bildobjekt 1" descr="En bild som visar karta, text, diagram, Plan&#10;&#10;Automatiskt genererad beskrivning"/>
                    <pic:cNvPicPr/>
                  </pic:nvPicPr>
                  <pic:blipFill dpi="0">
                    <a:blip xmlns:r="http://schemas.openxmlformats.org/officeDocument/2006/relationships" r:embed="Relimage44"/>
                    <a:srcRect/>
                    <a:stretch>
                      <a:fillRect/>
                    </a:stretch>
                  </pic:blipFill>
                  <pic:spPr>
                    <a:xfrm>
                      <a:off x="0" y="0"/>
                      <a:ext cx="4274506" cy="3786839"/>
                    </a:xfrm>
                    <a:prstGeom prst="rect"/>
                  </pic:spPr>
                </pic:pic>
              </a:graphicData>
            </a:graphic>
          </wp:inline>
        </w:drawing>
      </w:r>
    </w:p>
    <w:p>
      <w:pPr>
        <w:pStyle w:val="P50"/>
        <w:ind w:left="0"/>
        <w:rPr>
          <w:i w:val="1"/>
          <w:iCs w:val="1"/>
          <w:sz w:val="20"/>
          <w:szCs w:val="20"/>
        </w:rPr>
      </w:pPr>
      <w:r>
        <w:rPr>
          <w:b w:val="0"/>
          <w:i w:val="1"/>
          <w:bCs w:val="0"/>
          <w:iCs w:val="1"/>
          <w:color w:val="auto"/>
          <w:sz w:val="20"/>
          <w:szCs w:val="20"/>
        </w:rPr>
        <w:t xml:space="preserve">Borrplan från den geotekniska utredningen, förhöjda halter av bly påträffades i provpunkterna 16W006 och 16W007. </w:t>
      </w:r>
    </w:p>
    <w:tbl>
      <w:tblPr>
        <w:tblStyle w:val="T2"/>
        <w:tblW w:w="7792" w:type="dxa"/>
        <w:tblLook w:val="04A0"/>
      </w:tblPr>
      <w:tblGrid/>
      <w:tr>
        <w:tc>
          <w:tcPr>
            <w:tcW w:w="1807" w:type="dxa"/>
            <w:shd w:val="clear" w:color="auto" w:fill="E6F6D1" w:themeFill="accent1" w:themeFillTint="30"/>
          </w:tcPr>
          <w:p>
            <w:r>
              <w:t>Provpunkt</w:t>
            </w:r>
          </w:p>
        </w:tc>
        <w:tc>
          <w:tcPr>
            <w:tcW w:w="1307" w:type="dxa"/>
            <w:shd w:val="clear" w:color="auto" w:fill="E6F6D1" w:themeFill="accent1" w:themeFillTint="30"/>
          </w:tcPr>
          <w:p>
            <w:r>
              <w:t>Parameter</w:t>
            </w:r>
          </w:p>
        </w:tc>
        <w:tc>
          <w:tcPr>
            <w:tcW w:w="2410" w:type="dxa"/>
            <w:shd w:val="clear" w:color="auto" w:fill="E6F6D1" w:themeFill="accent1" w:themeFillTint="30"/>
          </w:tcPr>
          <w:p>
            <w:pPr>
              <w:spacing w:after="0" w:beforeAutospacing="0" w:afterAutospacing="0"/>
            </w:pPr>
            <w:r>
              <w:t>Resultat i mg/kg TS</w:t>
              <w:br w:type="textWrapping"/>
            </w:r>
            <w:r>
              <w:rPr>
                <w:sz w:val="20"/>
                <w:szCs w:val="20"/>
              </w:rPr>
              <w:t>Gränsvärde NV 180 mg/kg</w:t>
            </w:r>
          </w:p>
        </w:tc>
        <w:tc>
          <w:tcPr>
            <w:tcW w:w="2268" w:type="dxa"/>
            <w:shd w:val="clear" w:color="auto" w:fill="E6F6D1" w:themeFill="accent1" w:themeFillTint="30"/>
          </w:tcPr>
          <w:p>
            <w:r>
              <w:t>Borrdjup i meter</w:t>
            </w:r>
          </w:p>
        </w:tc>
      </w:tr>
      <w:tr>
        <w:trPr>
          <w:trHeight w:hRule="exact" w:val="284"/>
        </w:trPr>
        <w:tc>
          <w:tcPr>
            <w:tcW w:w="1807" w:type="dxa"/>
          </w:tcPr>
          <w:p>
            <w:pPr>
              <w:rPr>
                <w:rFonts w:asciiTheme="majorHAnsi" w:hAnsiTheme="majorHAnsi" w:cstheme="majorHAnsi"/>
                <w:sz w:val="20"/>
                <w:szCs w:val="20"/>
              </w:rPr>
            </w:pPr>
            <w:r>
              <w:rPr>
                <w:rFonts w:asciiTheme="majorHAnsi" w:hAnsiTheme="majorHAnsi" w:cstheme="majorHAnsi"/>
                <w:sz w:val="20"/>
                <w:szCs w:val="20"/>
              </w:rPr>
              <w:t>16W006</w:t>
            </w:r>
          </w:p>
        </w:tc>
        <w:tc>
          <w:tcPr>
            <w:tcW w:w="1307" w:type="dxa"/>
          </w:tcPr>
          <w:p>
            <w:pPr>
              <w:rPr>
                <w:rFonts w:asciiTheme="majorHAnsi" w:hAnsiTheme="majorHAnsi" w:cstheme="majorHAnsi"/>
                <w:sz w:val="20"/>
                <w:szCs w:val="20"/>
              </w:rPr>
            </w:pPr>
            <w:r>
              <w:rPr>
                <w:rFonts w:asciiTheme="majorHAnsi" w:hAnsiTheme="majorHAnsi" w:cstheme="majorHAnsi"/>
                <w:sz w:val="20"/>
                <w:szCs w:val="20"/>
              </w:rPr>
              <w:t>Pb</w:t>
            </w:r>
          </w:p>
        </w:tc>
        <w:tc>
          <w:tcPr>
            <w:tcW w:w="2410" w:type="dxa"/>
          </w:tcPr>
          <w:p>
            <w:pPr>
              <w:rPr>
                <w:rFonts w:asciiTheme="majorHAnsi" w:hAnsiTheme="majorHAnsi" w:cstheme="majorHAnsi"/>
                <w:sz w:val="20"/>
                <w:szCs w:val="20"/>
              </w:rPr>
            </w:pPr>
            <w:r>
              <w:rPr>
                <w:rFonts w:asciiTheme="majorHAnsi" w:hAnsiTheme="majorHAnsi" w:cstheme="majorHAnsi"/>
                <w:sz w:val="20"/>
                <w:szCs w:val="20"/>
              </w:rPr>
              <w:t>120</w:t>
            </w:r>
          </w:p>
        </w:tc>
        <w:tc>
          <w:tcPr>
            <w:tcW w:w="2268" w:type="dxa"/>
          </w:tcPr>
          <w:p>
            <w:pPr>
              <w:rPr>
                <w:rFonts w:asciiTheme="majorHAnsi" w:hAnsiTheme="majorHAnsi" w:cstheme="majorHAnsi"/>
                <w:sz w:val="20"/>
                <w:szCs w:val="20"/>
              </w:rPr>
            </w:pPr>
            <w:r>
              <w:rPr>
                <w:rFonts w:asciiTheme="majorHAnsi" w:hAnsiTheme="majorHAnsi" w:cstheme="majorHAnsi"/>
                <w:sz w:val="20"/>
                <w:szCs w:val="20"/>
              </w:rPr>
              <w:t>0–0,5</w:t>
            </w:r>
          </w:p>
        </w:tc>
      </w:tr>
      <w:tr>
        <w:trPr>
          <w:trHeight w:hRule="exact" w:val="284"/>
        </w:trPr>
        <w:tc>
          <w:tcPr>
            <w:tcW w:w="1807"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16W006</w:t>
            </w:r>
          </w:p>
        </w:tc>
        <w:tc>
          <w:tcPr>
            <w:tcW w:w="1307"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Pb</w:t>
            </w:r>
          </w:p>
        </w:tc>
        <w:tc>
          <w:tcPr>
            <w:tcW w:w="2410"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315</w:t>
            </w:r>
          </w:p>
        </w:tc>
        <w:tc>
          <w:tcPr>
            <w:tcW w:w="2268"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0,5–1</w:t>
            </w:r>
          </w:p>
        </w:tc>
      </w:tr>
      <w:tr>
        <w:trPr>
          <w:trHeight w:hRule="exact" w:val="284"/>
        </w:trPr>
        <w:tc>
          <w:tcPr>
            <w:tcW w:w="1807"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16W007</w:t>
            </w:r>
          </w:p>
        </w:tc>
        <w:tc>
          <w:tcPr>
            <w:tcW w:w="1307"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Pb</w:t>
            </w:r>
          </w:p>
        </w:tc>
        <w:tc>
          <w:tcPr>
            <w:tcW w:w="2410"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184</w:t>
            </w:r>
          </w:p>
        </w:tc>
        <w:tc>
          <w:tcPr>
            <w:tcW w:w="2268" w:type="dxa"/>
          </w:tcPr>
          <w:p>
            <w:pPr>
              <w:rPr>
                <w:rFonts w:asciiTheme="majorHAnsi" w:hAnsiTheme="majorHAnsi" w:cstheme="majorHAnsi"/>
                <w:i w:val="1"/>
                <w:iCs w:val="1"/>
                <w:color w:val="FF0000"/>
                <w:sz w:val="20"/>
                <w:szCs w:val="20"/>
              </w:rPr>
            </w:pPr>
            <w:r>
              <w:rPr>
                <w:rFonts w:asciiTheme="majorHAnsi" w:hAnsiTheme="majorHAnsi" w:cstheme="majorHAnsi"/>
                <w:i w:val="1"/>
                <w:iCs w:val="1"/>
                <w:color w:val="FF0000"/>
                <w:sz w:val="20"/>
                <w:szCs w:val="20"/>
              </w:rPr>
              <w:t>0–0,5</w:t>
            </w:r>
          </w:p>
        </w:tc>
      </w:tr>
      <w:tr>
        <w:trPr>
          <w:trHeight w:hRule="exact" w:val="284"/>
        </w:trPr>
        <w:tc>
          <w:tcPr>
            <w:tcW w:w="1807" w:type="dxa"/>
          </w:tcPr>
          <w:p>
            <w:pPr>
              <w:rPr>
                <w:rFonts w:asciiTheme="majorHAnsi" w:hAnsiTheme="majorHAnsi" w:cstheme="majorHAnsi"/>
                <w:sz w:val="20"/>
                <w:szCs w:val="20"/>
              </w:rPr>
            </w:pPr>
            <w:r>
              <w:rPr>
                <w:rFonts w:asciiTheme="majorHAnsi" w:hAnsiTheme="majorHAnsi" w:cstheme="majorHAnsi"/>
                <w:sz w:val="20"/>
                <w:szCs w:val="20"/>
              </w:rPr>
              <w:t>16W007</w:t>
            </w:r>
          </w:p>
        </w:tc>
        <w:tc>
          <w:tcPr>
            <w:tcW w:w="1307" w:type="dxa"/>
          </w:tcPr>
          <w:p>
            <w:pPr>
              <w:rPr>
                <w:rFonts w:asciiTheme="majorHAnsi" w:hAnsiTheme="majorHAnsi" w:cstheme="majorHAnsi"/>
                <w:sz w:val="20"/>
                <w:szCs w:val="20"/>
              </w:rPr>
            </w:pPr>
            <w:r>
              <w:rPr>
                <w:rFonts w:asciiTheme="majorHAnsi" w:hAnsiTheme="majorHAnsi" w:cstheme="majorHAnsi"/>
                <w:sz w:val="20"/>
                <w:szCs w:val="20"/>
              </w:rPr>
              <w:t>Pb</w:t>
            </w:r>
          </w:p>
        </w:tc>
        <w:tc>
          <w:tcPr>
            <w:tcW w:w="2410" w:type="dxa"/>
          </w:tcPr>
          <w:p>
            <w:pPr>
              <w:rPr>
                <w:rFonts w:asciiTheme="majorHAnsi" w:hAnsiTheme="majorHAnsi" w:cstheme="majorHAnsi"/>
                <w:sz w:val="20"/>
                <w:szCs w:val="20"/>
              </w:rPr>
            </w:pPr>
            <w:r>
              <w:rPr>
                <w:rFonts w:asciiTheme="majorHAnsi" w:hAnsiTheme="majorHAnsi" w:cstheme="majorHAnsi"/>
                <w:sz w:val="20"/>
                <w:szCs w:val="20"/>
              </w:rPr>
              <w:t>164</w:t>
            </w:r>
          </w:p>
        </w:tc>
        <w:tc>
          <w:tcPr>
            <w:tcW w:w="2268" w:type="dxa"/>
          </w:tcPr>
          <w:p>
            <w:pPr>
              <w:rPr>
                <w:rFonts w:asciiTheme="majorHAnsi" w:hAnsiTheme="majorHAnsi" w:cstheme="majorHAnsi"/>
                <w:sz w:val="20"/>
                <w:szCs w:val="20"/>
              </w:rPr>
            </w:pPr>
            <w:r>
              <w:rPr>
                <w:rFonts w:asciiTheme="majorHAnsi" w:hAnsiTheme="majorHAnsi" w:cstheme="majorHAnsi"/>
                <w:sz w:val="20"/>
                <w:szCs w:val="20"/>
              </w:rPr>
              <w:t>0,5–1</w:t>
            </w:r>
          </w:p>
        </w:tc>
      </w:tr>
      <w:tr>
        <w:trPr>
          <w:trHeight w:hRule="exact" w:val="284"/>
        </w:trPr>
        <w:tc>
          <w:tcPr>
            <w:tcW w:w="1807" w:type="dxa"/>
          </w:tcPr>
          <w:p>
            <w:pPr>
              <w:rPr>
                <w:rFonts w:asciiTheme="majorHAnsi" w:hAnsiTheme="majorHAnsi" w:cstheme="majorHAnsi"/>
                <w:sz w:val="20"/>
                <w:szCs w:val="20"/>
              </w:rPr>
            </w:pPr>
            <w:r>
              <w:rPr>
                <w:rFonts w:asciiTheme="majorHAnsi" w:hAnsiTheme="majorHAnsi" w:cstheme="majorHAnsi"/>
                <w:sz w:val="20"/>
                <w:szCs w:val="20"/>
              </w:rPr>
              <w:t>16W018</w:t>
            </w:r>
          </w:p>
        </w:tc>
        <w:tc>
          <w:tcPr>
            <w:tcW w:w="1307" w:type="dxa"/>
          </w:tcPr>
          <w:p>
            <w:pPr>
              <w:rPr>
                <w:rFonts w:asciiTheme="majorHAnsi" w:hAnsiTheme="majorHAnsi" w:cstheme="majorHAnsi"/>
                <w:sz w:val="20"/>
                <w:szCs w:val="20"/>
              </w:rPr>
            </w:pPr>
            <w:r>
              <w:rPr>
                <w:rFonts w:asciiTheme="majorHAnsi" w:hAnsiTheme="majorHAnsi" w:cstheme="majorHAnsi"/>
                <w:sz w:val="20"/>
                <w:szCs w:val="20"/>
              </w:rPr>
              <w:t>Pb</w:t>
            </w:r>
          </w:p>
        </w:tc>
        <w:tc>
          <w:tcPr>
            <w:tcW w:w="2410" w:type="dxa"/>
          </w:tcPr>
          <w:p>
            <w:pPr>
              <w:rPr>
                <w:rFonts w:asciiTheme="majorHAnsi" w:hAnsiTheme="majorHAnsi" w:cstheme="majorHAnsi"/>
                <w:sz w:val="20"/>
                <w:szCs w:val="20"/>
              </w:rPr>
            </w:pPr>
            <w:r>
              <w:rPr>
                <w:rFonts w:asciiTheme="majorHAnsi" w:hAnsiTheme="majorHAnsi" w:cstheme="majorHAnsi"/>
                <w:sz w:val="20"/>
                <w:szCs w:val="20"/>
              </w:rPr>
              <w:t>4,73</w:t>
            </w:r>
          </w:p>
        </w:tc>
        <w:tc>
          <w:tcPr>
            <w:tcW w:w="2268" w:type="dxa"/>
          </w:tcPr>
          <w:p>
            <w:pPr>
              <w:rPr>
                <w:rFonts w:asciiTheme="majorHAnsi" w:hAnsiTheme="majorHAnsi" w:cstheme="majorHAnsi"/>
                <w:sz w:val="20"/>
                <w:szCs w:val="20"/>
              </w:rPr>
            </w:pPr>
            <w:r>
              <w:rPr>
                <w:rFonts w:asciiTheme="majorHAnsi" w:hAnsiTheme="majorHAnsi" w:cstheme="majorHAnsi"/>
                <w:sz w:val="20"/>
                <w:szCs w:val="20"/>
              </w:rPr>
              <w:t>0–0,5</w:t>
            </w:r>
          </w:p>
        </w:tc>
      </w:tr>
      <w:tr>
        <w:trPr>
          <w:trHeight w:hRule="exact" w:val="284"/>
        </w:trPr>
        <w:tc>
          <w:tcPr>
            <w:tcW w:w="1807" w:type="dxa"/>
          </w:tcPr>
          <w:p>
            <w:pPr>
              <w:rPr>
                <w:rFonts w:asciiTheme="majorHAnsi" w:hAnsiTheme="majorHAnsi" w:cstheme="majorHAnsi"/>
                <w:sz w:val="20"/>
                <w:szCs w:val="20"/>
              </w:rPr>
            </w:pPr>
            <w:r>
              <w:rPr>
                <w:rFonts w:asciiTheme="majorHAnsi" w:hAnsiTheme="majorHAnsi" w:cstheme="majorHAnsi"/>
                <w:sz w:val="20"/>
                <w:szCs w:val="20"/>
              </w:rPr>
              <w:t>16W018</w:t>
            </w:r>
          </w:p>
        </w:tc>
        <w:tc>
          <w:tcPr>
            <w:tcW w:w="1307" w:type="dxa"/>
          </w:tcPr>
          <w:p>
            <w:pPr>
              <w:rPr>
                <w:rFonts w:asciiTheme="majorHAnsi" w:hAnsiTheme="majorHAnsi" w:cstheme="majorHAnsi"/>
                <w:sz w:val="20"/>
                <w:szCs w:val="20"/>
              </w:rPr>
            </w:pPr>
            <w:r>
              <w:rPr>
                <w:rFonts w:asciiTheme="majorHAnsi" w:hAnsiTheme="majorHAnsi" w:cstheme="majorHAnsi"/>
                <w:sz w:val="20"/>
                <w:szCs w:val="20"/>
              </w:rPr>
              <w:t>Pb</w:t>
            </w:r>
          </w:p>
        </w:tc>
        <w:tc>
          <w:tcPr>
            <w:tcW w:w="2410" w:type="dxa"/>
          </w:tcPr>
          <w:p>
            <w:pPr>
              <w:rPr>
                <w:rFonts w:asciiTheme="majorHAnsi" w:hAnsiTheme="majorHAnsi" w:cstheme="majorHAnsi"/>
                <w:sz w:val="20"/>
                <w:szCs w:val="20"/>
              </w:rPr>
            </w:pPr>
            <w:r>
              <w:rPr>
                <w:rFonts w:asciiTheme="majorHAnsi" w:hAnsiTheme="majorHAnsi" w:cstheme="majorHAnsi"/>
                <w:sz w:val="20"/>
                <w:szCs w:val="20"/>
              </w:rPr>
              <w:t>9,43</w:t>
            </w:r>
          </w:p>
        </w:tc>
        <w:tc>
          <w:tcPr>
            <w:tcW w:w="2268" w:type="dxa"/>
          </w:tcPr>
          <w:p>
            <w:pPr>
              <w:rPr>
                <w:rFonts w:asciiTheme="majorHAnsi" w:hAnsiTheme="majorHAnsi" w:cstheme="majorHAnsi"/>
                <w:sz w:val="20"/>
                <w:szCs w:val="20"/>
              </w:rPr>
            </w:pPr>
            <w:r>
              <w:rPr>
                <w:rFonts w:asciiTheme="majorHAnsi" w:hAnsiTheme="majorHAnsi" w:cstheme="majorHAnsi"/>
                <w:sz w:val="20"/>
                <w:szCs w:val="20"/>
              </w:rPr>
              <w:t>0,5–1</w:t>
            </w:r>
          </w:p>
        </w:tc>
      </w:tr>
      <w:tr>
        <w:trPr>
          <w:trHeight w:hRule="exact" w:val="284"/>
        </w:trPr>
        <w:tc>
          <w:tcPr>
            <w:tcW w:w="1807" w:type="dxa"/>
          </w:tcPr>
          <w:p>
            <w:pPr>
              <w:rPr>
                <w:rFonts w:asciiTheme="majorHAnsi" w:hAnsiTheme="majorHAnsi" w:cstheme="majorHAnsi"/>
                <w:sz w:val="20"/>
                <w:szCs w:val="20"/>
              </w:rPr>
            </w:pPr>
            <w:r>
              <w:rPr>
                <w:rFonts w:asciiTheme="majorHAnsi" w:hAnsiTheme="majorHAnsi" w:cstheme="majorHAnsi"/>
                <w:sz w:val="20"/>
                <w:szCs w:val="20"/>
              </w:rPr>
              <w:t>16W019</w:t>
            </w:r>
          </w:p>
        </w:tc>
        <w:tc>
          <w:tcPr>
            <w:tcW w:w="1307" w:type="dxa"/>
          </w:tcPr>
          <w:p>
            <w:pPr>
              <w:rPr>
                <w:rFonts w:asciiTheme="majorHAnsi" w:hAnsiTheme="majorHAnsi" w:cstheme="majorHAnsi"/>
                <w:sz w:val="20"/>
                <w:szCs w:val="20"/>
              </w:rPr>
            </w:pPr>
            <w:r>
              <w:rPr>
                <w:rFonts w:asciiTheme="majorHAnsi" w:hAnsiTheme="majorHAnsi" w:cstheme="majorHAnsi"/>
                <w:sz w:val="20"/>
                <w:szCs w:val="20"/>
              </w:rPr>
              <w:t>Pb</w:t>
            </w:r>
          </w:p>
        </w:tc>
        <w:tc>
          <w:tcPr>
            <w:tcW w:w="2410" w:type="dxa"/>
          </w:tcPr>
          <w:p>
            <w:pPr>
              <w:rPr>
                <w:rFonts w:asciiTheme="majorHAnsi" w:hAnsiTheme="majorHAnsi" w:cstheme="majorHAnsi"/>
                <w:sz w:val="20"/>
                <w:szCs w:val="20"/>
              </w:rPr>
            </w:pPr>
            <w:r>
              <w:rPr>
                <w:rFonts w:asciiTheme="majorHAnsi" w:hAnsiTheme="majorHAnsi" w:cstheme="majorHAnsi"/>
                <w:sz w:val="20"/>
                <w:szCs w:val="20"/>
              </w:rPr>
              <w:t>56,1</w:t>
            </w:r>
          </w:p>
        </w:tc>
        <w:tc>
          <w:tcPr>
            <w:tcW w:w="2268" w:type="dxa"/>
          </w:tcPr>
          <w:p>
            <w:pPr>
              <w:rPr>
                <w:rFonts w:asciiTheme="majorHAnsi" w:hAnsiTheme="majorHAnsi" w:cstheme="majorHAnsi"/>
                <w:sz w:val="20"/>
                <w:szCs w:val="20"/>
              </w:rPr>
            </w:pPr>
            <w:r>
              <w:rPr>
                <w:rFonts w:asciiTheme="majorHAnsi" w:hAnsiTheme="majorHAnsi" w:cstheme="majorHAnsi"/>
                <w:sz w:val="20"/>
                <w:szCs w:val="20"/>
              </w:rPr>
              <w:t>0–0,5</w:t>
            </w:r>
          </w:p>
        </w:tc>
      </w:tr>
      <w:tr>
        <w:trPr>
          <w:trHeight w:hRule="exact" w:val="284"/>
        </w:trPr>
        <w:tc>
          <w:tcPr>
            <w:tcW w:w="1807" w:type="dxa"/>
          </w:tcPr>
          <w:p>
            <w:pPr>
              <w:rPr>
                <w:rFonts w:asciiTheme="majorHAnsi" w:hAnsiTheme="majorHAnsi" w:cstheme="majorHAnsi"/>
                <w:sz w:val="20"/>
                <w:szCs w:val="20"/>
              </w:rPr>
            </w:pPr>
            <w:r>
              <w:rPr>
                <w:rFonts w:asciiTheme="majorHAnsi" w:hAnsiTheme="majorHAnsi" w:cstheme="majorHAnsi"/>
                <w:sz w:val="20"/>
                <w:szCs w:val="20"/>
              </w:rPr>
              <w:t>16W019</w:t>
            </w:r>
          </w:p>
        </w:tc>
        <w:tc>
          <w:tcPr>
            <w:tcW w:w="1307" w:type="dxa"/>
          </w:tcPr>
          <w:p>
            <w:pPr>
              <w:rPr>
                <w:rFonts w:asciiTheme="majorHAnsi" w:hAnsiTheme="majorHAnsi" w:cstheme="majorHAnsi"/>
                <w:sz w:val="20"/>
                <w:szCs w:val="20"/>
              </w:rPr>
            </w:pPr>
            <w:r>
              <w:rPr>
                <w:rFonts w:asciiTheme="majorHAnsi" w:hAnsiTheme="majorHAnsi" w:cstheme="majorHAnsi"/>
                <w:sz w:val="20"/>
                <w:szCs w:val="20"/>
              </w:rPr>
              <w:t>Pb</w:t>
            </w:r>
          </w:p>
        </w:tc>
        <w:tc>
          <w:tcPr>
            <w:tcW w:w="2410" w:type="dxa"/>
          </w:tcPr>
          <w:p>
            <w:pPr>
              <w:rPr>
                <w:rFonts w:asciiTheme="majorHAnsi" w:hAnsiTheme="majorHAnsi" w:cstheme="majorHAnsi"/>
                <w:sz w:val="20"/>
                <w:szCs w:val="20"/>
              </w:rPr>
            </w:pPr>
            <w:r>
              <w:rPr>
                <w:rFonts w:asciiTheme="majorHAnsi" w:hAnsiTheme="majorHAnsi" w:cstheme="majorHAnsi"/>
                <w:sz w:val="20"/>
                <w:szCs w:val="20"/>
              </w:rPr>
              <w:t>8,79</w:t>
            </w:r>
          </w:p>
        </w:tc>
        <w:tc>
          <w:tcPr>
            <w:tcW w:w="2268" w:type="dxa"/>
          </w:tcPr>
          <w:p>
            <w:pPr>
              <w:rPr>
                <w:rFonts w:asciiTheme="majorHAnsi" w:hAnsiTheme="majorHAnsi" w:cstheme="majorHAnsi"/>
                <w:sz w:val="20"/>
                <w:szCs w:val="20"/>
              </w:rPr>
            </w:pPr>
            <w:r>
              <w:rPr>
                <w:rFonts w:asciiTheme="majorHAnsi" w:hAnsiTheme="majorHAnsi" w:cstheme="majorHAnsi"/>
                <w:sz w:val="20"/>
                <w:szCs w:val="20"/>
              </w:rPr>
              <w:t>0,5–1</w:t>
            </w:r>
          </w:p>
        </w:tc>
      </w:tr>
    </w:tbl>
    <w:p>
      <w:pPr>
        <w:pStyle w:val="P50"/>
        <w:spacing w:before="120" w:beforeAutospacing="0" w:afterAutospacing="0"/>
        <w:ind w:left="0"/>
        <w:rPr>
          <w:b w:val="0"/>
          <w:i w:val="1"/>
          <w:bCs w:val="0"/>
          <w:iCs w:val="1"/>
          <w:color w:val="auto"/>
          <w:sz w:val="20"/>
          <w:szCs w:val="20"/>
        </w:rPr>
      </w:pPr>
      <w:r>
        <w:rPr>
          <w:b w:val="0"/>
          <w:i w:val="1"/>
          <w:bCs w:val="0"/>
          <w:iCs w:val="1"/>
          <w:color w:val="auto"/>
          <w:sz w:val="20"/>
          <w:szCs w:val="20"/>
        </w:rPr>
        <w:t>Tabellen visar resultatet från de provpunkter som hade förhöjda halter av bly inom planområdet. Endast provpunkt 6 och 7 har förhöjda halter över Naturvårdsverkets gränsvärde för bly. Dessa provpunkter ligger i korthållsbanans kulfång.</w:t>
      </w:r>
    </w:p>
    <w:p>
      <w:r>
        <w:t>Markmiljöproverna i området visade inga övriga halter av ämnen som låg utanför gällande riktvärden.</w:t>
      </w:r>
    </w:p>
    <w:p>
      <w:pPr>
        <w:pStyle w:val="P3"/>
      </w:pPr>
      <w:bookmarkEnd w:id="79"/>
      <w:bookmarkStart w:id="81" w:name="pf_omgivningsbuller01"/>
      <w:r>
        <w:t>Omgivningsbuller</w:t>
      </w:r>
    </w:p>
    <w:p>
      <w:r>
        <w:t>I 4 kap. 33 a §, PBL regleras att en detaljplan som avser bostadsbebyggelse ska innehålla en redovisning av beräknade värden för omgivningsbuller vid bostadsbyggnadens fasad och vid dess uteplats om en sådan ska anordnas till byggnaden. Beräknade värden för omgivningsbuller ska redovisas om det anses behövligt med hänsyn till bullersituationen.</w:t>
      </w:r>
    </w:p>
    <w:p>
      <w:r>
        <w:t>Förordning om trafikbuller vid bostadsbyggnader (2015:216) innehåller bestämmelser om riktvärden för trafikbuller utomhus vid bostadsbyggnader. Från 2017-07-01 gäller följande riktvärden:</w:t>
      </w:r>
    </w:p>
    <w:p>
      <w:pPr>
        <w:pStyle w:val="P16"/>
        <w:numPr>
          <w:ilvl w:val="0"/>
          <w:numId w:val="11"/>
        </w:numPr>
      </w:pPr>
      <w:r>
        <w:t>60 dBA ekvivalent ljudnivå vid en bostadsbyggnads fasad, och</w:t>
      </w:r>
    </w:p>
    <w:p>
      <w:pPr>
        <w:pStyle w:val="P16"/>
        <w:numPr>
          <w:ilvl w:val="0"/>
          <w:numId w:val="11"/>
        </w:numPr>
      </w:pPr>
      <w:r>
        <w:t>50 dBA ekvivalent ljudnivå samt 70 dBA maximal ljudnivå vid en uteplats om en sådan ska anordnas i anslutning till bygganden.</w:t>
      </w:r>
    </w:p>
    <w:p>
      <w:r>
        <w:t>För en bostad om högst 35 kvadratmeter gäller i stället:</w:t>
      </w:r>
    </w:p>
    <w:p>
      <w:pPr>
        <w:pStyle w:val="P16"/>
        <w:numPr>
          <w:ilvl w:val="0"/>
          <w:numId w:val="12"/>
        </w:numPr>
      </w:pPr>
      <w:r>
        <w:t>65 dBA ekvivalent ljudnivå vid bostadsbyggnadens fasad.</w:t>
      </w:r>
    </w:p>
    <w:p>
      <w:r>
        <w:t xml:space="preserve">Längs planområdets västra sida går Kyrkogårdsgatan. På denna väg bedöms trafiken som låg och därav också bullerpåverkan. </w:t>
      </w:r>
    </w:p>
    <w:p>
      <w:r>
        <w:t xml:space="preserve">Längs planområdets södra sida går Sveavägen som bedöms vara mer trafikerad. Hastighetsbegränsningen på vägen är 50 km/h. Enligt en trafikmätning som gjordes i september 2022 kör ungefär 5 100 fordon på Sveavägen per dygn. </w:t>
      </w:r>
    </w:p>
    <w:p>
      <w:bookmarkStart w:id="82" w:name="_Hlk123123502"/>
      <w:r>
        <w:rPr>
          <w:noProof w:val="1"/>
        </w:rPr>
        <w:drawing>
          <wp:anchor xmlns:wp="http://schemas.openxmlformats.org/drawingml/2006/wordprocessingDrawing" distT="0" distB="0" distL="114300" distR="114300" simplePos="0" relativeHeight="31" behindDoc="0" locked="0" layoutInCell="1" allowOverlap="1">
            <wp:simplePos x="0" y="0"/>
            <wp:positionH relativeFrom="margin">
              <wp:posOffset>0</wp:posOffset>
            </wp:positionH>
            <wp:positionV relativeFrom="paragraph">
              <wp:posOffset>930275</wp:posOffset>
            </wp:positionV>
            <wp:extent cx="4782820" cy="3472815"/>
            <wp:effectExtent l="0" t="0" r="0" b="0"/>
            <wp:wrapTopAndBottom/>
            <wp:docPr id="40" name="Bildobjekt 40"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ildobjekt 40" descr="En bild som visar diagram&#10;&#10;Automatiskt genererad beskrivning"/>
                    <pic:cNvPicPr/>
                  </pic:nvPicPr>
                  <pic:blipFill dpi="0">
                    <a:blip xmlns:r="http://schemas.openxmlformats.org/officeDocument/2006/relationships" r:embed="Relimage45"/>
                    <a:srcRect/>
                    <a:stretch>
                      <a:fillRect/>
                    </a:stretch>
                  </pic:blipFill>
                  <pic:spPr>
                    <a:xfrm>
                      <a:off x="0" y="0"/>
                      <a:ext cx="4782820" cy="3472815"/>
                    </a:xfrm>
                    <a:prstGeom prst="rect"/>
                  </pic:spPr>
                </pic:pic>
              </a:graphicData>
            </a:graphic>
          </wp:anchor>
        </w:drawing>
      </w:r>
      <w:r>
        <w:t xml:space="preserve">I Boverkets broschyr </w:t>
      </w:r>
      <w:r>
        <w:rPr>
          <w:i w:val="1"/>
          <w:iCs w:val="1"/>
        </w:rPr>
        <w:t>Hur mycket bullrar vägtrafiken?</w:t>
      </w:r>
      <w:r>
        <w:t xml:space="preserve"> (2016) finns metoder som kan användas som underlag för att göra översiktliga bedömningar av vägtrafiken. En av metoderna har använts för att bedöma inom vilket avstånd bostäder kan etableras utan att bullerdämpande åtgärder vidtas, se röd markering i figur nedan.</w:t>
      </w:r>
    </w:p>
    <w:p>
      <w:pPr>
        <w:pStyle w:val="P50"/>
        <w:ind w:left="0"/>
        <w:rPr>
          <w:b w:val="0"/>
          <w:bCs w:val="0"/>
          <w:color w:val="auto"/>
          <w:sz w:val="16"/>
          <w:szCs w:val="16"/>
        </w:rPr>
      </w:pPr>
      <w:bookmarkEnd w:id="82"/>
    </w:p>
    <w:p>
      <w:pPr>
        <w:pStyle w:val="P50"/>
        <w:ind w:left="0"/>
        <w:rPr>
          <w:b w:val="0"/>
          <w:i w:val="1"/>
          <w:bCs w:val="0"/>
          <w:iCs w:val="1"/>
          <w:color w:val="auto"/>
          <w:sz w:val="20"/>
          <w:szCs w:val="20"/>
        </w:rPr>
      </w:pPr>
      <w:r>
        <w:rPr>
          <w:b w:val="0"/>
          <w:i w:val="1"/>
          <w:bCs w:val="0"/>
          <w:iCs w:val="1"/>
          <w:color w:val="auto"/>
          <w:sz w:val="20"/>
          <w:szCs w:val="20"/>
        </w:rPr>
        <w:t>Urklipp från Hur mycket bullrar vägtrafiken? Röd markering visualiserar att vid ett avstånd på 25 meter från vägmitt klaras riktvärdet om 60 ekvivalent ljudnivå vid en bostadsfasads byggnad.</w:t>
      </w:r>
    </w:p>
    <w:p>
      <w:r>
        <w:t>Enligt metoden kan bostäders uppföras 25 meter från Sveavägens vägmitt utan att bullerdämpande åtgärder vidtas.</w:t>
      </w:r>
    </w:p>
    <w:p>
      <w:r>
        <w:t>Ramboll har på uppdrag av Bodens kommun tagit fram en bullerutredning för aktuellt planområde. Slutsatsen är att Sveavägen är den bullerkälla som framför allt påverkar planområdet. Kyrkogårdsgatan är så pass lågtrafikerad att buller från denna inte riskerar att överskrida riktvärden annat än precis i planområdesgräns. Hermelingatan på andra sidan Bodån ligger på för stort avstånd för att påverka planområdet.</w:t>
      </w:r>
    </w:p>
    <w:p>
      <w:r>
        <w:t>Även mot Sveavägen kan bebyggelse placeras i princip var som helst utan att riktvärdet 60 dBA ekvivalent ljudnivå vid fasad överskrids, annat än precis i plangräns mot gatan. Bebyggelse mot Sveavägen kan behöva ha uteplatser placerade i skyddade lägen bakom byggnader.</w:t>
      </w:r>
    </w:p>
    <w:p>
      <w:pPr>
        <w:pStyle w:val="P3"/>
      </w:pPr>
      <w:bookmarkEnd w:id="81"/>
      <w:bookmarkStart w:id="83" w:name="pf_riskförolyckor01"/>
      <w:r>
        <w:t>Risk för olyckor</w:t>
      </w:r>
    </w:p>
    <w:p>
      <w:r>
        <w:t xml:space="preserve">Transporter med farligt gods rekommenderas av länsstyrelsen till vissa vägar, Sveavägen är en sådan. I enlighet med trafikmätning utförd i september 2022 går det nuläget ungefär 5 100 fordon per dygn på vägen varav 8,2 % av dessa utgörs av tung trafik, det vill säga ungefär 420 stycken. </w:t>
      </w:r>
      <w:bookmarkStart w:id="84" w:name="_Hlk132099741"/>
      <w:r>
        <w:t xml:space="preserve">Risker avseende transporter av farligt gods bedöms som låga. Bedömningen har gjorts med Sveavägens hastighetsbegränsning på 50 km/h och andelen tung trafik i åtanke. </w:t>
      </w:r>
      <w:bookmarkEnd w:id="84"/>
    </w:p>
    <w:p>
      <w:pPr>
        <w:pStyle w:val="P3"/>
      </w:pPr>
      <w:bookmarkEnd w:id="83"/>
      <w:bookmarkStart w:id="85" w:name="pf_riskföröversvämning01"/>
      <w:r>
        <w:t>Risk för översvämning</w:t>
      </w:r>
    </w:p>
    <w:p>
      <w:r>
        <w:t>Översvämning sker ofta i samband med skyfall. Skyfall är nederbörd med hög intensitet som överskrider kapaciteten för den återkomsttid som dagvattensystemet är utformad för. SMHI definierar skyfall som nederbörd med minst 50mm/timme eller 1mm/minut (SMHI, 2023). När dagvattensystemet är fullt sker överskottsvattenavledningen i praktiken på marknivån. Vatten samlas i låglänta områden och när de blir fulla, flyter vattnet vidare till nästa låglänta område. Markanvändningen påverkar, då den styr både infiltration och hastigheten för vattnet.</w:t>
      </w:r>
    </w:p>
    <w:p>
      <w:r>
        <w:t>För framtagandet av detaljplaneförslaget har Sweco tagit fram en skyfallsutredning, 2024-01-03, för två skyfallsscenarier med återkomsttider på 100 år och 200 år. Förutom de två extrema korttidsnederbörds scenarierna har även ett scenario som motsvarar den nederbörd som inträffade i Gästrikland år 2021 och som kallas Gävle-regn inkluderats i utredningen. Detta regn uppskattades vara den mest intensiva regnhändelse som hittills uppmätts i Sverige. Under den händelsen nåddes återkomsttider på omkring 400 år.</w:t>
      </w:r>
    </w:p>
    <w:p>
      <w:r>
        <w:t xml:space="preserve">Inom aktuellt planområde finns ingen skyfallsproblematik. Planområdet sluttar från väster mot Bodån och inom området finns en befintlig lågpunkt, ravinen. Skyfallsutredningen visar att ett område utanför detaljplanen, väster om Sergeantsgatan översvämmas vid 100- och 200 årsregn. Därför har kommunen i aktuellt planförslag pekat ut områden för dagvattendiken och fördröjningsmagasin. </w:t>
      </w:r>
    </w:p>
    <w:p>
      <w:r>
        <w:rPr>
          <w:noProof w:val="1"/>
        </w:rPr>
        <w:drawing>
          <wp:inline xmlns:wp="http://schemas.openxmlformats.org/drawingml/2006/wordprocessingDrawing" distT="0" distB="0" distL="0" distR="0">
            <wp:extent cx="4714875" cy="3329940"/>
            <wp:effectExtent l="0" t="0" r="0" b="3810"/>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0"/>
                    <pic:cNvPicPr/>
                  </pic:nvPicPr>
                  <pic:blipFill dpi="0">
                    <a:blip xmlns:r="http://schemas.openxmlformats.org/officeDocument/2006/relationships" r:embed="Relimage46"/>
                    <a:srcRect/>
                    <a:stretch>
                      <a:fillRect/>
                    </a:stretch>
                  </pic:blipFill>
                  <pic:spPr>
                    <a:xfrm>
                      <a:off x="0" y="0"/>
                      <a:ext cx="4836615" cy="3416158"/>
                    </a:xfrm>
                    <a:prstGeom prst="rect"/>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Skyfallskartor från skyfallsutredningen som visar vattendjup vid 100-årsregn samt avrinningsvägar.</w:t>
      </w:r>
    </w:p>
    <w:p>
      <w:pPr>
        <w:pStyle w:val="P3"/>
      </w:pPr>
      <w:bookmarkEnd w:id="85"/>
      <w:bookmarkStart w:id="86" w:name="pf_riskförerosion01"/>
      <w:bookmarkStart w:id="87" w:name="pf_riskförskred01"/>
      <w:bookmarkStart w:id="88" w:name="pf_riskförras01"/>
      <w:r>
        <w:t>Risk för erosion, skred och ras</w:t>
      </w:r>
    </w:p>
    <w:p>
      <w:r>
        <w:t>En stabilitetsutredning har tagits fram för planområdet, se den geotekniska utredningen (Sweco, 2023-10-17 reviderad 2024-05-16). Beräkningarna är utförda vid sex sektioner A-A till F-F. På delar av området kommer sättningsreducerande åtgärder i form av kompensationsgrundläggning och/eller förbelastning krävas Nedan följer förslag till rekommendationer och restriktioner utifrån genomförd utredning.</w:t>
      </w:r>
    </w:p>
    <w:p>
      <w:pPr>
        <w:spacing w:after="0" w:beforeAutospacing="0" w:afterAutospacing="0"/>
        <w:rPr>
          <w:rFonts w:asciiTheme="majorHAnsi" w:hAnsiTheme="majorHAnsi" w:cstheme="majorBidi"/>
        </w:rPr>
      </w:pPr>
      <w:r>
        <w:rPr>
          <w:rFonts w:asciiTheme="majorHAnsi" w:hAnsiTheme="majorHAnsi" w:cstheme="majorBidi"/>
        </w:rPr>
        <w:t>Byggnader mot Bodån</w:t>
      </w:r>
    </w:p>
    <w:p>
      <w:r>
        <w:t>• För kvartersmark bostäder föreslås en lastrestriktion av 40 kPa för byggnader på de närmaste 10 m mot Bodån. En last på 40 kPa motsvarar i storleksordningen en 3 – 4 våningar hög byggnad eller en höjning av markytan med ca 2 m.</w:t>
      </w:r>
    </w:p>
    <w:p>
      <w:r>
        <w:t>• På sträckor där befintligt släntkrön är nära gränsen för bostäder ska det tillses att det finns minst 5 m plan mark i riktning mot Bodån räknat från närmsta byggnad. Vid behov utförs fyllning som avslutas med en släntlutning av som brantast 1:2, flackare släntlutning rekommenderas för att minska risken för erosion. I norra delen av kvartersmarken mot Bodån ska släntlutning vara 1:4 eller flackare.</w:t>
      </w:r>
    </w:p>
    <w:p>
      <w:r>
        <w:t>• Vatten från dräneringar, dagvatten eller spillvatten får inte okontrollerat eller koncentrerat ledas ut över slänter utan att erforderliga erosionsskyddande åtgärder vidtas.</w:t>
      </w:r>
    </w:p>
    <w:p>
      <w:pPr>
        <w:spacing w:after="0" w:beforeAutospacing="0" w:afterAutospacing="0"/>
        <w:rPr>
          <w:rFonts w:asciiTheme="majorHAnsi" w:hAnsiTheme="majorHAnsi" w:cstheme="majorBidi"/>
        </w:rPr>
      </w:pPr>
      <w:r>
        <w:rPr>
          <w:rFonts w:asciiTheme="majorHAnsi" w:hAnsiTheme="majorHAnsi" w:cstheme="majorBidi"/>
        </w:rPr>
        <w:t>Byggnader mot ravin i norr</w:t>
      </w:r>
    </w:p>
    <w:p>
      <w:r>
        <w:t>• För kvartersmark bostäder föreslås en lastrestriktion av 40 kPa för byggnader i området närmast ravinen. En last på 40 kPa motsvarar i storleksordningen en 3 – 4 våningar hög byggnad eller en höjning av markytan med ca 2 m.</w:t>
      </w:r>
    </w:p>
    <w:p>
      <w:r>
        <w:t>• I sydöstra delen av ravinen ska det tillses att det finns minst 5 m plan mark i riktning mot ravinen räknat från närmsta byggnad. Släntlutning ska vara 1:4 eller flackare. Vid behov kan fyllning utföras.</w:t>
      </w:r>
    </w:p>
    <w:p>
      <w:r>
        <w:t>• I mitten av ravinen ska schakt till ny krönkant utföras för att skapa en avlastning mellan kvartersmarken och botten på ravinen. Slänten från ny krönkant mot ravinen flackas ut till släntlutning 1:4 eller flackare.</w:t>
      </w:r>
    </w:p>
    <w:p>
      <w:r>
        <w:t>• Vatten från dräneringar, dagvatten eller spillvatten får inte okontrollerat eller koncentrerat ledas ut över slänter utan att erforderliga erosionsskyddande åtgärder vidtas.</w:t>
      </w:r>
    </w:p>
    <w:p>
      <w:pPr>
        <w:spacing w:lineRule="auto" w:line="240" w:after="0" w:beforeAutospacing="0" w:afterAutospacing="0"/>
        <w:rPr>
          <w:rFonts w:asciiTheme="majorHAnsi" w:hAnsiTheme="majorHAnsi" w:cstheme="majorBidi"/>
        </w:rPr>
      </w:pPr>
      <w:r>
        <w:rPr>
          <w:rFonts w:asciiTheme="majorHAnsi" w:hAnsiTheme="majorHAnsi" w:cstheme="majorBidi"/>
        </w:rPr>
        <w:t>Ytan norr om ravin för begravningsplats (parkering och komplementbyggnader, ej gravplats)</w:t>
      </w:r>
    </w:p>
    <w:p>
      <w:r>
        <w:t>• Vid anläggande enligt gränslinje för tidigare planerad parkering (som förslaget såg ut under samrådet) krävs utfyllning till ny krönkant och därefter 1:4-slänt. Vid detaljprojektering ska det säkerställas att VA-system som är anlagda i botten av ravinen inte påverkas av fyllningarna.</w:t>
      </w:r>
    </w:p>
    <w:p>
      <w:r>
        <w:t>• Vid anläggande utanför ”Gränslinje för parkering utan stabilitetshöjande åtgärder” (se följande figur under rubrik dagvattenanläggningar) behövs inga stabilitetshöjande åtgärder.</w:t>
      </w:r>
    </w:p>
    <w:p>
      <w:r>
        <w:t>• Vatten från dräneringar, dagvatten eller spillvatten får inte okontrollerat eller koncentreras ledas ut över slänter utan att erforderliga erosionsskyddande åtgärder vidtas.</w:t>
      </w:r>
    </w:p>
    <w:p>
      <w:pPr>
        <w:spacing w:lineRule="auto" w:line="240" w:after="0" w:beforeAutospacing="0" w:afterAutospacing="0"/>
        <w:rPr>
          <w:rFonts w:ascii="Arial" w:hAnsi="Arial" w:cs="Arial"/>
          <w:sz w:val="28"/>
          <w:szCs w:val="28"/>
        </w:rPr>
      </w:pPr>
      <w:r>
        <w:rPr>
          <w:rFonts w:asciiTheme="majorHAnsi" w:hAnsiTheme="majorHAnsi" w:cstheme="majorBidi"/>
        </w:rPr>
        <w:t>Dagvattenanläggningar</w:t>
      </w:r>
    </w:p>
    <w:p>
      <w:r>
        <w:t xml:space="preserve">Vid projektering av de dagvattenanläggningar som planeras i ravinen och sydväst om kvartersmarken ska det tillses att: </w:t>
      </w:r>
    </w:p>
    <w:p>
      <w:pPr>
        <w:spacing w:after="0" w:beforeAutospacing="0" w:afterAutospacing="0"/>
      </w:pPr>
      <w:r>
        <w:t>• Slänter erosionsskyddas för förväntade flödeshastigheter och nivåer.</w:t>
      </w:r>
    </w:p>
    <w:p>
      <w:pPr>
        <w:spacing w:after="0" w:beforeAutospacing="0" w:afterAutospacing="0"/>
      </w:pPr>
      <w:r>
        <w:t>• Att utlopp mot Bodån harmoniserar med strandskoningen och inte riskerar att skada denna.</w:t>
      </w:r>
    </w:p>
    <w:p>
      <w:pPr>
        <w:spacing w:after="0" w:beforeAutospacing="0" w:afterAutospacing="0"/>
      </w:pPr>
      <w:r>
        <w:t>• Schakter som påverkar stabiliteten för byggnader inte utförs.</w:t>
      </w:r>
    </w:p>
    <w:p>
      <w:pPr>
        <w:spacing w:lineRule="auto" w:line="240" w:after="0" w:beforeAutospacing="0" w:afterAutospacing="0"/>
        <w:rPr>
          <w:rFonts w:ascii="Arial" w:hAnsi="Arial" w:cs="Arial"/>
          <w:sz w:val="20"/>
          <w:szCs w:val="20"/>
        </w:rPr>
      </w:pPr>
    </w:p>
    <w:p>
      <w:pPr>
        <w:spacing w:lineRule="auto" w:line="240" w:after="0" w:beforeAutospacing="0" w:afterAutospacing="0"/>
        <w:rPr>
          <w:rFonts w:ascii="Arial" w:hAnsi="Arial" w:cs="Arial"/>
          <w:sz w:val="28"/>
          <w:szCs w:val="28"/>
        </w:rPr>
      </w:pPr>
      <w:r>
        <w:rPr>
          <w:rFonts w:asciiTheme="majorHAnsi" w:hAnsiTheme="majorHAnsi" w:cstheme="majorBidi"/>
        </w:rPr>
        <w:t>Sättningar</w:t>
      </w:r>
    </w:p>
    <w:p>
      <w:r>
        <w:t>På delar av området kommer sättningsreducerande åtgärder i form av kompensationsgrundläggning och/eller förbelastning krävas. För tyngre byggnader utan källare på delar där kohesionsjordarna mäktighet är som störst kan pålning krävas. Om utfyllning av den låglänta delen närmast Bodån blir aktuellt behöver sättningsförloppet för fyllningarna tas i beaktan om byggnader ska placeras på fyllningarna.</w:t>
      </w:r>
    </w:p>
    <w:p>
      <w:r>
        <w:rPr>
          <w:noProof w:val="1"/>
        </w:rPr>
        <w:drawing>
          <wp:inline xmlns:wp="http://schemas.openxmlformats.org/drawingml/2006/wordprocessingDrawing" distT="0" distB="0" distL="0" distR="0">
            <wp:extent cx="5044440" cy="4154170"/>
            <wp:effectExtent l="0" t="0" r="3810" b="0"/>
            <wp:docPr id="851891315" name="Bildobjekt 85189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1"/>
                    <pic:cNvPicPr/>
                  </pic:nvPicPr>
                  <pic:blipFill dpi="0">
                    <a:blip xmlns:r="http://schemas.openxmlformats.org/officeDocument/2006/relationships" r:embed="Relimage47"/>
                    <a:srcRect/>
                    <a:stretch>
                      <a:fillRect/>
                    </a:stretch>
                  </pic:blipFill>
                  <pic:spPr>
                    <a:xfrm>
                      <a:off x="0" y="0"/>
                      <a:ext cx="5062771" cy="4169415"/>
                    </a:xfrm>
                    <a:prstGeom prst="rect"/>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Karta från den geotekniska utredningen. Beräkningssektioner A-A till F-F tillsammans med färganalys över befintliga markhöjder.</w:t>
      </w:r>
    </w:p>
    <w:p>
      <w:pPr>
        <w:pStyle w:val="P2"/>
      </w:pPr>
      <w:bookmarkEnd w:id="78"/>
      <w:bookmarkEnd w:id="86"/>
      <w:bookmarkEnd w:id="87"/>
      <w:bookmarkEnd w:id="88"/>
      <w:bookmarkStart w:id="89" w:name="pf_miljö01"/>
      <w:r>
        <w:t>Natur</w:t>
      </w:r>
    </w:p>
    <w:p>
      <w:pPr>
        <w:pStyle w:val="P3"/>
      </w:pPr>
      <w:bookmarkStart w:id="90" w:name="pf_markvegetationochtopografi01"/>
      <w:r>
        <w:t>Mark, vegetation och topografi</w:t>
      </w:r>
    </w:p>
    <w:p>
      <w:r>
        <w:t>Marken inom planområdet består till största delen av gräsbevuxna ytor, men en del hårdgjorda ytor finns även så som belagd väg samt grusytor i anslutning till de befintliga byggnaderna. Längst ned mot Bodån är marken igenväxt med mindre träd och sly.</w:t>
      </w:r>
    </w:p>
    <w:p>
      <w:pPr>
        <w:pStyle w:val="P3"/>
      </w:pPr>
      <w:bookmarkEnd w:id="90"/>
      <w:bookmarkStart w:id="91" w:name="pf_geotekniskaförhållanden01"/>
      <w:r>
        <w:t xml:space="preserve">Geotekniska förhållanden </w:t>
      </w:r>
    </w:p>
    <w:p>
      <w:r>
        <w:t>Enligt en geoteknisk utredning utförd för området (Sweco, 2023-10-17 reviderad 2024-05-16) består den naturliga jorden i området i huvudsak av sand-, silt- och lersediment som underlagras av morän. Lokalt förekommer fyllnadsmassor ovan naturlig jord.</w:t>
      </w:r>
    </w:p>
    <w:p>
      <w:r>
        <w:t>Sedimenten består från markytan i huvudsak av mycket löst till medelfast lagrad sandig silt som underlagras av siltig sulfidlera som övergår i medelfast till fast lagrad sandig silt. Inget berg har påträffats vid undersökningarna.</w:t>
      </w:r>
    </w:p>
    <w:p>
      <w:r>
        <w:t>Sedimentens mäktighet varierar generellt mellan 10 och 4 meter med störst mäktighet i sydväst och minskande i nordostlig riktning. Dock har fast lagrad morän påträffats redan vid 2 meter under markytan i två provtagningspunkter. Moränen är fast lagrad och består av sandig siltmorän.</w:t>
      </w:r>
    </w:p>
    <w:p>
      <w:r>
        <w:t>Sulfidlera förekommer generellt från cirka marknivå +11 till +9. Förekomsten är dock varierande då ingen sulfidlera påträffats i 4 provtagningspunkter.</w:t>
      </w:r>
    </w:p>
    <w:p>
      <w:r>
        <w:t>Förekommande fyllnadsmassor varierar i mäktighet mellan cirka 2 och 3 meter. Generellt består fyllningens översta meter av grusig sand och därunder av sandig siltmorän fyllning.</w:t>
      </w:r>
    </w:p>
    <w:p>
      <w:r>
        <w:t>Portrycksmätning har utförts i den geotekniska utredningen. Känslighetsanalys var utförd men inte redovisad, och rapporten har därför kompletterats med en jämförelseberäkning. Områdets topografi och geologi, tillsammans med nyligen utförda grundvattenmätningar på granntomten i ett parallellt projekt, gör att geoteknikern känner sig trygg med att grundvattenytans påverkan är hanterad i stabilitetsberäkningarna. Risk för inre erosion bedöms inte finnas för slänter inom detta projekt, däremot ska det tillses att nyskapade slänter erosionsskyddas mot regnerosion och ytvattenflöden.</w:t>
      </w:r>
    </w:p>
    <w:p>
      <w:r>
        <w:t>Grundvattnet är som närmast markytan vid Bodån i öst och återfinns på större djup i västlig riktning i och med att marknivån stiger. Dimensionerande grundvattenyta bör antas vara i nivå med markytan närmast Bodån och cirka 3 meter under markytan längst bort från Bodån.</w:t>
      </w:r>
    </w:p>
    <w:p>
      <w:r>
        <w:t>Förutsättningarna för en exploatering av området bedöms som goda, men förhållandena är till viss del varierande och bör således värderas separat för enskilda byggnader på området.</w:t>
      </w:r>
    </w:p>
    <w:p>
      <w:r>
        <w:t>Små lätta enfamiljshus i 1 till 2 plan bedöms kunna grundläggas på konventionellt sätt, förslagsvis med kantförstyvad platta på mark, förutsatt att vissa sättningar kan accepteras. Plattan ska dimensioneras för att klara av de spänningar som uppkommer, då byggnaden sätter sig. För större byggnader bedöms sättningsreducerande åtgärder bli aktuella. Sättningsreducerande åtgärden kan exempelvis vara förbelastning med överlast, kompensationsgrundläggning eller pålning.</w:t>
      </w:r>
    </w:p>
    <w:p>
      <w:pPr>
        <w:pStyle w:val="P3"/>
      </w:pPr>
      <w:bookmarkEnd w:id="91"/>
      <w:bookmarkStart w:id="92" w:name="pf_radon01"/>
      <w:r>
        <w:t xml:space="preserve">Radon </w:t>
      </w:r>
    </w:p>
    <w:p>
      <w:r>
        <w:t>Planområdet ligger inom lågriksområde för radon.</w:t>
      </w:r>
    </w:p>
    <w:p>
      <w:pPr>
        <w:pStyle w:val="P3"/>
      </w:pPr>
      <w:bookmarkEnd w:id="92"/>
      <w:bookmarkStart w:id="93" w:name="pf_strandskydd01"/>
      <w:r>
        <w:t>Strandskydd</w:t>
      </w:r>
    </w:p>
    <w:p>
      <w:r>
        <w:t>I gällande detaljplan är strandskyddet upphävt, men vid upprättande av ny detaljplan återinträdet strandskyddet för delar av planområdet.</w:t>
      </w:r>
    </w:p>
    <w:p>
      <w:r>
        <w:rPr>
          <w:noProof w:val="1"/>
        </w:rPr>
        <w:drawing>
          <wp:inline xmlns:wp="http://schemas.openxmlformats.org/drawingml/2006/wordprocessingDrawing" distT="0" distB="0" distL="0" distR="0">
            <wp:extent cx="2363470" cy="2301240"/>
            <wp:effectExtent l="0" t="0" r="0" b="3810"/>
            <wp:docPr id="549318476" name="Bildobjekt 54931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2"/>
                    <pic:cNvPicPr/>
                  </pic:nvPicPr>
                  <pic:blipFill dpi="0">
                    <a:blip xmlns:r="http://schemas.openxmlformats.org/officeDocument/2006/relationships" r:embed="Relimage48"/>
                    <a:srcRect t="7338" b="5910"/>
                    <a:stretch>
                      <a:fillRect/>
                    </a:stretch>
                  </pic:blipFill>
                  <pic:spPr bwMode="auto">
                    <a:xfrm>
                      <a:off x="0" y="0"/>
                      <a:ext cx="2385518" cy="2322449"/>
                    </a:xfrm>
                    <a:prstGeom prst="rect"/>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 xml:space="preserve">Schematisk redovisning av strandskyddet som återinträder när en ny detaljplan får laga kraft. </w:t>
        <w:br w:type="textWrapping"/>
        <w:t>Planområdet markerat med svart streckad linje.</w:t>
      </w:r>
    </w:p>
    <w:p>
      <w:r>
        <w:t>Det generella syftet med strandskyddet är att trygga förutsättningarna för allemansrättslig tillgång till strandområden och att bevara goda livsvillkor på land och vatten för djur- och växtlivet. Det skyddade området sträcker sig 100 meter upp på land från Bodån och gäller även 100 meter ut i vattenområdet.</w:t>
      </w:r>
    </w:p>
    <w:p>
      <w:r>
        <w:t xml:space="preserve">Strandskyddsområdet innebär att inga nya byggnader och anläggningar får byggas eller ändras så att de begränsar allmänhetens möjligheter att röra sig fritt i området eller påverkar livsvillkoren för växt- och djurliv. För att upphäva strandskyddet ska minst ett av följande särskilda skäl åberopas: </w:t>
      </w:r>
    </w:p>
    <w:p>
      <w:pPr>
        <w:pStyle w:val="P16"/>
        <w:numPr>
          <w:ilvl w:val="0"/>
          <w:numId w:val="12"/>
        </w:numPr>
      </w:pPr>
      <w:r>
        <w:t>Marken har redan tagits i anspråk på ett sätt som gör att det saknar betydelse för strandskyddets syften.</w:t>
      </w:r>
    </w:p>
    <w:p>
      <w:pPr>
        <w:pStyle w:val="P16"/>
        <w:numPr>
          <w:ilvl w:val="0"/>
          <w:numId w:val="12"/>
        </w:numPr>
      </w:pPr>
      <w:r>
        <w:t>Marken är genom en väg, järnväg, bebyggelse, verksamhet eller annan exploatering väl avskilt från området närmast strandlinjen.</w:t>
      </w:r>
    </w:p>
    <w:p>
      <w:pPr>
        <w:pStyle w:val="P16"/>
        <w:numPr>
          <w:ilvl w:val="0"/>
          <w:numId w:val="12"/>
        </w:numPr>
      </w:pPr>
      <w:r>
        <w:t>Marken behövs för en anläggning som för sin funktion måste ligga vid vattnet samtidigt som behovet inte kan tillgodoses utanför området.</w:t>
      </w:r>
    </w:p>
    <w:p>
      <w:pPr>
        <w:pStyle w:val="P16"/>
        <w:numPr>
          <w:ilvl w:val="0"/>
          <w:numId w:val="12"/>
        </w:numPr>
      </w:pPr>
      <w:r>
        <w:t>Marken behövs för att utvidga en pågående verksamhet och utvidgningen inte kan genomföras utanför området.</w:t>
      </w:r>
    </w:p>
    <w:p>
      <w:pPr>
        <w:pStyle w:val="P16"/>
        <w:numPr>
          <w:ilvl w:val="0"/>
          <w:numId w:val="12"/>
        </w:numPr>
      </w:pPr>
      <w:r>
        <w:t>Marken behöver tas i anspråk för att tillgodose ett angeläget allmänt intresse som inte kan tillgodoses utanför området.</w:t>
      </w:r>
    </w:p>
    <w:p>
      <w:pPr>
        <w:pStyle w:val="P16"/>
        <w:numPr>
          <w:ilvl w:val="0"/>
          <w:numId w:val="12"/>
        </w:numPr>
      </w:pPr>
      <w:r>
        <w:t>Marken behöver tas i anspråk för att tillgodose ett annat mycket angeläget intresse.</w:t>
      </w:r>
    </w:p>
    <w:p>
      <w:r>
        <w:rPr>
          <w:noProof w:val="1"/>
        </w:rPr>
        <w:drawing>
          <wp:anchor xmlns:wp="http://schemas.openxmlformats.org/drawingml/2006/wordprocessingDrawing" distT="0" distB="0" distL="114300" distR="114300" simplePos="0" relativeHeight="43" behindDoc="0" locked="0" layoutInCell="1" allowOverlap="1">
            <wp:simplePos x="0" y="0"/>
            <wp:positionH relativeFrom="margin">
              <wp:posOffset>2634615</wp:posOffset>
            </wp:positionH>
            <wp:positionV relativeFrom="paragraph">
              <wp:posOffset>649605</wp:posOffset>
            </wp:positionV>
            <wp:extent cx="2113280" cy="2047875"/>
            <wp:effectExtent l="0" t="0" r="1270" b="0"/>
            <wp:wrapNone/>
            <wp:docPr id="868922559" name="Bildobjekt 86892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49"/>
                    <a:srcRect l="8904" t="2336" r="10633" b="3298"/>
                    <a:stretch>
                      <a:fillRect/>
                    </a:stretch>
                  </pic:blipFill>
                  <pic:spPr bwMode="auto">
                    <a:xfrm>
                      <a:off x="0" y="0"/>
                      <a:ext cx="2113542" cy="2048002"/>
                    </a:xfrm>
                    <a:prstGeom prst="rect"/>
                    <a:noFill/>
                    <a:ln>
                      <a:noFill/>
                    </a:ln>
                  </pic:spPr>
                </pic:pic>
              </a:graphicData>
            </a:graphic>
          </wp:anchor>
        </w:drawing>
      </w:r>
      <w:r>
        <w:rPr>
          <w:noProof w:val="1"/>
        </w:rPr>
        <w:drawing>
          <wp:anchor xmlns:wp="http://schemas.openxmlformats.org/drawingml/2006/wordprocessingDrawing" distT="0" distB="0" distL="114300" distR="114300" simplePos="0" relativeHeight="44" behindDoc="0" locked="0" layoutInCell="1" allowOverlap="1">
            <wp:simplePos x="0" y="0"/>
            <wp:positionH relativeFrom="margin">
              <wp:align>left</wp:align>
            </wp:positionH>
            <wp:positionV relativeFrom="paragraph">
              <wp:posOffset>621030</wp:posOffset>
            </wp:positionV>
            <wp:extent cx="2132965" cy="2066925"/>
            <wp:effectExtent l="0" t="0" r="635" b="9525"/>
            <wp:wrapTopAndBottom/>
            <wp:docPr id="1874612496" name="Bildobjekt 187461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50"/>
                    <a:srcRect b="10233"/>
                    <a:stretch>
                      <a:fillRect/>
                    </a:stretch>
                  </pic:blipFill>
                  <pic:spPr bwMode="auto">
                    <a:xfrm>
                      <a:off x="0" y="0"/>
                      <a:ext cx="2132965" cy="2066925"/>
                    </a:xfrm>
                    <a:prstGeom prst="rect"/>
                    <a:noFill/>
                    <a:ln>
                      <a:noFill/>
                    </a:ln>
                  </pic:spPr>
                </pic:pic>
              </a:graphicData>
            </a:graphic>
          </wp:anchor>
        </w:drawing>
      </w:r>
      <w:r>
        <w:t xml:space="preserve">I nuläget är planområdet tämligen otillgänglig för allmänheten då större del är inhägnat. Marken inom planområdet har sedan lång tid tillbaka varit ianspråktaget för militära ändamål. </w:t>
      </w:r>
    </w:p>
    <w:p>
      <w:pPr>
        <w:pStyle w:val="P50"/>
        <w:ind w:left="0"/>
        <w:rPr>
          <w:b w:val="0"/>
          <w:i w:val="1"/>
          <w:bCs w:val="0"/>
          <w:iCs w:val="1"/>
          <w:color w:val="auto"/>
          <w:sz w:val="20"/>
          <w:szCs w:val="20"/>
        </w:rPr>
      </w:pPr>
      <w:r>
        <w:rPr>
          <w:b w:val="0"/>
          <w:i w:val="1"/>
          <w:bCs w:val="0"/>
          <w:iCs w:val="1"/>
          <w:color w:val="auto"/>
          <w:sz w:val="20"/>
          <w:szCs w:val="20"/>
        </w:rPr>
        <w:t>Historiska flygbilder över planområdet, till vänster:1960 till höger 1975.</w:t>
      </w:r>
    </w:p>
    <w:p>
      <w:pPr>
        <w:pStyle w:val="P2"/>
      </w:pPr>
      <w:bookmarkEnd w:id="89"/>
      <w:bookmarkEnd w:id="93"/>
      <w:bookmarkStart w:id="94" w:name="pf_kulturmiljö01"/>
      <w:r>
        <w:t>Kulturmiljö och stadsbild</w:t>
      </w:r>
    </w:p>
    <w:p>
      <w:r>
        <w:t xml:space="preserve">Planområdet har tidigare använts av Försvarsmakten som utbildningsområde, de har haft undervisningslokaler, förrådsbyggnader och skjutbana på platsen. På området står i nuläget tre byggnader kvar, två förrådsbyggnader och en utbildningslokal. </w:t>
      </w:r>
      <w:r>
        <w:rPr>
          <w:szCs w:val="24"/>
        </w:rPr>
        <w:t xml:space="preserve">Kommunen nyttjar förrådsbyggnad men i övrigt står området outnyttjat. </w:t>
      </w:r>
      <w:r>
        <w:t xml:space="preserve">Skjutbanan var en så kallad korthållsbana, benämnt Ing 3, den lades ner år 1996. </w:t>
      </w:r>
    </w:p>
    <w:p>
      <w:bookmarkStart w:id="95" w:name="_Hlk132099959"/>
      <w:r>
        <w:t xml:space="preserve">Samtliga tre byggnader karaktäriseras av långsträckta, rektangulära byggnadskroppar i enkel panelarkitektur och med en maximal höjd på två våningar. Färgsättningen går i rött, grönt och svartgrått. Byggnaderna är i varierande skick med bland annat sviktande tak och starkt eftersatt underhåll av fasader, fönster och dörrar. </w:t>
      </w:r>
    </w:p>
    <w:p>
      <w:r>
        <w:t>Byggnaderna omfattas inte av byggnadsminne. Byggnaderna är grupperade i en L-formation där två är placerade intill varandra och den tredje uppförd i vinkel till övriga två. En väg leder mellan Sveavägen i söder mot kyrkogårdsområdet i norr. Vägen är lokaliserad mellan byggnaderna och den f.d. skjutbanan. Största delen av området är idag inhägnat och inte allmänt tillgängligt.</w:t>
      </w:r>
    </w:p>
    <w:p>
      <w:r>
        <w:t>I planområdets östra del, precis intill Bodån, har en korthållsskjutbana tidigare förekommit. Efter skjutbanans avveckling har området grävts ut, vilket har medfört att detta parti idag har en lägre marknivå än resterande delar av planområdet. Några spår från den forna skjutbanan kan i övrigt inte urskiljas, exempelvis i form av måltavlor eller dylikt. En mer utförlig beskrivning av byggnaderna och miljön finns i den till planförslaget utförda kulturmiljöutredningen.</w:t>
      </w:r>
    </w:p>
    <w:p>
      <w:r>
        <w:rPr>
          <w:noProof w:val="1"/>
        </w:rPr>
        <w:drawing>
          <wp:inline xmlns:wp="http://schemas.openxmlformats.org/drawingml/2006/wordprocessingDrawing" distT="0" distB="0" distL="0" distR="0">
            <wp:extent cx="3566160" cy="2169795"/>
            <wp:effectExtent l="0" t="0" r="0" b="1905"/>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3"/>
                    <pic:cNvPicPr/>
                  </pic:nvPicPr>
                  <pic:blipFill dpi="0">
                    <a:blip xmlns:r="http://schemas.openxmlformats.org/officeDocument/2006/relationships" r:embed="Relimage51"/>
                    <a:srcRect b="8408"/>
                    <a:stretch>
                      <a:fillRect/>
                    </a:stretch>
                  </pic:blipFill>
                  <pic:spPr bwMode="auto">
                    <a:xfrm>
                      <a:off x="0" y="0"/>
                      <a:ext cx="3605983" cy="2193837"/>
                    </a:xfrm>
                    <a:prstGeom prst="rect"/>
                    <a:ln>
                      <a:noFill/>
                    </a:ln>
                  </pic:spPr>
                </pic:pic>
              </a:graphicData>
            </a:graphic>
          </wp:inline>
        </w:drawing>
      </w:r>
    </w:p>
    <w:p>
      <w:pPr>
        <w:pStyle w:val="P50"/>
        <w:ind w:left="0"/>
        <w:rPr>
          <w:b w:val="0"/>
          <w:i w:val="1"/>
          <w:bCs w:val="0"/>
          <w:iCs w:val="1"/>
          <w:color w:val="auto"/>
          <w:sz w:val="20"/>
          <w:szCs w:val="20"/>
        </w:rPr>
      </w:pPr>
      <w:bookmarkEnd w:id="95"/>
      <w:r>
        <w:rPr>
          <w:b w:val="0"/>
          <w:i w:val="1"/>
          <w:bCs w:val="0"/>
          <w:iCs w:val="1"/>
          <w:color w:val="auto"/>
          <w:sz w:val="20"/>
          <w:szCs w:val="20"/>
        </w:rPr>
        <w:t>Den södra förrådsbyggnaden (byggnad 1). Foto: Kristin Lång © Norrbottens museum.</w:t>
      </w:r>
    </w:p>
    <w:p>
      <w:pPr>
        <w:pStyle w:val="P50"/>
        <w:ind w:left="0"/>
        <w:rPr>
          <w:b w:val="0"/>
          <w:i w:val="1"/>
          <w:bCs w:val="0"/>
          <w:iCs w:val="1"/>
          <w:color w:val="auto"/>
          <w:sz w:val="20"/>
          <w:szCs w:val="20"/>
        </w:rPr>
      </w:pPr>
      <w:r>
        <w:rPr>
          <w:b w:val="0"/>
          <w:i w:val="1"/>
          <w:bCs w:val="0"/>
          <w:iCs w:val="1"/>
          <w:noProof w:val="1"/>
          <w:color w:val="auto"/>
          <w:sz w:val="20"/>
          <w:szCs w:val="20"/>
        </w:rPr>
        <w:drawing>
          <wp:anchor xmlns:wp="http://schemas.openxmlformats.org/drawingml/2006/wordprocessingDrawing" distT="0" distB="0" distL="114300" distR="114300" simplePos="0" relativeHeight="33" behindDoc="0" locked="0" layoutInCell="1" allowOverlap="1">
            <wp:simplePos x="0" y="0"/>
            <wp:positionH relativeFrom="margin">
              <wp:align>left</wp:align>
            </wp:positionH>
            <wp:positionV relativeFrom="paragraph">
              <wp:posOffset>2720340</wp:posOffset>
            </wp:positionV>
            <wp:extent cx="3813810" cy="2128520"/>
            <wp:effectExtent l="0" t="0" r="0" b="5080"/>
            <wp:wrapTopAndBottom/>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4"/>
                    <pic:cNvPicPr/>
                  </pic:nvPicPr>
                  <pic:blipFill dpi="0">
                    <a:blip xmlns:r="http://schemas.openxmlformats.org/officeDocument/2006/relationships" r:embed="Relimage52"/>
                    <a:srcRect/>
                    <a:stretch>
                      <a:fillRect/>
                    </a:stretch>
                  </pic:blipFill>
                  <pic:spPr>
                    <a:xfrm>
                      <a:off x="0" y="0"/>
                      <a:ext cx="3813810" cy="2128520"/>
                    </a:xfrm>
                    <a:prstGeom prst="rect"/>
                  </pic:spPr>
                </pic:pic>
              </a:graphicData>
            </a:graphic>
          </wp:anchor>
        </w:drawing>
      </w:r>
      <w:r>
        <w:rPr>
          <w:b w:val="0"/>
          <w:i w:val="1"/>
          <w:bCs w:val="0"/>
          <w:iCs w:val="1"/>
          <w:noProof w:val="1"/>
          <w:color w:val="auto"/>
          <w:sz w:val="20"/>
          <w:szCs w:val="20"/>
        </w:rPr>
        <w:drawing>
          <wp:anchor xmlns:wp="http://schemas.openxmlformats.org/drawingml/2006/wordprocessingDrawing" distT="0" distB="0" distL="114300" distR="114300" simplePos="0" relativeHeight="32" behindDoc="0" locked="0" layoutInCell="1" allowOverlap="1">
            <wp:simplePos x="0" y="0"/>
            <wp:positionH relativeFrom="margin">
              <wp:posOffset>-2540</wp:posOffset>
            </wp:positionH>
            <wp:positionV relativeFrom="paragraph">
              <wp:posOffset>0</wp:posOffset>
            </wp:positionV>
            <wp:extent cx="3800475" cy="2333625"/>
            <wp:effectExtent l="0" t="0" r="9525" b="9525"/>
            <wp:wrapTopAndBottom/>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5"/>
                    <pic:cNvPicPr/>
                  </pic:nvPicPr>
                  <pic:blipFill dpi="0">
                    <a:blip xmlns:r="http://schemas.openxmlformats.org/officeDocument/2006/relationships" r:embed="Relimage53"/>
                    <a:srcRect t="7508"/>
                    <a:stretch>
                      <a:fillRect/>
                    </a:stretch>
                  </pic:blipFill>
                  <pic:spPr bwMode="auto">
                    <a:xfrm>
                      <a:off x="0" y="0"/>
                      <a:ext cx="3800475" cy="2333625"/>
                    </a:xfrm>
                    <a:prstGeom prst="rect"/>
                    <a:ln>
                      <a:noFill/>
                    </a:ln>
                  </pic:spPr>
                </pic:pic>
              </a:graphicData>
            </a:graphic>
          </wp:anchor>
        </w:drawing>
      </w:r>
      <w:r>
        <w:rPr>
          <w:b w:val="0"/>
          <w:i w:val="1"/>
          <w:bCs w:val="0"/>
          <w:iCs w:val="1"/>
          <w:color w:val="auto"/>
          <w:sz w:val="20"/>
          <w:szCs w:val="20"/>
        </w:rPr>
        <w:t xml:space="preserve">Utbildningslokalen (byggnad 2). Foto: Kristin Lång © Norrbottens museum.  </w:t>
      </w:r>
    </w:p>
    <w:p>
      <w:pPr>
        <w:pStyle w:val="P50"/>
        <w:ind w:left="0"/>
        <w:rPr>
          <w:b w:val="0"/>
          <w:i w:val="1"/>
          <w:bCs w:val="0"/>
          <w:iCs w:val="1"/>
          <w:color w:val="auto"/>
          <w:sz w:val="20"/>
          <w:szCs w:val="20"/>
        </w:rPr>
      </w:pPr>
      <w:r>
        <w:rPr>
          <w:b w:val="0"/>
          <w:i w:val="1"/>
          <w:bCs w:val="0"/>
          <w:iCs w:val="1"/>
          <w:color w:val="auto"/>
          <w:sz w:val="20"/>
          <w:szCs w:val="20"/>
        </w:rPr>
        <w:t xml:space="preserve">Den norra förrådsbyggnaden (byggnad 3). Foto: Kristin Lång © Norrbottens museum.  </w:t>
      </w:r>
    </w:p>
    <w:p>
      <w:r>
        <w:t xml:space="preserve">I omkringliggande områden finns en tydlig placering och orientering av befintlig bebyggelse, men naturlig koppling till aktuellt planområde saknas. </w:t>
      </w:r>
    </w:p>
    <w:p>
      <w:r>
        <w:t>De stora och visuellt dominerande kasernbyggnaderna i omgivningen är lokaliserade sydöst och sydväst om planområdet. Dessa pampiga byggnader är väl synliga och ganska dominanta mycket tack vare sin höga placering. Planområdet med sin sluttande mark mot Bodån har en högsta markhöjd på 16 meter och med det underordnad omgivningen. Planområdet ligger också i direkt anslutning till Lundagårds begravningsplats som skyddas enligt kulturmiljölagen.</w:t>
      </w:r>
    </w:p>
    <w:p>
      <w:pPr>
        <w:pStyle w:val="P3"/>
      </w:pPr>
      <w:bookmarkStart w:id="96" w:name="pf_alleer01"/>
      <w:r>
        <w:t>Alléer</w:t>
      </w:r>
    </w:p>
    <w:p>
      <w:r>
        <w:t>De rader av björkar som kantar Bodån återkopplar till stadens militära prägel och till de björkalléer som är kännetecknande för Bodens garnison. Björkalléer började planteras omkring 1910-talet inom militära områden av Boden, då längs med Sveavägen och från järnvägsstationen upp till Bodens centrum. Därefter har björkalléer kommit att bli allmänt vanliga i Bodens stad och kan återfinnas vid ett flertal vägar. Målsättningen med björkalléerna var att ge vägarna ett ståtligt och statusfyllt uttryck.</w:t>
      </w:r>
    </w:p>
    <w:p>
      <w:pPr>
        <w:pStyle w:val="P3"/>
      </w:pPr>
      <w:bookmarkEnd w:id="96"/>
      <w:bookmarkStart w:id="97" w:name="pf_siktlinjer01"/>
      <w:r>
        <w:t>Siktlinjer</w:t>
      </w:r>
    </w:p>
    <w:p>
      <w:r>
        <w:t>Angränsande bebyggelseområden med äldre garnisonsbebyggelse karaktäriseras av starka siktlinjer längs stråk i Sveafältet, Lundagård och Kårbacken. Garnisonsbyggnaderna står på en markhöjd om cirka 20 meter och med en byggnadshöjd mellan 15 och 20 meter framträder de som landmärken även på långt håll. Planområdet sluttar ner mot Bodån, och med sin lägre markhöjd är det inte lika framträdande som omgivningen.</w:t>
      </w:r>
    </w:p>
    <w:p>
      <w:r>
        <w:t xml:space="preserve">I den genomförda kulturmiljöutredningen har siktlinjer inifrån och ut från planområdet studerats och redovisats, se följande kartor. </w:t>
      </w:r>
    </w:p>
    <w:p>
      <w:r>
        <w:rPr>
          <w:noProof w:val="1"/>
        </w:rPr>
        <w:drawing>
          <wp:inline xmlns:wp="http://schemas.openxmlformats.org/drawingml/2006/wordprocessingDrawing" distT="0" distB="0" distL="0" distR="0">
            <wp:extent cx="2292985" cy="2988310"/>
            <wp:effectExtent l="0" t="0" r="0" b="2540"/>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6"/>
                    <pic:cNvPicPr/>
                  </pic:nvPicPr>
                  <pic:blipFill dpi="0">
                    <a:blip xmlns:r="http://schemas.openxmlformats.org/officeDocument/2006/relationships" r:embed="Relimage54"/>
                    <a:srcRect/>
                    <a:stretch>
                      <a:fillRect/>
                    </a:stretch>
                  </pic:blipFill>
                  <pic:spPr>
                    <a:xfrm>
                      <a:off x="0" y="0"/>
                      <a:ext cx="2329580" cy="3035945"/>
                    </a:xfrm>
                    <a:prstGeom prst="rect"/>
                  </pic:spPr>
                </pic:pic>
              </a:graphicData>
            </a:graphic>
          </wp:inline>
        </w:drawing>
      </w:r>
      <w:r>
        <w:t xml:space="preserve">  </w:t>
      </w:r>
      <w:r>
        <w:rPr>
          <w:noProof w:val="1"/>
        </w:rPr>
        <w:drawing>
          <wp:inline xmlns:wp="http://schemas.openxmlformats.org/drawingml/2006/wordprocessingDrawing" distT="0" distB="0" distL="0" distR="0">
            <wp:extent cx="2266315" cy="2981960"/>
            <wp:effectExtent l="0" t="0" r="635" b="8890"/>
            <wp:docPr id="63" name="Bildobjekt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7"/>
                    <pic:cNvPicPr/>
                  </pic:nvPicPr>
                  <pic:blipFill dpi="0">
                    <a:blip xmlns:r="http://schemas.openxmlformats.org/officeDocument/2006/relationships" r:embed="Relimage55"/>
                    <a:srcRect/>
                    <a:stretch>
                      <a:fillRect/>
                    </a:stretch>
                  </pic:blipFill>
                  <pic:spPr>
                    <a:xfrm>
                      <a:off x="0" y="0"/>
                      <a:ext cx="2286109" cy="3007650"/>
                    </a:xfrm>
                    <a:prstGeom prst="rect"/>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Siktlinjer inifrån och ut från planområdet hämtade från kulturmiljöutredningen</w:t>
      </w:r>
    </w:p>
    <w:p>
      <w:pPr>
        <w:pStyle w:val="P3"/>
      </w:pPr>
      <w:bookmarkEnd w:id="97"/>
      <w:bookmarkStart w:id="98" w:name="pf_kulturmiljöprogram01"/>
      <w:r>
        <w:t>Norrbottens kulturmiljöprogram</w:t>
      </w:r>
    </w:p>
    <w:p>
      <w:r>
        <w:rPr>
          <w:noProof w:val="1"/>
        </w:rPr>
        <w:drawing>
          <wp:anchor xmlns:wp="http://schemas.openxmlformats.org/drawingml/2006/wordprocessingDrawing" distT="0" distB="0" distL="114300" distR="114300" simplePos="0" relativeHeight="16" behindDoc="0" locked="0" layoutInCell="1" allowOverlap="1">
            <wp:simplePos x="0" y="0"/>
            <wp:positionH relativeFrom="column">
              <wp:posOffset>2167890</wp:posOffset>
            </wp:positionH>
            <wp:positionV relativeFrom="paragraph">
              <wp:posOffset>74295</wp:posOffset>
            </wp:positionV>
            <wp:extent cx="2992120" cy="3189605"/>
            <wp:effectExtent l="0" t="0" r="0" b="0"/>
            <wp:wrapThrough wrapText="bothSides">
              <wp:wrapPolygon edited="0">
                <wp:start x="0" y="0"/>
                <wp:lineTo x="0" y="21415"/>
                <wp:lineTo x="21453" y="21415"/>
                <wp:lineTo x="21453" y="0"/>
                <wp:lineTo x="0" y="0"/>
              </wp:wrapPolygon>
            </wp:wrapThrough>
            <wp:docPr id="24" name="Bildobjekt 24"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En bild som visar diagram&#10;&#10;Automatiskt genererad beskrivning"/>
                    <pic:cNvPicPr/>
                  </pic:nvPicPr>
                  <pic:blipFill dpi="0">
                    <a:blip xmlns:r="http://schemas.openxmlformats.org/officeDocument/2006/relationships" r:embed="Relimage56"/>
                    <a:srcRect/>
                    <a:stretch>
                      <a:fillRect/>
                    </a:stretch>
                  </pic:blipFill>
                  <pic:spPr>
                    <a:xfrm>
                      <a:off x="0" y="0"/>
                      <a:ext cx="2992120" cy="3189605"/>
                    </a:xfrm>
                    <a:prstGeom prst="rect"/>
                  </pic:spPr>
                </pic:pic>
              </a:graphicData>
            </a:graphic>
          </wp:anchor>
        </w:drawing>
      </w:r>
      <w:r>
        <w:t xml:space="preserve">Boden ligger inom riksintresse för kulturmiljövården och är i Norrbottens kulturmiljöprogram (2010–2020, Länsstyrelsen Norrbotten) en utpekad kulturmiljö. Kulturmiljöprogrammet togs fram för att nå nationella och regionala mål och för att främja bevarande, dokumentation, information och tillgängliggörande av kulturmiljöer. </w:t>
      </w:r>
    </w:p>
    <w:p>
      <w:r>
        <w:rPr>
          <w:noProof w:val="1"/>
        </w:rPr>
        <mc:AlternateContent>
          <mc:Choice Requires="wps">
            <w:drawing>
              <wp:anchor xmlns:wp="http://schemas.openxmlformats.org/drawingml/2006/wordprocessingDrawing" distT="0" distB="0" distL="114300" distR="114300" simplePos="0" relativeHeight="23" behindDoc="0" locked="0" layoutInCell="1" allowOverlap="1">
                <wp:simplePos x="0" y="0"/>
                <wp:positionH relativeFrom="column">
                  <wp:posOffset>2195195</wp:posOffset>
                </wp:positionH>
                <wp:positionV relativeFrom="paragraph">
                  <wp:posOffset>930275</wp:posOffset>
                </wp:positionV>
                <wp:extent cx="2988310" cy="873125"/>
                <wp:effectExtent l="0" t="0" r="2540" b="3175"/>
                <wp:wrapThrough wrapText="bothSides">
                  <wp:wrapPolygon edited="0">
                    <wp:start x="0" y="0"/>
                    <wp:lineTo x="0" y="21207"/>
                    <wp:lineTo x="21481" y="21207"/>
                    <wp:lineTo x="21481" y="0"/>
                    <wp:lineTo x="0" y="0"/>
                  </wp:wrapPolygon>
                </wp:wrapThrough>
                <wp:docPr id="46" name="Textruta 46"/>
                <wp:cNvGraphicFramePr/>
                <a:graphic xmlns:a="http://schemas.openxmlformats.org/drawingml/2006/main">
                  <a:graphicData uri="http://schemas.microsoft.com/office/word/2010/wordprocessingShape">
                    <wps:wsp>
                      <wps:cNvSpPr txBox="1"/>
                      <wps:spPr>
                        <a:xfrm>
                          <a:off x="0" y="0"/>
                          <a:ext cx="2988310" cy="87312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noProof w:val="1"/>
                                <w:sz w:val="24"/>
                                <w:lang w:eastAsia="en-US"/>
                              </w:rPr>
                            </w:pPr>
                            <w:r>
                              <w:rPr>
                                <w:b w:val="0"/>
                                <w:i w:val="1"/>
                                <w:bCs w:val="0"/>
                                <w:iCs w:val="1"/>
                                <w:color w:val="auto"/>
                                <w:sz w:val="20"/>
                                <w:szCs w:val="20"/>
                              </w:rPr>
                              <w:t>Avgränsningen för kulturmiljön Lundagård-Sveafält är markerat med röd linje, aktuellt planområde är schematiskt markerat med svartstreckad linje.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46" o:spid="_x0000_s1041" style="position:absolute;width:235.3pt;height:68.75pt;z-index:23;mso-wrap-distance-left:9pt;mso-wrap-distance-top:0pt;mso-wrap-distance-right:9pt;mso-wrap-distance-bottom:0pt;margin-left:172.85pt;margin-top:73.25pt;mso-position-horizontal:absolute;mso-position-horizontal-relative:text;mso-position-vertical:absolute;mso-position-vertical-relative:text" o:allowincell="t" fillcolor="#FFFFFF" stroked="f">
                <v:textbox inset="0mm,0mm,0mm,0mm">
                  <w:txbxContent>
                    <w:p>
                      <w:pPr>
                        <w:pStyle w:val="P50"/>
                        <w:ind w:left="0"/>
                        <w:rPr>
                          <w:noProof w:val="1"/>
                          <w:sz w:val="24"/>
                          <w:lang w:eastAsia="en-US"/>
                        </w:rPr>
                      </w:pPr>
                      <w:r>
                        <w:rPr>
                          <w:b w:val="0"/>
                          <w:i w:val="1"/>
                          <w:bCs w:val="0"/>
                          <w:iCs w:val="1"/>
                          <w:color w:val="auto"/>
                          <w:sz w:val="20"/>
                          <w:szCs w:val="20"/>
                        </w:rPr>
                        <w:t>Avgränsningen för kulturmiljön Lundagård-Sveafält är markerat med röd linje, aktuellt planområde är schematiskt markerat med svartstreckad linje.</w:t>
                      </w:r>
                    </w:p>
                  </w:txbxContent>
                </v:textbox>
                <w10:wrap type="through" anchory="line"/>
              </v:shape>
            </w:pict>
          </mc:Fallback>
        </mc:AlternateContent>
      </w:r>
      <w:r>
        <w:t xml:space="preserve">Det kulturhistoriska värdet i Boden beskrivs som högt genom dess sammanhållna militära miljö med allt från officersbostäder, kaserner, förråd, exercishallar, fort, befästningar och andra i den militära verksamheten nödvändiga byggnader. Sannolikt finns inte inom landet en lika komplex och väl sammanhållen militär miljö med ursprung i det sena 1800-talets fästningsdoktrin. </w:t>
      </w:r>
    </w:p>
    <w:p>
      <w:r>
        <w:t>Kulturmiljön skyddas som ett riksintresse och genom att byggnader värda att bevara klassificeras som byggnadsminnen skyddas dessa enligt kulturminneslagen.</w:t>
      </w:r>
    </w:p>
    <w:p>
      <w:r>
        <w:t xml:space="preserve">I Norrbottens museums rapport </w:t>
      </w:r>
      <w:r>
        <w:rPr>
          <w:i w:val="1"/>
          <w:iCs w:val="1"/>
        </w:rPr>
        <w:t xml:space="preserve">Kulturmiljövärden i Bodens centralort (2015:8) </w:t>
      </w:r>
      <w:r>
        <w:t>beskrivs kulturmiljön ytterligare inom området Lundagård-Sveafält där planområdet ingår. Lundagård-Sveafältet utgörs till stor del av bostadskvarter med inslag av service. I de västra delarna ligger det tidigare sjukhusområdet med viss verksamhet kvar.</w:t>
      </w:r>
    </w:p>
    <w:p>
      <w:r>
        <w:rPr>
          <w:noProof w:val="1"/>
        </w:rPr>
        <w:drawing>
          <wp:anchor xmlns:wp="http://schemas.openxmlformats.org/drawingml/2006/wordprocessingDrawing" distT="0" distB="0" distL="114300" distR="114300" simplePos="0" relativeHeight="10" behindDoc="0" locked="0" layoutInCell="1" allowOverlap="1">
            <wp:simplePos x="0" y="0"/>
            <wp:positionH relativeFrom="column">
              <wp:posOffset>2516505</wp:posOffset>
            </wp:positionH>
            <wp:positionV relativeFrom="paragraph">
              <wp:posOffset>87630</wp:posOffset>
            </wp:positionV>
            <wp:extent cx="2647950" cy="1990725"/>
            <wp:effectExtent l="0" t="0" r="0" b="9525"/>
            <wp:wrapThrough wrapText="bothSides">
              <wp:wrapPolygon edited="0">
                <wp:start x="0" y="0"/>
                <wp:lineTo x="0" y="21497"/>
                <wp:lineTo x="21445" y="21497"/>
                <wp:lineTo x="21445" y="0"/>
                <wp:lineTo x="0" y="0"/>
              </wp:wrapPolygon>
            </wp:wrapThrough>
            <wp:docPr id="26" name="Bildobjekt 26" descr="En bild som visar gräs, träd, utomhus,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descr="En bild som visar gräs, träd, utomhus, växt&#10;&#10;Automatiskt genererad beskrivning"/>
                    <pic:cNvPicPr/>
                  </pic:nvPicPr>
                  <pic:blipFill dpi="0">
                    <a:blip xmlns:r="http://schemas.openxmlformats.org/officeDocument/2006/relationships" r:embed="Relimage57"/>
                    <a:srcRect/>
                    <a:stretch>
                      <a:fillRect/>
                    </a:stretch>
                  </pic:blipFill>
                  <pic:spPr>
                    <a:xfrm>
                      <a:off x="0" y="0"/>
                      <a:ext cx="2647950" cy="1990725"/>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11" behindDoc="0" locked="0" layoutInCell="1" allowOverlap="1">
                <wp:simplePos x="0" y="0"/>
                <wp:positionH relativeFrom="column">
                  <wp:posOffset>2516505</wp:posOffset>
                </wp:positionH>
                <wp:positionV relativeFrom="paragraph">
                  <wp:posOffset>2205355</wp:posOffset>
                </wp:positionV>
                <wp:extent cx="2647950" cy="568960"/>
                <wp:effectExtent l="0" t="0" r="0" b="2540"/>
                <wp:wrapThrough wrapText="bothSides">
                  <wp:wrapPolygon edited="0">
                    <wp:start x="0" y="0"/>
                    <wp:lineTo x="0" y="20973"/>
                    <wp:lineTo x="21445" y="20973"/>
                    <wp:lineTo x="21445" y="0"/>
                    <wp:lineTo x="0" y="0"/>
                  </wp:wrapPolygon>
                </wp:wrapThrough>
                <wp:docPr id="33" name="Textruta 33"/>
                <wp:cNvGraphicFramePr/>
                <a:graphic xmlns:a="http://schemas.openxmlformats.org/drawingml/2006/main">
                  <a:graphicData uri="http://schemas.microsoft.com/office/word/2010/wordprocessingShape">
                    <wps:wsp>
                      <wps:cNvSpPr txBox="1"/>
                      <wps:spPr>
                        <a:xfrm>
                          <a:off x="0" y="0"/>
                          <a:ext cx="2647950" cy="56896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Kapellet vid begravningsplatsen, bild hämtad från 2015:8 Kulturmiljövärden i Bodens centralort (Norrbottens museum, 2015)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33" o:spid="_x0000_s1042" style="position:absolute;width:208.5pt;height:44.8pt;z-index:11;mso-wrap-distance-left:9pt;mso-wrap-distance-top:0pt;mso-wrap-distance-right:9pt;mso-wrap-distance-bottom:0pt;margin-left:198.15pt;margin-top:173.65pt;mso-position-horizontal:absolute;mso-position-horizontal-relative:text;mso-position-vertical:absolute;mso-position-vertical-relative:text" o:allowincell="t" fillcolor="#FFFFFF" stroked="f">
                <v:textbox inset="0mm,0mm,0mm,0mm">
                  <w:txbxContent>
                    <w:p>
                      <w:pPr>
                        <w:pStyle w:val="P50"/>
                        <w:ind w:left="0"/>
                        <w:rPr>
                          <w:b w:val="0"/>
                          <w:i w:val="1"/>
                          <w:bCs w:val="0"/>
                          <w:iCs w:val="1"/>
                          <w:color w:val="auto"/>
                          <w:sz w:val="20"/>
                          <w:szCs w:val="20"/>
                        </w:rPr>
                      </w:pPr>
                      <w:r>
                        <w:rPr>
                          <w:b w:val="0"/>
                          <w:i w:val="1"/>
                          <w:bCs w:val="0"/>
                          <w:iCs w:val="1"/>
                          <w:color w:val="auto"/>
                          <w:sz w:val="20"/>
                          <w:szCs w:val="20"/>
                        </w:rPr>
                        <w:t>Kapellet vid begravningsplatsen, bild hämtad från 2015:8 Kulturmiljövärden i Bodens centralort (Norrbottens museum, 2015)</w:t>
                      </w:r>
                    </w:p>
                  </w:txbxContent>
                </v:textbox>
                <w10:wrap type="through" anchory="line"/>
              </v:shape>
            </w:pict>
          </mc:Fallback>
        </mc:AlternateContent>
      </w:r>
      <w:r>
        <w:t>Längs Bodån, norr om planområdet, ligger Lundagårds begravningsplats. Begravningsplatsen anlades på 1880-talet och kapellet där uppfördes 1913. Lundagårds begravningsplats kan högst troligt räknas som stadens största anlagda grönyta med gångar, häckar, planterade trädrader och naturligtvis gravar, monument och ett kapell som hör till denna typ av anläggningar. Av särskilt intresse är de många gravplatser och monument med koppling till Bodens militära historia. Begravningsplatsen har en klart klassicistisk struktur av räta gångar och kvarter samt med kapellet i skärningspunkten av två huvudaxlar. De norra delarna av Lundagård-Sveafältet, gränsande till järnvägen, är annars de äldsta med bebyggelse från 1910-, 20- och 30-talen. Det är en blandning av egnahem och små, styckbyggda flerbostadshus. Enstaka äldre trähus finns i de äldsta delarna och speglar byggnadsskick och levnadsvillkor i Boden före andra världskriget och det moderna samhället som växte fram efter krigsåren.</w:t>
      </w:r>
    </w:p>
    <w:p>
      <w:r>
        <w:rPr>
          <w:noProof w:val="1"/>
        </w:rPr>
        <w:drawing>
          <wp:anchor xmlns:wp="http://schemas.openxmlformats.org/drawingml/2006/wordprocessingDrawing" distT="0" distB="0" distL="114300" distR="114300" simplePos="0" relativeHeight="13" behindDoc="0" locked="0" layoutInCell="1" allowOverlap="1">
            <wp:simplePos x="0" y="0"/>
            <wp:positionH relativeFrom="column">
              <wp:posOffset>2515235</wp:posOffset>
            </wp:positionH>
            <wp:positionV relativeFrom="paragraph">
              <wp:posOffset>18415</wp:posOffset>
            </wp:positionV>
            <wp:extent cx="2667000" cy="2009775"/>
            <wp:effectExtent l="0" t="0" r="0" b="9525"/>
            <wp:wrapThrough wrapText="bothSides">
              <wp:wrapPolygon edited="0">
                <wp:start x="0" y="0"/>
                <wp:lineTo x="0" y="21498"/>
                <wp:lineTo x="21446" y="21498"/>
                <wp:lineTo x="21446" y="0"/>
                <wp:lineTo x="0" y="0"/>
              </wp:wrapPolygon>
            </wp:wrapThrough>
            <wp:docPr id="36" name="Bildobjekt 36" descr="En bild som visar text, träd, utomhus,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dobjekt 36" descr="En bild som visar text, träd, utomhus, gräs&#10;&#10;Automatiskt genererad beskrivning"/>
                    <pic:cNvPicPr/>
                  </pic:nvPicPr>
                  <pic:blipFill dpi="0">
                    <a:blip xmlns:r="http://schemas.openxmlformats.org/officeDocument/2006/relationships" r:embed="Relimage58"/>
                    <a:srcRect/>
                    <a:stretch>
                      <a:fillRect/>
                    </a:stretch>
                  </pic:blipFill>
                  <pic:spPr>
                    <a:xfrm>
                      <a:off x="0" y="0"/>
                      <a:ext cx="2667000" cy="2009775"/>
                    </a:xfrm>
                    <a:prstGeom prst="rect"/>
                  </pic:spPr>
                </pic:pic>
              </a:graphicData>
            </a:graphic>
          </wp:anchor>
        </w:drawing>
      </w:r>
      <w:r>
        <w:t>Inom området Lundagård–Sveafältet finns två soldathem med stark koppling till stadens militära historia, konung Oscar II:s paviljong (soldathem) från 1912 i slutet av Drottninggatan och Svenska missionsförbundets soldathem från 1919 vid Soldatgatan.</w:t>
      </w:r>
      <w:r>
        <w:rPr>
          <w:noProof w:val="1"/>
        </w:rPr>
        <w:t xml:space="preserve"> </w:t>
      </w:r>
    </w:p>
    <w:p>
      <w:r>
        <w:rPr>
          <w:noProof w:val="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2514600</wp:posOffset>
                </wp:positionH>
                <wp:positionV relativeFrom="paragraph">
                  <wp:posOffset>548005</wp:posOffset>
                </wp:positionV>
                <wp:extent cx="2667000" cy="635"/>
                <wp:effectExtent l="0" t="0" r="0" b="0"/>
                <wp:wrapThrough wrapText="bothSides">
                  <wp:wrapPolygon edited="0">
                    <wp:start x="0" y="0"/>
                    <wp:lineTo x="0" y="20681"/>
                    <wp:lineTo x="21446" y="20681"/>
                    <wp:lineTo x="21446" y="0"/>
                    <wp:lineTo x="0" y="0"/>
                  </wp:wrapPolygon>
                </wp:wrapThrough>
                <wp:docPr id="37" name="Textruta 37"/>
                <wp:cNvGraphicFramePr/>
                <a:graphic xmlns:a="http://schemas.openxmlformats.org/drawingml/2006/main">
                  <a:graphicData uri="http://schemas.microsoft.com/office/word/2010/wordprocessingShape">
                    <wps:wsp>
                      <wps:cNvSpPr txBox="1"/>
                      <wps:spPr>
                        <a:xfrm>
                          <a:off x="0" y="0"/>
                          <a:ext cx="266700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Svenska missionsförbundets soldathem, bild hämtad från 2015:8 Kulturmiljövärden i Bodens centralort (Norrbottens museum, 2015)</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7" o:spid="_x0000_s1043" style="position:absolute;width:210pt;height:0.05pt;z-index:14;mso-wrap-distance-left:9pt;mso-wrap-distance-top:0pt;mso-wrap-distance-right:9pt;mso-wrap-distance-bottom:0pt;margin-left:198pt;margin-top:43.15pt;mso-position-horizontal:absolute;mso-position-horizontal-relative:text;mso-position-vertical:absolute;mso-position-vertical-relative:text" o:allowincell="t" fillcolor="#FFFFFF" stroked="f">
                <v:textbox style="mso-fit-shape-to-text:t" inset="0mm,0mm,0mm,0mm">
                  <w:txbxContent>
                    <w:p>
                      <w:pPr>
                        <w:pStyle w:val="P50"/>
                        <w:ind w:left="0"/>
                        <w:rPr>
                          <w:b w:val="0"/>
                          <w:i w:val="1"/>
                          <w:bCs w:val="0"/>
                          <w:iCs w:val="1"/>
                          <w:color w:val="auto"/>
                          <w:sz w:val="20"/>
                          <w:szCs w:val="20"/>
                        </w:rPr>
                      </w:pPr>
                      <w:r>
                        <w:rPr>
                          <w:b w:val="0"/>
                          <w:i w:val="1"/>
                          <w:bCs w:val="0"/>
                          <w:iCs w:val="1"/>
                          <w:color w:val="auto"/>
                          <w:sz w:val="20"/>
                          <w:szCs w:val="20"/>
                        </w:rPr>
                        <w:t>Svenska missionsförbundets soldathem, bild hämtad från 2015:8 Kulturmiljövärden i Bodens centralort (Norrbottens museum, 2015)</w:t>
                      </w:r>
                    </w:p>
                  </w:txbxContent>
                </v:textbox>
                <w10:wrap type="through" anchory="line"/>
              </v:shape>
            </w:pict>
          </mc:Fallback>
        </mc:AlternateContent>
      </w:r>
      <w:r>
        <w:t>I den övriga bebyggelsen i området ingår flerbostadshus i två våningar från 1940-talet, lamellhus i tre våningar och punkthus i sex våningar från 1950-talet. Under 1960-talet kompletterades området med ytterligare trevånings lamellhus.</w:t>
      </w:r>
    </w:p>
    <w:p>
      <w:r>
        <w:t xml:space="preserve">Arkitektoniskt är det sakligt och enkelt, tegelfasader och ljusa putsfasader samt plåtinklädnad i gult, men samtidigt varierat och livfullt med förskjutna byggnadskroppar och delvis asymmetriska takfall. </w:t>
      </w:r>
    </w:p>
    <w:p>
      <w:r>
        <w:t>De enhetliga tvåvånings lamellhusen längs Soldatgatan hör till den äldsta grupphus-bebyggelsen i Boden och är representativa för sin tid.</w:t>
      </w:r>
    </w:p>
    <w:p>
      <w:pPr>
        <w:pStyle w:val="P50"/>
        <w:ind w:left="0"/>
        <w:rPr>
          <w:b w:val="0"/>
          <w:i w:val="1"/>
          <w:bCs w:val="0"/>
          <w:iCs w:val="1"/>
          <w:color w:val="auto"/>
          <w:sz w:val="20"/>
          <w:szCs w:val="20"/>
        </w:rPr>
      </w:pPr>
      <w:r>
        <w:rPr>
          <w:b w:val="0"/>
          <w:i w:val="1"/>
          <w:bCs w:val="0"/>
          <w:iCs w:val="1"/>
          <w:noProof w:val="1"/>
          <w:color w:val="auto"/>
          <w:sz w:val="20"/>
          <w:szCs w:val="20"/>
        </w:rPr>
        <mc:AlternateContent>
          <mc:Choice Requires="wpg">
            <w:drawing>
              <wp:anchor xmlns:wp="http://schemas.openxmlformats.org/drawingml/2006/wordprocessingDrawing" distT="0" distB="0" distL="114300" distR="114300" simplePos="0" relativeHeight="12" behindDoc="0" locked="0" layoutInCell="1" allowOverlap="1">
                <wp:simplePos x="0" y="0"/>
                <wp:positionH relativeFrom="column">
                  <wp:posOffset>2596515</wp:posOffset>
                </wp:positionH>
                <wp:positionV relativeFrom="paragraph">
                  <wp:posOffset>200660</wp:posOffset>
                </wp:positionV>
                <wp:extent cx="3013075" cy="2486025"/>
                <wp:effectExtent l="0" t="0" r="0" b="9525"/>
                <wp:wrapNone/>
                <wp:docPr id="54" name="Grupp 54"/>
                <wp:cNvGraphicFramePr/>
                <a:graphic xmlns:a="http://schemas.openxmlformats.org/drawingml/2006/main">
                  <a:graphicData uri="http://schemas.microsoft.com/office/word/2010/wordprocessingGroup">
                    <wpg:wgp>
                      <wpg:cNvGrpSpPr/>
                      <wpg:grpSpPr>
                        <a:xfrm>
                          <a:off x="0" y="0"/>
                          <a:ext cx="3013075" cy="2486025"/>
                          <a:chOff x="0" y="0"/>
                          <a:chExt cx="3013546" cy="2474220"/>
                        </a:xfrm>
                      </wpg:grpSpPr>
                      <pic:pic xmlns:pic="http://schemas.openxmlformats.org/drawingml/2006/picture">
                        <pic:nvPicPr>
                          <pic:cNvPr id="29" name="Bildobjekt 29" descr="En bild som visar gräs, utomhus, byggnad, hus&#10;&#10;Automatiskt genererad beskrivning"/>
                          <pic:cNvPicPr>
                            <a:picLocks noChangeAspect="1"/>
                          </pic:cNvPicPr>
                        </pic:nvPicPr>
                        <pic:blipFill dpi="0">
                          <a:blip xmlns:r="http://schemas.openxmlformats.org/officeDocument/2006/relationships" r:embed="Relimage59"/>
                          <a:srcRect/>
                          <a:stretch>
                            <a:fillRect/>
                          </a:stretch>
                        </pic:blipFill>
                        <pic:spPr>
                          <a:xfrm>
                            <a:off x="0" y="0"/>
                            <a:ext cx="2894965" cy="1933575"/>
                          </a:xfrm>
                          <a:prstGeom prst="rect"/>
                        </pic:spPr>
                      </pic:pic>
                      <wps:wsp>
                        <wps:cNvPr id="34" name="Textruta 34"/>
                        <wps:cNvSpPr txBox="1"/>
                        <wps:spPr>
                          <a:xfrm>
                            <a:off x="7950" y="1979407"/>
                            <a:ext cx="3005598" cy="494814"/>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Lamellhus i tre våningar i kvarteret Humlan, bilder hämtade från 2015:8 Kulturmiljövärden i Bodens centralort (Norrbottens museum, 2015)</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54" style="position:absolute;width:237.25pt;height:195.75pt;z-index:12;mso-wrap-distance-left:9pt;mso-wrap-distance-top:0pt;mso-wrap-distance-right:9pt;mso-wrap-distance-bottom:0pt;margin-left:204.45pt;margin-top:15.8pt;mso-position-horizontal:absolute;mso-position-horizontal-relative:text;mso-position-vertical:absolute;mso-position-vertical-relative:text" coordorigin="0,0" coordsize="3013545,2474219" o:allowincell="t">
                <v:shape id="Bildobjekt 29" o:spid="_x0000_s1045" type="#_x0000_t75" alt="En bild som visar gräs, utomhus, byggnad, hus&#10;&#10;Automatiskt genererad beskrivning" style="position:absolute;width:2894965;height:1933575" o:preferrelative="t" stroked="f" o:allowincell="t">
                  <v:imagedata src="Relimage59" o:title=""/>
                  <o:lock aspectratio="t"/>
                </v:shape>
                <v:shape type="#_x0000_t202" id="Textruta 34" o:spid="_x0000_s1046" style="position:absolute;left:7949;top:1979406;width:3005597;height:494813" o:allowincell="t" fillcolor="#FFFFFF" stroked="f">
                  <v:textbox inset="0mm,0mm,0mm,0mm">
                    <w:txbxContent>
                      <w:p>
                        <w:pPr>
                          <w:pStyle w:val="P50"/>
                          <w:ind w:left="0"/>
                          <w:rPr>
                            <w:b w:val="0"/>
                            <w:i w:val="1"/>
                            <w:bCs w:val="0"/>
                            <w:iCs w:val="1"/>
                            <w:color w:val="auto"/>
                            <w:sz w:val="20"/>
                            <w:szCs w:val="20"/>
                          </w:rPr>
                        </w:pPr>
                        <w:r>
                          <w:rPr>
                            <w:b w:val="0"/>
                            <w:i w:val="1"/>
                            <w:bCs w:val="0"/>
                            <w:iCs w:val="1"/>
                            <w:color w:val="auto"/>
                            <w:sz w:val="20"/>
                            <w:szCs w:val="20"/>
                          </w:rPr>
                          <w:t>Lamellhus i tre våningar i kvarteret Humlan, bilder hämtade från 2015:8 Kulturmiljövärden i Bodens centralort (Norrbottens museum, 2015)</w:t>
                        </w:r>
                      </w:p>
                    </w:txbxContent>
                  </v:textbox>
                </v:shape>
              </v:group>
            </w:pict>
          </mc:Fallback>
        </mc:AlternateContent>
      </w:r>
      <w:r>
        <w:rPr>
          <w:b w:val="0"/>
          <w:i w:val="1"/>
          <w:bCs w:val="0"/>
          <w:iCs w:val="1"/>
          <w:noProof w:val="1"/>
          <w:color w:val="auto"/>
          <w:sz w:val="20"/>
          <w:szCs w:val="20"/>
        </w:rPr>
        <mc:AlternateContent>
          <mc:Choice Requires="wpg">
            <w:drawing>
              <wp:anchor xmlns:wp="http://schemas.openxmlformats.org/drawingml/2006/wordprocessingDrawing" distT="0" distB="0" distL="114300" distR="114300" simplePos="0" relativeHeight="24" behindDoc="0" locked="0" layoutInCell="1" allowOverlap="1">
                <wp:simplePos x="0" y="0"/>
                <wp:positionH relativeFrom="column">
                  <wp:posOffset>-413385</wp:posOffset>
                </wp:positionH>
                <wp:positionV relativeFrom="paragraph">
                  <wp:posOffset>210185</wp:posOffset>
                </wp:positionV>
                <wp:extent cx="2892425" cy="2181225"/>
                <wp:effectExtent l="0" t="0" r="3175" b="9525"/>
                <wp:wrapNone/>
                <wp:docPr id="52" name="Grupp 52"/>
                <wp:cNvGraphicFramePr/>
                <a:graphic xmlns:a="http://schemas.openxmlformats.org/drawingml/2006/main">
                  <a:graphicData uri="http://schemas.microsoft.com/office/word/2010/wordprocessingGroup">
                    <wpg:wgp>
                      <wpg:cNvGrpSpPr/>
                      <wpg:grpSpPr>
                        <a:xfrm>
                          <a:off x="0" y="0"/>
                          <a:ext cx="2892425" cy="2181225"/>
                          <a:chOff x="0" y="0"/>
                          <a:chExt cx="2892781" cy="2181225"/>
                        </a:xfrm>
                      </wpg:grpSpPr>
                      <pic:pic xmlns:pic="http://schemas.openxmlformats.org/drawingml/2006/picture">
                        <pic:nvPicPr>
                          <pic:cNvPr id="28" name="Bildobjekt 28" descr="En bild som visar text, utomhus, väg, gata&#10;&#10;Automatiskt genererad beskrivning"/>
                          <pic:cNvPicPr>
                            <a:picLocks noChangeAspect="1"/>
                          </pic:cNvPicPr>
                        </pic:nvPicPr>
                        <pic:blipFill dpi="0">
                          <a:blip xmlns:r="http://schemas.openxmlformats.org/officeDocument/2006/relationships" r:embed="Relimage60"/>
                          <a:srcRect l="20791" t="1" b="5904"/>
                          <a:stretch>
                            <a:fillRect/>
                          </a:stretch>
                        </pic:blipFill>
                        <pic:spPr bwMode="auto">
                          <a:xfrm>
                            <a:off x="0" y="0"/>
                            <a:ext cx="2872105" cy="1917700"/>
                          </a:xfrm>
                          <a:prstGeom prst="rect"/>
                          <a:ln>
                            <a:noFill/>
                          </a:ln>
                        </pic:spPr>
                      </pic:pic>
                      <wps:wsp>
                        <wps:cNvPr id="47" name="Textruta 47"/>
                        <wps:cNvSpPr txBox="1"/>
                        <wps:spPr>
                          <a:xfrm>
                            <a:off x="31801" y="1955519"/>
                            <a:ext cx="2860978" cy="225707"/>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Sex likadana tvåvåningshus på rad längs Soldatgatan</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52" style="position:absolute;width:227.75pt;height:171.75pt;z-index:24;mso-wrap-distance-left:9pt;mso-wrap-distance-top:0pt;mso-wrap-distance-right:9pt;mso-wrap-distance-bottom:0pt;margin-left:-32.55pt;margin-top:16.55pt;mso-position-horizontal:absolute;mso-position-horizontal-relative:text;mso-position-vertical:absolute;mso-position-vertical-relative:text" coordorigin="0,0" coordsize="2892780,2181225" o:allowincell="t">
                <v:shape id="Bildobjekt 28" o:spid="_x0000_s1048" type="#_x0000_t75" alt="En bild som visar text, utomhus, väg, gata&#10;&#10;Automatiskt genererad beskrivning" style="position:absolute;width:2872105;height:1917700" o:preferrelative="t" stroked="f" o:allowincell="t">
                  <v:imagedata src="Relimage60" o:title="" croptop="1f" cropbottom="3869f" cropleft="13626f" cropright="0f"/>
                  <o:lock aspectratio="t"/>
                </v:shape>
                <v:shape type="#_x0000_t202" id="Textruta 47" o:spid="_x0000_s1049" style="position:absolute;left:31800;top:1955518;width:2860977;height:225706" o:allowincell="t" fillcolor="#FFFFFF" stroked="f">
                  <v:textbox inset="0mm,0mm,0mm,0mm">
                    <w:txbxContent>
                      <w:p>
                        <w:pPr>
                          <w:pStyle w:val="P50"/>
                          <w:ind w:left="0"/>
                          <w:rPr>
                            <w:b w:val="0"/>
                            <w:i w:val="1"/>
                            <w:bCs w:val="0"/>
                            <w:iCs w:val="1"/>
                            <w:color w:val="auto"/>
                            <w:sz w:val="20"/>
                            <w:szCs w:val="20"/>
                          </w:rPr>
                        </w:pPr>
                        <w:r>
                          <w:rPr>
                            <w:b w:val="0"/>
                            <w:i w:val="1"/>
                            <w:bCs w:val="0"/>
                            <w:iCs w:val="1"/>
                            <w:color w:val="auto"/>
                            <w:sz w:val="20"/>
                            <w:szCs w:val="20"/>
                          </w:rPr>
                          <w:t>Sex likadana tvåvåningshus på rad längs Soldatgatan</w:t>
                        </w:r>
                      </w:p>
                    </w:txbxContent>
                  </v:textbox>
                </v:shape>
              </v:group>
            </w:pict>
          </mc:Fallback>
        </mc:AlternateContent>
      </w:r>
    </w:p>
    <w:p>
      <w:pPr>
        <w:pStyle w:val="P50"/>
        <w:ind w:left="0"/>
        <w:rPr>
          <w:b w:val="0"/>
          <w:i w:val="1"/>
          <w:bCs w:val="0"/>
          <w:iCs w:val="1"/>
          <w:color w:val="auto"/>
          <w:sz w:val="20"/>
          <w:szCs w:val="20"/>
        </w:rPr>
      </w:pPr>
    </w:p>
    <w:p>
      <w:pPr>
        <w:pStyle w:val="P50"/>
        <w:ind w:left="0"/>
        <w:rPr>
          <w:b w:val="0"/>
          <w:i w:val="1"/>
          <w:bCs w:val="0"/>
          <w:iCs w:val="1"/>
          <w:color w:val="auto"/>
          <w:sz w:val="20"/>
          <w:szCs w:val="20"/>
        </w:rPr>
      </w:pPr>
    </w:p>
    <w:p>
      <w:pPr>
        <w:pStyle w:val="P50"/>
        <w:ind w:left="0"/>
        <w:rPr>
          <w:b w:val="0"/>
          <w:i w:val="1"/>
          <w:bCs w:val="0"/>
          <w:iCs w:val="1"/>
          <w:color w:val="auto"/>
          <w:sz w:val="20"/>
          <w:szCs w:val="20"/>
        </w:rPr>
      </w:pPr>
    </w:p>
    <w:p>
      <w:pPr>
        <w:pStyle w:val="P50"/>
        <w:ind w:left="0"/>
        <w:rPr>
          <w:b w:val="0"/>
          <w:i w:val="1"/>
          <w:bCs w:val="0"/>
          <w:iCs w:val="1"/>
          <w:color w:val="auto"/>
          <w:sz w:val="20"/>
          <w:szCs w:val="20"/>
        </w:rPr>
      </w:pPr>
    </w:p>
    <w:p>
      <w:pPr>
        <w:pStyle w:val="P50"/>
        <w:ind w:left="0"/>
        <w:rPr>
          <w:b w:val="0"/>
          <w:i w:val="1"/>
          <w:bCs w:val="0"/>
          <w:iCs w:val="1"/>
          <w:color w:val="auto"/>
          <w:sz w:val="20"/>
          <w:szCs w:val="20"/>
        </w:rPr>
      </w:pPr>
    </w:p>
    <w:p>
      <w:pPr>
        <w:pStyle w:val="P50"/>
        <w:ind w:left="0"/>
        <w:rPr>
          <w:b w:val="0"/>
          <w:i w:val="1"/>
          <w:bCs w:val="0"/>
          <w:iCs w:val="1"/>
          <w:color w:val="auto"/>
          <w:sz w:val="20"/>
          <w:szCs w:val="20"/>
        </w:rPr>
      </w:pPr>
    </w:p>
    <w:p>
      <w:pPr>
        <w:pStyle w:val="P50"/>
        <w:ind w:left="0"/>
        <w:rPr>
          <w:b w:val="0"/>
          <w:i w:val="1"/>
          <w:bCs w:val="0"/>
          <w:iCs w:val="1"/>
          <w:color w:val="auto"/>
          <w:sz w:val="20"/>
          <w:szCs w:val="20"/>
        </w:rPr>
      </w:pPr>
      <w:r>
        <w:rPr>
          <w:b w:val="0"/>
          <w:i w:val="1"/>
          <w:bCs w:val="0"/>
          <w:iCs w:val="1"/>
          <w:color w:val="auto"/>
          <w:sz w:val="20"/>
          <w:szCs w:val="20"/>
        </w:rPr>
        <w:t xml:space="preserve"> </w:t>
      </w:r>
    </w:p>
    <w:p/>
    <w:p>
      <w:r>
        <w:rPr>
          <w:b w:val="1"/>
          <w:i w:val="1"/>
          <w:bCs w:val="1"/>
          <w:iCs w:val="1"/>
          <w:noProof w:val="1"/>
          <w:sz w:val="20"/>
          <w:szCs w:val="20"/>
        </w:rPr>
        <mc:AlternateContent>
          <mc:Choice Requires="wpg">
            <w:drawing>
              <wp:anchor xmlns:wp="http://schemas.openxmlformats.org/drawingml/2006/wordprocessingDrawing" distT="0" distB="0" distL="114300" distR="114300" simplePos="0" relativeHeight="30" behindDoc="0" locked="0" layoutInCell="1" allowOverlap="1">
                <wp:simplePos x="0" y="0"/>
                <wp:positionH relativeFrom="column">
                  <wp:posOffset>2606040</wp:posOffset>
                </wp:positionH>
                <wp:positionV relativeFrom="paragraph">
                  <wp:posOffset>374650</wp:posOffset>
                </wp:positionV>
                <wp:extent cx="3260725" cy="2352675"/>
                <wp:effectExtent l="0" t="0" r="0" b="9525"/>
                <wp:wrapNone/>
                <wp:docPr id="62" name="Grupp 62"/>
                <wp:cNvGraphicFramePr/>
                <a:graphic xmlns:a="http://schemas.openxmlformats.org/drawingml/2006/main">
                  <a:graphicData uri="http://schemas.microsoft.com/office/word/2010/wordprocessingGroup">
                    <wpg:wgp>
                      <wpg:cNvGrpSpPr/>
                      <wpg:grpSpPr>
                        <a:xfrm>
                          <a:off x="0" y="0"/>
                          <a:ext cx="3260725" cy="2352675"/>
                          <a:chOff x="-11042" y="0"/>
                          <a:chExt cx="3243580" cy="2308778"/>
                        </a:xfrm>
                      </wpg:grpSpPr>
                      <pic:pic xmlns:pic="http://schemas.openxmlformats.org/drawingml/2006/picture">
                        <pic:nvPicPr>
                          <pic:cNvPr id="31" name="Bildobjekt 31" descr="En bild som visar gräs, utomhus, himmel, träd&#10;&#10;Automatiskt genererad beskrivning"/>
                          <pic:cNvPicPr>
                            <a:picLocks noChangeAspect="1"/>
                          </pic:cNvPicPr>
                        </pic:nvPicPr>
                        <pic:blipFill dpi="0">
                          <a:blip xmlns:r="http://schemas.openxmlformats.org/officeDocument/2006/relationships" r:embed="Relimage61"/>
                          <a:srcRect l="6437" t="16726" r="25682" b="15193"/>
                          <a:stretch>
                            <a:fillRect/>
                          </a:stretch>
                        </pic:blipFill>
                        <pic:spPr bwMode="auto">
                          <a:xfrm>
                            <a:off x="23854" y="0"/>
                            <a:ext cx="2813050" cy="1878965"/>
                          </a:xfrm>
                          <a:prstGeom prst="rect"/>
                          <a:ln>
                            <a:noFill/>
                          </a:ln>
                        </pic:spPr>
                      </pic:pic>
                      <wps:wsp>
                        <wps:cNvPr id="55" name="Textruta 55"/>
                        <wps:cNvSpPr txBox="1"/>
                        <wps:spPr>
                          <a:xfrm>
                            <a:off x="-11042" y="1878965"/>
                            <a:ext cx="3243580" cy="429812"/>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Sjuksköterskeskola och elevhem i tre respektive sex våningar, bild hämtad från 2015:8 Kulturmiljövärden i Bodens centralort (Norrbottens museum, 2015)</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62" style="position:absolute;width:256.75pt;height:185.25pt;z-index:30;mso-wrap-distance-left:9pt;mso-wrap-distance-top:0pt;mso-wrap-distance-right:9pt;mso-wrap-distance-bottom:0pt;margin-left:205.2pt;margin-top:29.5pt;mso-position-horizontal:absolute;mso-position-horizontal-relative:text;mso-position-vertical:absolute;mso-position-vertical-relative:text" coordorigin="-11042,0" coordsize="3243580,2308777" o:allowincell="t">
                <v:shape id="Bildobjekt 31" o:spid="_x0000_s1051" type="#_x0000_t75" alt="En bild som visar gräs, utomhus, himmel, träd&#10;&#10;Automatiskt genererad beskrivning" style="position:absolute;left:23853;width:2813050;height:1878965" o:preferrelative="t" stroked="f" o:allowincell="t">
                  <v:imagedata src="Relimage61" o:title="" croptop="10962f" cropbottom="9957f" cropleft="4219f" cropright="16831f"/>
                  <o:lock aspectratio="t"/>
                </v:shape>
                <v:shape type="#_x0000_t202" id="Textruta 55" o:spid="_x0000_s1052" style="position:absolute;left:-11042;top:1878965;width:3243580;height:429811" o:allowincell="t" fillcolor="#FFFFFF" stroked="f">
                  <v:textbox inset="0mm,0mm,0mm,0mm">
                    <w:txbxContent>
                      <w:p>
                        <w:pPr>
                          <w:pStyle w:val="P50"/>
                          <w:ind w:left="0"/>
                          <w:rPr>
                            <w:b w:val="0"/>
                            <w:i w:val="1"/>
                            <w:bCs w:val="0"/>
                            <w:iCs w:val="1"/>
                            <w:color w:val="auto"/>
                            <w:sz w:val="20"/>
                            <w:szCs w:val="20"/>
                          </w:rPr>
                        </w:pPr>
                        <w:r>
                          <w:rPr>
                            <w:b w:val="0"/>
                            <w:i w:val="1"/>
                            <w:bCs w:val="0"/>
                            <w:iCs w:val="1"/>
                            <w:color w:val="auto"/>
                            <w:sz w:val="20"/>
                            <w:szCs w:val="20"/>
                          </w:rPr>
                          <w:t>Sjuksköterskeskola och elevhem i tre respektive sex våningar, bild hämtad från 2015:8 Kulturmiljövärden i Bodens centralort (Norrbottens museum, 2015)</w:t>
                        </w:r>
                      </w:p>
                    </w:txbxContent>
                  </v:textbox>
                </v:shape>
              </v:group>
            </w:pict>
          </mc:Fallback>
        </mc:AlternateContent>
      </w:r>
    </w:p>
    <w:p>
      <w:r>
        <w:rPr>
          <w:b w:val="1"/>
          <w:i w:val="1"/>
          <w:bCs w:val="1"/>
          <w:iCs w:val="1"/>
          <w:noProof w:val="1"/>
          <w:sz w:val="20"/>
          <w:szCs w:val="20"/>
        </w:rPr>
        <mc:AlternateContent>
          <mc:Choice Requires="wpg">
            <w:drawing>
              <wp:anchor xmlns:wp="http://schemas.openxmlformats.org/drawingml/2006/wordprocessingDrawing" distT="0" distB="0" distL="114300" distR="114300" simplePos="0" relativeHeight="29" behindDoc="0" locked="0" layoutInCell="1" allowOverlap="1">
                <wp:simplePos x="0" y="0"/>
                <wp:positionH relativeFrom="column">
                  <wp:posOffset>-425450</wp:posOffset>
                </wp:positionH>
                <wp:positionV relativeFrom="paragraph">
                  <wp:posOffset>46355</wp:posOffset>
                </wp:positionV>
                <wp:extent cx="2900680" cy="2447290"/>
                <wp:effectExtent l="0" t="0" r="0" b="0"/>
                <wp:wrapTopAndBottom/>
                <wp:docPr id="60" name="Grupp 60"/>
                <wp:cNvGraphicFramePr/>
                <a:graphic xmlns:a="http://schemas.openxmlformats.org/drawingml/2006/main">
                  <a:graphicData uri="http://schemas.microsoft.com/office/word/2010/wordprocessingGroup">
                    <wpg:wgp>
                      <wpg:cNvGrpSpPr/>
                      <wpg:grpSpPr>
                        <a:xfrm>
                          <a:off x="0" y="0"/>
                          <a:ext cx="2900680" cy="2447290"/>
                          <a:chOff x="0" y="0"/>
                          <a:chExt cx="2828290" cy="2417319"/>
                        </a:xfrm>
                      </wpg:grpSpPr>
                      <wps:wsp>
                        <wps:cNvPr id="35" name="Textruta 35"/>
                        <wps:cNvSpPr txBox="1"/>
                        <wps:spPr>
                          <a:xfrm>
                            <a:off x="0" y="1937015"/>
                            <a:ext cx="2828290" cy="48030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50"/>
                                <w:ind w:left="0"/>
                                <w:rPr>
                                  <w:b w:val="0"/>
                                  <w:i w:val="1"/>
                                  <w:bCs w:val="0"/>
                                  <w:iCs w:val="1"/>
                                  <w:color w:val="auto"/>
                                  <w:sz w:val="20"/>
                                  <w:szCs w:val="20"/>
                                </w:rPr>
                              </w:pPr>
                              <w:r>
                                <w:rPr>
                                  <w:b w:val="0"/>
                                  <w:i w:val="1"/>
                                  <w:bCs w:val="0"/>
                                  <w:iCs w:val="1"/>
                                  <w:color w:val="auto"/>
                                  <w:sz w:val="20"/>
                                  <w:szCs w:val="20"/>
                                </w:rPr>
                                <w:t>Punkthus i sex våningar bild hämtad från 2015:8 Kulturmiljövärden i Bodens centralort (Norrbottens museum, 2015)</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30" name="Bildobjekt 30" descr="En bild som visar text, byggnad, utomhus, väg&#10;&#10;Automatiskt genererad beskrivning"/>
                          <pic:cNvPicPr>
                            <a:picLocks noChangeAspect="1"/>
                          </pic:cNvPicPr>
                        </pic:nvPicPr>
                        <pic:blipFill dpi="0">
                          <a:blip xmlns:r="http://schemas.openxmlformats.org/officeDocument/2006/relationships" r:embed="Relimage62"/>
                          <a:srcRect l="2487" t="8614" b="3719"/>
                          <a:stretch>
                            <a:fillRect/>
                          </a:stretch>
                        </pic:blipFill>
                        <pic:spPr bwMode="auto">
                          <a:xfrm>
                            <a:off x="0" y="0"/>
                            <a:ext cx="2828290" cy="1887220"/>
                          </a:xfrm>
                          <a:prstGeom prst="rect"/>
                          <a:ln>
                            <a:noFill/>
                          </a:ln>
                        </pic:spPr>
                      </pic:pic>
                    </wpg:wgp>
                  </a:graphicData>
                </a:graphic>
              </wp:anchor>
            </w:drawing>
          </mc:Choice>
          <mc:Fallback>
            <w:pict>
              <v:group xmlns:o="urn:schemas-microsoft-com:office:office" id="Grupp 60" style="position:absolute;width:228.4pt;height:192.7pt;z-index:29;mso-wrap-distance-left:9pt;mso-wrap-distance-top:0pt;mso-wrap-distance-right:9pt;mso-wrap-distance-bottom:0pt;margin-left:-33.5pt;margin-top:3.65pt;mso-position-horizontal:absolute;mso-position-horizontal-relative:text;mso-position-vertical:absolute;mso-position-vertical-relative:text" coordorigin="0,0" coordsize="2828290,2417318" o:allowincell="t">
                <v:shape type="#_x0000_t202" id="Textruta 35" o:spid="_x0000_s1054" style="position:absolute;top:1937014;width:2828290;height:480304" o:allowincell="t" fillcolor="#FFFFFF" stroked="f">
                  <v:textbox inset="0mm,0mm,0mm,0mm">
                    <w:txbxContent>
                      <w:p>
                        <w:pPr>
                          <w:pStyle w:val="P50"/>
                          <w:ind w:left="0"/>
                          <w:rPr>
                            <w:b w:val="0"/>
                            <w:i w:val="1"/>
                            <w:bCs w:val="0"/>
                            <w:iCs w:val="1"/>
                            <w:color w:val="auto"/>
                            <w:sz w:val="20"/>
                            <w:szCs w:val="20"/>
                          </w:rPr>
                        </w:pPr>
                        <w:r>
                          <w:rPr>
                            <w:b w:val="0"/>
                            <w:i w:val="1"/>
                            <w:bCs w:val="0"/>
                            <w:iCs w:val="1"/>
                            <w:color w:val="auto"/>
                            <w:sz w:val="20"/>
                            <w:szCs w:val="20"/>
                          </w:rPr>
                          <w:t>Punkthus i sex våningar bild hämtad från 2015:8 Kulturmiljövärden i Bodens centralort (Norrbottens museum, 2015)</w:t>
                        </w:r>
                      </w:p>
                    </w:txbxContent>
                  </v:textbox>
                  <w10:wrap type="topAndBottom"/>
                </v:shape>
                <v:shape id="Bildobjekt 30" o:spid="_x0000_s1055" type="#_x0000_t75" alt="En bild som visar text, byggnad, utomhus, väg&#10;&#10;Automatiskt genererad beskrivning" style="position:absolute;width:2828290;height:1887220" o:preferrelative="t" stroked="f" o:allowincell="t">
                  <v:imagedata src="Relimage62" o:title="" croptop="5645f" cropbottom="2437f" cropleft="1630f" cropright="0f"/>
                  <w10:wrap type="topAndBottom"/>
                  <o:lock aspectratio="t"/>
                </v:shape>
              </v:group>
            </w:pict>
          </mc:Fallback>
        </mc:AlternateContent>
      </w:r>
    </w:p>
    <w:p>
      <w:r>
        <w:t xml:space="preserve">Kyrkogårdsgatan som går längs aktuellt planområdes västra sida är en del av den gamla vägen som från Boden gick förbi prästgården på Rävnäset, över Bodån och vidare till Bodsvedjan. </w:t>
      </w:r>
    </w:p>
    <w:p>
      <w:pPr>
        <w:pStyle w:val="P3"/>
      </w:pPr>
      <w:bookmarkEnd w:id="98"/>
      <w:bookmarkStart w:id="99" w:name="pf_fornlämningar01"/>
      <w:r>
        <w:t>Fornlämningar</w:t>
      </w:r>
    </w:p>
    <w:p>
      <w:r>
        <w:t>Det finns inga kända fornlämningar inom planområdet. I de fall fornlämningar skulle påträffas i samband med markarbeten inom planområdet, måste arbetet omedelbart stoppas och anmälan göras till Länsstyrelsen i enlighet med 2 kap 10 § kulturmiljölagen (1988:950).</w:t>
      </w:r>
    </w:p>
    <w:p>
      <w:pPr>
        <w:pStyle w:val="P2"/>
      </w:pPr>
      <w:bookmarkEnd w:id="94"/>
      <w:bookmarkEnd w:id="99"/>
      <w:bookmarkStart w:id="100" w:name="pf_sociala01"/>
      <w:bookmarkStart w:id="101" w:name="pf_barnkonventionen01"/>
      <w:r>
        <w:t>Sociala aspekter</w:t>
      </w:r>
    </w:p>
    <w:p>
      <w:pPr>
        <w:pStyle w:val="P3"/>
      </w:pPr>
      <w:r>
        <w:t>Barnkonventionen</w:t>
      </w:r>
    </w:p>
    <w:p>
      <w:r>
        <w:t>Den första januari 2020 blev Barnkonventionen lag i Sverige, vilken syftar till att stärka barns rättigheter samt att lagstifta om att beslut som rör barn ska bestämmas med barnets bästa i beaktning. Barnkonventionen ger en definition av det enskilda barnets rättigheter i samhället och syftar bland annat till att ge barn och unga mellan 0–18 år, oavsett bakgrund, rätt att behandlas med respekt och att få komma till tals.</w:t>
      </w:r>
    </w:p>
    <w:p>
      <w:r>
        <w:t>Alla rättigheter i barnkonventionen är viktiga och skapar en helhet. Men det finns fyra artiklar som är centrala och utgör konventionens grundprinciper. Dessa är artiklarna 2, 3, 6 och 12:</w:t>
      </w:r>
    </w:p>
    <w:p>
      <w:pPr>
        <w:ind w:firstLine="720"/>
        <w:rPr>
          <w:rFonts w:ascii="Times New Roman" w:hAnsi="Times New Roman"/>
          <w:i w:val="1"/>
          <w:iCs w:val="1"/>
          <w:color w:val="000000"/>
        </w:rPr>
      </w:pPr>
      <w:r>
        <w:rPr>
          <w:rFonts w:ascii="Times New Roman" w:hAnsi="Times New Roman"/>
          <w:i w:val="1"/>
          <w:iCs w:val="1"/>
          <w:color w:val="000000"/>
        </w:rPr>
        <w:t xml:space="preserve">Artikel 2. Alla barn har samma rättigheter och lika värde </w:t>
      </w:r>
    </w:p>
    <w:p>
      <w:pPr>
        <w:ind w:firstLine="720"/>
        <w:rPr>
          <w:rFonts w:ascii="Times New Roman" w:hAnsi="Times New Roman"/>
          <w:i w:val="1"/>
          <w:iCs w:val="1"/>
          <w:color w:val="000000"/>
        </w:rPr>
      </w:pPr>
      <w:r>
        <w:rPr>
          <w:rFonts w:ascii="Times New Roman" w:hAnsi="Times New Roman"/>
          <w:i w:val="1"/>
          <w:iCs w:val="1"/>
          <w:color w:val="000000"/>
        </w:rPr>
        <w:t xml:space="preserve">Artikel 3. Barnets bästa ska alltid komma först </w:t>
      </w:r>
    </w:p>
    <w:p>
      <w:pPr>
        <w:ind w:firstLine="720"/>
        <w:rPr>
          <w:rFonts w:ascii="Times New Roman" w:hAnsi="Times New Roman"/>
          <w:i w:val="1"/>
          <w:iCs w:val="1"/>
          <w:color w:val="000000"/>
        </w:rPr>
      </w:pPr>
      <w:r>
        <w:rPr>
          <w:rFonts w:ascii="Times New Roman" w:hAnsi="Times New Roman"/>
          <w:i w:val="1"/>
          <w:iCs w:val="1"/>
          <w:color w:val="000000"/>
        </w:rPr>
        <w:t xml:space="preserve">Artikel 6. Alla barn har rätt att säga vad de tycker i frågor som berör dem </w:t>
      </w:r>
    </w:p>
    <w:p>
      <w:pPr>
        <w:ind w:firstLine="720"/>
        <w:rPr>
          <w:rFonts w:ascii="Times New Roman" w:hAnsi="Times New Roman"/>
          <w:i w:val="1"/>
          <w:iCs w:val="1"/>
          <w:color w:val="000000"/>
        </w:rPr>
      </w:pPr>
      <w:r>
        <w:rPr>
          <w:rFonts w:ascii="Times New Roman" w:hAnsi="Times New Roman"/>
          <w:i w:val="1"/>
          <w:iCs w:val="1"/>
          <w:color w:val="000000"/>
        </w:rPr>
        <w:t xml:space="preserve">Artikel 12. Alla barn har rätt till lek, vila och fritid </w:t>
      </w:r>
    </w:p>
    <w:p>
      <w:r>
        <w:t>Att Barnkonventionen blev lag påverkar exempelvis utbildningspolitik och socialtjänst starkt, men kommer även att påverka hur vi planerar och bygger våra städer.</w:t>
      </w:r>
    </w:p>
    <w:p>
      <w:r>
        <w:t>Planområdet är till stor del inhägnat och i dagsläget inte allmänt tillgängligt.</w:t>
      </w:r>
      <w:bookmarkStart w:id="102" w:name="pf_trafik01"/>
    </w:p>
    <w:p>
      <w:pPr>
        <w:pStyle w:val="P2"/>
      </w:pPr>
      <w:bookmarkEnd w:id="100"/>
      <w:bookmarkEnd w:id="101"/>
      <w:r>
        <w:t>Gator och trafik</w:t>
      </w:r>
    </w:p>
    <w:p>
      <w:pPr>
        <w:pStyle w:val="P3"/>
      </w:pPr>
      <w:bookmarkStart w:id="103" w:name="pf_kollektivtrafik01"/>
      <w:r>
        <w:t>Kollektivtrafik</w:t>
      </w:r>
    </w:p>
    <w:p>
      <w:r>
        <w:t>Söder om planområdet längs med Sveavägen finns busshållplatser som trafikeras med linje 1.</w:t>
      </w:r>
    </w:p>
    <w:p>
      <w:pPr>
        <w:pStyle w:val="P3"/>
      </w:pPr>
      <w:bookmarkEnd w:id="103"/>
      <w:bookmarkStart w:id="104" w:name="pf_parkeringochutfarter01"/>
      <w:r>
        <w:t>Biltrafik och parkering</w:t>
      </w:r>
    </w:p>
    <w:p>
      <w:pPr>
        <w:keepNext w:val="1"/>
        <w:rPr>
          <w:szCs w:val="24"/>
        </w:rPr>
      </w:pPr>
      <w:r>
        <w:rPr>
          <w:szCs w:val="24"/>
        </w:rPr>
        <w:t>Infart till området sker i nuläget via Sveavägen men avses ske från Kyrkogårdsgatan och parkering ska anordnas inom kvartersmark och följa kommunens parkeringsnorm.</w:t>
      </w:r>
    </w:p>
    <w:p>
      <w:pPr>
        <w:pStyle w:val="P3"/>
      </w:pPr>
      <w:bookmarkEnd w:id="104"/>
      <w:bookmarkStart w:id="105" w:name="pf_gångochcykeltrafik01"/>
      <w:r>
        <w:t>Gång- och cykeltrafik</w:t>
      </w:r>
    </w:p>
    <w:p>
      <w:r>
        <w:t>Befintliga gång- och cykelstråk samt god kollektivtrafiknyttjande finns i nära anslutning till planområdet och påverkas inte av planens utformning.</w:t>
      </w:r>
    </w:p>
    <w:p>
      <w:pPr>
        <w:pStyle w:val="P2"/>
      </w:pPr>
      <w:bookmarkEnd w:id="102"/>
      <w:bookmarkEnd w:id="105"/>
      <w:bookmarkStart w:id="106" w:name="pf_fysiskmiljö01"/>
      <w:r>
        <w:t>Bebyggelseområden</w:t>
      </w:r>
    </w:p>
    <w:p>
      <w:r>
        <w:t>På området står i nuläget tre byggnader, två förrådsbyggnader och en utbildningslokal, som lämnats kvar från Försvarsmaktens tid. Kommunen nyttjar förrådsbyggnad men i övrigt står området outnyttjat.</w:t>
      </w:r>
    </w:p>
    <w:p>
      <w:pPr>
        <w:pStyle w:val="P50"/>
        <w:spacing w:after="0" w:beforeAutospacing="0" w:afterAutospacing="0"/>
        <w:ind w:left="0"/>
        <w:rPr>
          <w:b w:val="0"/>
          <w:bCs w:val="0"/>
          <w:color w:val="auto"/>
          <w:sz w:val="16"/>
          <w:szCs w:val="16"/>
        </w:rPr>
      </w:pPr>
      <w:r>
        <w:rPr>
          <w:b w:val="0"/>
          <w:bCs w:val="0"/>
          <w:noProof w:val="1"/>
          <w:color w:val="auto"/>
          <w:sz w:val="16"/>
          <w:szCs w:val="16"/>
        </w:rPr>
        <w:drawing>
          <wp:inline xmlns:wp="http://schemas.openxmlformats.org/drawingml/2006/wordprocessingDrawing" distT="0" distB="0" distL="0" distR="0">
            <wp:extent cx="5144770" cy="2225040"/>
            <wp:effectExtent l="0" t="0" r="0" b="3810"/>
            <wp:docPr id="1595010749" name="Bildobjekt 159501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63"/>
                    <a:srcRect t="33215" b="1980"/>
                    <a:stretch>
                      <a:fillRect/>
                    </a:stretch>
                  </pic:blipFill>
                  <pic:spPr bwMode="auto">
                    <a:xfrm>
                      <a:off x="0" y="0"/>
                      <a:ext cx="5179488" cy="2240634"/>
                    </a:xfrm>
                    <a:prstGeom prst="rect"/>
                    <a:noFill/>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Flygfoto över bebyggelsen inom planområdet.</w:t>
      </w:r>
    </w:p>
    <w:p>
      <w:pPr>
        <w:pStyle w:val="P3"/>
      </w:pPr>
      <w:bookmarkStart w:id="107" w:name="pf_offentligochkommersiellservice01"/>
      <w:r>
        <w:t>Offentlig och kommersiell service</w:t>
      </w:r>
    </w:p>
    <w:p>
      <w:r>
        <w:t>Närliggande service så som förskola och matvarubutik finns inom ett avstånd om cirka 300 meter. Bodens centrum med dess utbud av restauranger och butiker ligger även på gångavstånd drygt 1 kilometer nordost om planområdet.</w:t>
      </w:r>
    </w:p>
    <w:p>
      <w:pPr>
        <w:pStyle w:val="P3"/>
      </w:pPr>
      <w:bookmarkEnd w:id="107"/>
      <w:bookmarkStart w:id="108" w:name="pf_tillgänglighet01"/>
      <w:r>
        <w:t>Tillgänglighet</w:t>
      </w:r>
    </w:p>
    <w:p>
      <w:r>
        <w:t>Aktuellt planområde är idag inte tillgängligt för allmänheten. Området är till största delen inhägnad med anledning av den militära verksamhet som tidigare varit på platsen.</w:t>
      </w:r>
    </w:p>
    <w:p>
      <w:pPr>
        <w:pStyle w:val="P2"/>
      </w:pPr>
      <w:bookmarkEnd w:id="106"/>
      <w:bookmarkEnd w:id="108"/>
      <w:bookmarkStart w:id="109" w:name="gf_tekniskafrågor01"/>
      <w:r>
        <w:t>Teknisk försörjning</w:t>
      </w:r>
    </w:p>
    <w:p>
      <w:pPr>
        <w:pStyle w:val="P3"/>
      </w:pPr>
      <w:bookmarkStart w:id="110" w:name="gf_vattenochavlopp01"/>
      <w:r>
        <w:t>Vatten och avlopp</w:t>
      </w:r>
    </w:p>
    <w:p>
      <w:r>
        <w:rPr>
          <w:szCs w:val="24"/>
        </w:rPr>
        <w:t>Planområdet ingår i kommunens verksamhetsområde för vatten och avlopp. Befintlig infrastruktur kan nyttjas i stor utsträckning. Vid nybyggnation kommer befintligt ledningsnät att byggas ut och anpassas efter den nya bebyggelsens behov.</w:t>
      </w:r>
    </w:p>
    <w:p>
      <w:pPr>
        <w:pStyle w:val="P3"/>
        <w:rPr>
          <w:lang w:eastAsia="sv-SE"/>
        </w:rPr>
      </w:pPr>
      <w:bookmarkEnd w:id="110"/>
      <w:bookmarkStart w:id="111" w:name="gf_snöochdagvattenhantering01"/>
      <w:r>
        <w:rPr>
          <w:lang w:eastAsia="sv-SE"/>
        </w:rPr>
        <w:t>Snö- och dagvattenhantering</w:t>
      </w:r>
    </w:p>
    <w:p>
      <w:pPr>
        <w:rPr>
          <w:lang w:eastAsia="sv-SE"/>
        </w:rPr>
      </w:pPr>
      <w:r>
        <w:rPr>
          <w:lang w:eastAsia="sv-SE"/>
        </w:rPr>
        <w:t>Enligt kommunens dagvattenstrategi får inte de dimensionerande flödena öka i och med en exploatering. Det dagvatten som tillkommer på grund av ny bebyggelse ska därför tas omhand på den egna fastigheten. Planområdet och byggrätter ska anpassas för att möjliggöra detta. Infiltration av dagvatten bör eftersträvas i så stor utsträckning som möjligt inom planområdet.</w:t>
      </w:r>
    </w:p>
    <w:p>
      <w:pPr>
        <w:rPr>
          <w:lang w:eastAsia="sv-SE"/>
        </w:rPr>
      </w:pPr>
      <w:r>
        <w:rPr>
          <w:lang w:eastAsia="sv-SE"/>
        </w:rPr>
        <w:t>Marken inom planområdet har en allmän lutning österut mot Bodån. De högsta marknivåerna finns i de västra delarna och ligger cirka 8 meter högre än de lägsta nivåerna närmare ån.</w:t>
      </w:r>
    </w:p>
    <w:p>
      <w:pPr>
        <w:rPr>
          <w:lang w:eastAsia="sv-SE"/>
        </w:rPr>
      </w:pPr>
      <w:r>
        <w:rPr>
          <w:lang w:eastAsia="sv-SE"/>
        </w:rPr>
        <w:t>Inom och uppströms planområdet finns ett befintligt kommunalt dagvattenledningssystem som avleder dagvatten från området väster om planområdet till recipienten Bodån. En mindre del av det dagvatten som uppkommer inom planområdet i nuläget avrinner till Kyrkogårdsvägen och därifrån vidare via dagvattenledningen som korsar planområdet via ravinen.</w:t>
      </w:r>
    </w:p>
    <w:p>
      <w:pPr>
        <w:keepNext w:val="1"/>
      </w:pPr>
      <w:r>
        <w:rPr>
          <w:noProof w:val="1"/>
          <w:lang w:eastAsia="sv-SE"/>
        </w:rPr>
        <w:drawing>
          <wp:inline xmlns:wp="http://schemas.openxmlformats.org/drawingml/2006/wordprocessingDrawing" distT="0" distB="0" distL="0" distR="0">
            <wp:extent cx="3957320" cy="4351020"/>
            <wp:effectExtent l="0" t="0" r="0" b="0"/>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64"/>
                    <a:srcRect/>
                    <a:stretch>
                      <a:fillRect/>
                    </a:stretch>
                  </pic:blipFill>
                  <pic:spPr bwMode="auto">
                    <a:xfrm>
                      <a:off x="0" y="0"/>
                      <a:ext cx="3957853" cy="4351177"/>
                    </a:xfrm>
                    <a:prstGeom prst="rect"/>
                    <a:noFill/>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Schematisk illustration över planområdet med VA-huvudmannens dagvattenledningar, dagvattenbrunnar och flödesriktningar.</w:t>
      </w:r>
    </w:p>
    <w:p>
      <w:pPr>
        <w:rPr>
          <w:lang w:eastAsia="sv-SE"/>
        </w:rPr>
      </w:pPr>
      <w:r>
        <w:rPr>
          <w:lang w:eastAsia="sv-SE"/>
        </w:rPr>
        <w:t>Sweco har tagit fram en dagvattenutredning med avrinningsanalys (2024-01-03) och skyfallsanalys (2024-01-03). Avrinningsanalysen visar vilka ytliga avrinningsvägar och instängda lågpunkter som finns inom utredningsområdet. Analysen visar även var höjddelaren i området ligger. I stort sett hela planområdet har en lutning ner mot Bodån och det dagvatten som uppkommer på dessa ytor avrinner ytligt och delvis diffust till Bodån. Ett litet område i västra delen avrinner via Kyrkogårdsgatans befintliga dagvattensystem i ravinen ner till ån. Det finns i huvudsak tre delavrinningsområden inom detaljplanen. Det västra (V1) delavrinningsområdet är cirka 0,5 hektar, det norra (N1) delavrinningsområdet är cirka 3,6 hektar och det södra (S1) delavrinningsområdet är cirka 1,5 hektar.</w:t>
      </w:r>
    </w:p>
    <w:p>
      <w:pPr>
        <w:rPr>
          <w:lang w:eastAsia="sv-SE"/>
        </w:rPr>
      </w:pPr>
      <w:r>
        <w:rPr>
          <w:noProof w:val="1"/>
          <w:lang w:eastAsia="sv-SE"/>
        </w:rPr>
        <w:drawing>
          <wp:anchor xmlns:wp="http://schemas.openxmlformats.org/drawingml/2006/wordprocessingDrawing" distT="0" distB="0" distL="114300" distR="114300" simplePos="0" relativeHeight="20" behindDoc="0" locked="0" layoutInCell="1" allowOverlap="1">
            <wp:simplePos x="0" y="0"/>
            <wp:positionH relativeFrom="margin">
              <wp:align>left</wp:align>
            </wp:positionH>
            <wp:positionV relativeFrom="paragraph">
              <wp:posOffset>505460</wp:posOffset>
            </wp:positionV>
            <wp:extent cx="2456815" cy="3457575"/>
            <wp:effectExtent l="0" t="0" r="635" b="9525"/>
            <wp:wrapSquare wrapText="bothSides"/>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8"/>
                    <pic:cNvPicPr/>
                  </pic:nvPicPr>
                  <pic:blipFill dpi="0">
                    <a:blip xmlns:r="http://schemas.openxmlformats.org/officeDocument/2006/relationships" r:embed="Relimage65"/>
                    <a:srcRect/>
                    <a:stretch>
                      <a:fillRect/>
                    </a:stretch>
                  </pic:blipFill>
                  <pic:spPr>
                    <a:xfrm>
                      <a:off x="0" y="0"/>
                      <a:ext cx="2456815" cy="3457575"/>
                    </a:xfrm>
                    <a:prstGeom prst="rect"/>
                  </pic:spPr>
                </pic:pic>
              </a:graphicData>
            </a:graphic>
          </wp:anchor>
        </w:drawing>
      </w:r>
      <w:r>
        <w:rPr>
          <w:noProof w:val="1"/>
        </w:rPr>
        <w:drawing>
          <wp:anchor xmlns:wp="http://schemas.openxmlformats.org/drawingml/2006/wordprocessingDrawing" distT="0" distB="0" distL="114300" distR="114300" simplePos="0" relativeHeight="19" behindDoc="0" locked="0" layoutInCell="1" allowOverlap="1">
            <wp:simplePos x="0" y="0"/>
            <wp:positionH relativeFrom="column">
              <wp:posOffset>2701290</wp:posOffset>
            </wp:positionH>
            <wp:positionV relativeFrom="paragraph">
              <wp:posOffset>514985</wp:posOffset>
            </wp:positionV>
            <wp:extent cx="2257425" cy="3476625"/>
            <wp:effectExtent l="0" t="0" r="9525" b="9525"/>
            <wp:wrapSquare wrapText="bothSides"/>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69"/>
                    <pic:cNvPicPr/>
                  </pic:nvPicPr>
                  <pic:blipFill dpi="0">
                    <a:blip xmlns:r="http://schemas.openxmlformats.org/officeDocument/2006/relationships" r:embed="Relimage66"/>
                    <a:srcRect l="17613" r="26321"/>
                    <a:stretch>
                      <a:fillRect/>
                    </a:stretch>
                  </pic:blipFill>
                  <pic:spPr bwMode="auto">
                    <a:xfrm>
                      <a:off x="0" y="0"/>
                      <a:ext cx="2257425" cy="3476625"/>
                    </a:xfrm>
                    <a:prstGeom prst="rect"/>
                    <a:ln>
                      <a:noFill/>
                    </a:ln>
                  </pic:spPr>
                </pic:pic>
              </a:graphicData>
            </a:graphic>
          </wp:anchor>
        </w:drawing>
      </w:r>
      <w:r>
        <w:rPr>
          <w:lang w:eastAsia="sv-SE"/>
        </w:rPr>
        <w:t>Efter exploateringen blir planområdet uppdelat i två avrinningsområden, ett i söder på cirka 1,5 hektar (S2) och ett i norr med ungefärlig area på 4,1 hektar (N2).</w:t>
      </w:r>
    </w:p>
    <w:p>
      <w:pPr>
        <w:keepNext w:val="1"/>
        <w:rPr>
          <w:b w:val="1"/>
          <w:i w:val="1"/>
          <w:bCs w:val="1"/>
          <w:iCs w:val="1"/>
          <w:sz w:val="20"/>
          <w:szCs w:val="20"/>
        </w:rPr>
      </w:pPr>
      <w:r>
        <w:rPr>
          <w:i w:val="1"/>
          <w:iCs w:val="1"/>
          <w:sz w:val="20"/>
          <w:szCs w:val="20"/>
        </w:rPr>
        <w:t>Kartan till vänster visar rinnstråk, lågpunkter samt höjddelaren (röd linje) inom detaljplanen och vilka delavrinningsområden som finns i nuläget. Kartan till höger visar antagen framtida indelning av delavrinningsområden.</w:t>
      </w:r>
    </w:p>
    <w:p>
      <w:pPr>
        <w:rPr>
          <w:lang w:eastAsia="sv-SE"/>
        </w:rPr>
      </w:pPr>
      <w:r>
        <w:rPr>
          <w:lang w:eastAsia="sv-SE"/>
        </w:rPr>
        <w:t>Flödena har beräknats i enlighet med Svenskt Vattens P110 för regn med återkomsttiden 5 år och 20 år för det dagvatten som uppkommer inom planområdet och för regn med återkomsttiden 100 år för skyfallshändelse för hela avrinningsområdet som passerar genom planområdet. I flödesberäkningarna för efterläget har en klimatfaktor använts. Innan exploatering är det dimensionerande flödet för hela detaljplanen beräknat till 130 liter/sekund för ett regn med återkomsttiden 20 år och en klimatfaktor på 1,0. Efter exploatering har det dimensionerande flödet för respektive antaget delavrinningsområde ökat till 550 liter/sekund för N2 och 260 liter/sekund för S2 för ett regn med återkomsttiden 20 år och en klimatfaktor på 1,25.</w:t>
      </w:r>
    </w:p>
    <w:p>
      <w:pPr>
        <w:rPr>
          <w:lang w:eastAsia="sv-SE"/>
        </w:rPr>
      </w:pPr>
      <w:r>
        <w:rPr>
          <w:lang w:eastAsia="sv-SE"/>
        </w:rPr>
        <w:t xml:space="preserve">Eftersom dagvattenflödena ökar i och med exploateringen föreligger ett fördröjningsbehov. </w:t>
      </w:r>
    </w:p>
    <w:p>
      <w:pPr>
        <w:rPr>
          <w:lang w:eastAsia="sv-SE"/>
        </w:rPr>
      </w:pPr>
      <w:r>
        <w:rPr>
          <w:lang w:eastAsia="sv-SE"/>
        </w:rPr>
        <w:t>För delavrinningsområde N2 behöver den erforderliga fördröjningsvolymen vara minst 440 kubikmeter och för delavrinningsområde S2 140 kubikmeter för att flödesneutralitet ska uppnås.</w:t>
      </w:r>
    </w:p>
    <w:p>
      <w:pPr>
        <w:rPr>
          <w:b w:val="1"/>
          <w:bCs w:val="1"/>
          <w:lang w:eastAsia="sv-SE"/>
        </w:rPr>
      </w:pPr>
      <w:r>
        <w:rPr>
          <w:rFonts w:asciiTheme="majorHAnsi" w:hAnsiTheme="majorHAnsi" w:cstheme="majorHAnsi"/>
          <w:lang w:eastAsia="sv-SE"/>
        </w:rPr>
        <w:t>Förslag på översiktlig systemlösning</w:t>
      </w:r>
    </w:p>
    <w:p>
      <w:pPr>
        <w:rPr>
          <w:lang w:eastAsia="sv-SE"/>
        </w:rPr>
      </w:pPr>
      <w:r>
        <w:rPr>
          <w:lang w:eastAsia="sv-SE"/>
        </w:rPr>
        <w:t xml:space="preserve">I och med exploateringen kommer föroreningshalterna som uppkommer inom området att öka. Det kommer därför att vara nödvändigt med dagvattenrenande åtgärder inom detaljplanen. För planområdet föreslås två dagvattendammar i anslutning till Bodån, en i anslutning till skyfallsstråket i söder och en i utloppet från ravinen. Dagvattendammarna föreslås utformas med en mindre försedimentering och en efterföljande huvuddamm. </w:t>
      </w:r>
    </w:p>
    <w:p>
      <w:pPr>
        <w:rPr>
          <w:lang w:eastAsia="sv-SE"/>
        </w:rPr>
      </w:pPr>
      <w:r>
        <w:rPr>
          <w:lang w:eastAsia="sv-SE"/>
        </w:rPr>
        <w:t>Dammarna behöver utformas med möjlighet att brädda förbi flöden större än de dimensionerande för att minska riskerna för urspolning och erosion samt för hantering av passerande skyfallsflöden. Dammarnas totala yta beror på utformningen; släntutfall, vallar och dylikt. I den översiktliga modell som beräknats i denna dagvattenutredning är det effektiva ytbehovet för den södra dammen 290 m2 och för den norra dammen 810 m2 (vilket motsvarar cirka 400 m2/hektar). Med effektiv yta menas den yta som rening sker på (vattenytan) och därmed är inte släntlutningar, driftplatser mm inräknade.</w:t>
      </w:r>
    </w:p>
    <w:p>
      <w:pPr>
        <w:rPr>
          <w:lang w:eastAsia="sv-SE"/>
        </w:rPr>
      </w:pPr>
      <w:r>
        <w:rPr>
          <w:lang w:eastAsia="sv-SE"/>
        </w:rPr>
        <w:t>I systemlösningen föreslås två dagvattendammar då det sannolikt blir mycket svårt att leda allt vatten från detaljplanen till samma ställe på grund av topografin och de naturliga rinnvägarna. Dammarna kommer även kunna fånga flöden från uppströms liggande områden och rena dessa om skyfallsdikena utrustas med mindre ledningar (ex DN300) som från botten av skyfallsdikena ansluter in till dammarna. Trafikerade ytor och parkeringar är särskilt förorenande ytor som i hög grad bidrar med oönskade dagvattenföroreningar. Av den anledningen föreslås det att dessa ytor lutas så att avledningen av dagvatten kan ske över intilliggande vegetationsklädda översilningsytor eller angränsande svackdiken.</w:t>
      </w:r>
    </w:p>
    <w:p>
      <w:pPr>
        <w:keepNext w:val="1"/>
      </w:pPr>
      <w:r>
        <w:rPr>
          <w:noProof w:val="1"/>
        </w:rPr>
        <w:drawing>
          <wp:inline xmlns:wp="http://schemas.openxmlformats.org/drawingml/2006/wordprocessingDrawing" distT="0" distB="0" distL="0" distR="0">
            <wp:extent cx="4864100" cy="5261610"/>
            <wp:effectExtent l="0" t="0" r="0" b="0"/>
            <wp:docPr id="59" name="Bildobjekt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59"/>
                    <pic:cNvPicPr/>
                  </pic:nvPicPr>
                  <pic:blipFill dpi="0">
                    <a:blip xmlns:r="http://schemas.openxmlformats.org/officeDocument/2006/relationships" r:embed="Relimage67"/>
                    <a:srcRect/>
                    <a:stretch>
                      <a:fillRect/>
                    </a:stretch>
                  </pic:blipFill>
                  <pic:spPr>
                    <a:xfrm>
                      <a:off x="0" y="0"/>
                      <a:ext cx="4864572" cy="5262118"/>
                    </a:xfrm>
                    <a:prstGeom prst="rect"/>
                  </pic:spPr>
                </pic:pic>
              </a:graphicData>
            </a:graphic>
          </wp:inline>
        </w:drawing>
      </w:r>
    </w:p>
    <w:p>
      <w:pPr>
        <w:pStyle w:val="P50"/>
        <w:ind w:left="0"/>
        <w:rPr>
          <w:b w:val="0"/>
          <w:bCs w:val="0"/>
          <w:color w:val="auto"/>
          <w:sz w:val="16"/>
          <w:szCs w:val="16"/>
        </w:rPr>
      </w:pPr>
      <w:r>
        <w:rPr>
          <w:b w:val="0"/>
          <w:i w:val="1"/>
          <w:bCs w:val="0"/>
          <w:iCs w:val="1"/>
          <w:color w:val="auto"/>
          <w:sz w:val="20"/>
          <w:szCs w:val="20"/>
        </w:rPr>
        <w:t>Översiktlig systemlösning för planområdet samt de ytor som behöver reserveras för skyfallshanteringen.</w:t>
      </w:r>
    </w:p>
    <w:p>
      <w:pPr>
        <w:rPr>
          <w:lang w:eastAsia="sv-SE"/>
        </w:rPr>
      </w:pPr>
      <w:r>
        <w:rPr>
          <w:lang w:eastAsia="sv-SE"/>
        </w:rPr>
        <w:t xml:space="preserve">Skyfallshanteringen längs Sveavägen hamnar i närheten av den björkallé som löper längs med samma väg väster om planområdet. Det finns gott om utrymme att anlägga skyfallsdiket norr om allén. Den reserverade marken i figuren ska ses som en indikation på storlek och generell placering, inte en exakt definierad utbredning. Inne på planområdet längs Sveavägen är det i huvudsak enstaka större träd, men mest sly. Även här bedöms föreslagen lösning rymmas utan att alla större träd behöver tas bort. </w:t>
      </w:r>
    </w:p>
    <w:p>
      <w:pPr>
        <w:rPr>
          <w:lang w:eastAsia="sv-SE"/>
        </w:rPr>
      </w:pPr>
      <w:r>
        <w:rPr>
          <w:lang w:eastAsia="sv-SE"/>
        </w:rPr>
        <w:t>Dagvattendammarna behöver slutgiltigt dimensioneras och utformas när det är beslutat hur skyfallshanteringen från uppströms områden ska genomföras samt när layouten av planområdet är låst. Slutgiltiga släntlutningar för dammar/skyfallsvägar etcetera måste alltid stämmas av med geotekniker. Erosionsskydd behöver ses över och arbetas in i de åtgärder som föreslås inom vissa delar av planområdet och särskilt viktigt i slänter, utlopp, diken och dammar som ligger inom eller i angränsning till ravinen och i anslutning till Bodån.</w:t>
      </w:r>
    </w:p>
    <w:p>
      <w:pPr>
        <w:pStyle w:val="P3"/>
      </w:pPr>
      <w:bookmarkEnd w:id="111"/>
      <w:bookmarkStart w:id="112" w:name="gf_elochvärme01"/>
      <w:r>
        <w:t>El och fjärrvärme</w:t>
      </w:r>
    </w:p>
    <w:p>
      <w:r>
        <w:t>Det är Bodens energi som ansvarar för eldistributionen till planområdet. Inom planområdet finns en befintlig transformatorstation invid ravinen. Transformatorstationen bedöms ha kapacitet för en utbyggnad enligt planförslaget. Området är också anslutet till fjärrvärme. Inom området finns både låg- och högspänningskablar liksom fjärrvärme.</w:t>
      </w:r>
    </w:p>
    <w:p>
      <w:pPr>
        <w:pStyle w:val="P3"/>
      </w:pPr>
      <w:bookmarkEnd w:id="112"/>
      <w:bookmarkStart w:id="113" w:name="gf_fiber01"/>
      <w:r>
        <w:t>Fiber</w:t>
      </w:r>
    </w:p>
    <w:p>
      <w:r>
        <w:t xml:space="preserve">Fiber finns utbyggt till planområdet som därmed kommer att anslutas till nätet vid framtida utbyggnad. </w:t>
      </w:r>
    </w:p>
    <w:p>
      <w:pPr>
        <w:pStyle w:val="P3"/>
      </w:pPr>
      <w:bookmarkEnd w:id="113"/>
      <w:bookmarkStart w:id="114" w:name="gf_avfall01"/>
      <w:r>
        <w:t>Avfall</w:t>
      </w:r>
    </w:p>
    <w:p>
      <w:r>
        <w:t>Avfall ska hanteras enligt Bodens kommuns lokala renhållningsordning.</w:t>
      </w:r>
    </w:p>
    <w:p>
      <w:bookmarkEnd w:id="109"/>
      <w:bookmarkEnd w:id="114"/>
      <w:r>
        <w:br w:type="page"/>
      </w:r>
    </w:p>
    <w:p>
      <w:pPr>
        <w:pStyle w:val="P1"/>
      </w:pPr>
      <w:bookmarkStart w:id="115" w:name="_Toc167430721"/>
      <w:r>
        <w:t>Detaljplanens genomförande</w:t>
      </w:r>
      <w:bookmarkEnd w:id="115"/>
    </w:p>
    <w:p>
      <w:pPr>
        <w:pStyle w:val="P2"/>
      </w:pPr>
      <w:bookmarkStart w:id="116" w:name="gf_markochutrymmesförvärv01"/>
      <w:r>
        <w:t>Markförvärv och inlösen</w:t>
      </w:r>
    </w:p>
    <w:p>
      <w:r>
        <w:t>Samtliga fastigheter som ingår i planområdet ägs av Bodens kommun. Ett markanvisningsavtal har tecknats mellan Bodens kommun och Lindbäcks Fastigheter Piteå AB. Markanvisning innebär här en ensamrätt (en option) för exploatören att under en begränsad tidsperiod, under villkor som anges i avtalet, förhandla med kommunen om överlåtelse av del av fastigheten Boden 57:66 som omfattar cirka 2,8 hektar se följande karta (aktuellt planområde).</w:t>
      </w:r>
      <w:r>
        <w:rPr>
          <w:rFonts w:ascii="Arial" w:hAnsi="Arial" w:cs="Arial"/>
          <w:color w:val="000000" w:themeColor="text1"/>
          <w:sz w:val="20"/>
          <w:szCs w:val="20"/>
        </w:rPr>
        <w:t xml:space="preserve"> </w:t>
      </w:r>
      <w:r>
        <w:t>Planområdet innefattar också område för begravningsändamål (tidigare arrende för parkering och upplag, Bodens Pastorat).</w:t>
      </w:r>
    </w:p>
    <w:p>
      <w:pPr>
        <w:rPr>
          <w:rFonts w:ascii="Arial" w:hAnsi="Arial" w:cs="Arial"/>
          <w:noProof w:val="1"/>
          <w:color w:val="000000"/>
          <w:sz w:val="20"/>
          <w:szCs w:val="20"/>
        </w:rPr>
      </w:pPr>
      <w:r>
        <w:rPr>
          <w:rFonts w:asciiTheme="majorHAnsi" w:hAnsiTheme="majorHAnsi" w:cstheme="majorBidi"/>
          <w:noProof w:val="1"/>
          <w:sz w:val="16"/>
          <w:szCs w:val="16"/>
        </w:rPr>
        <w:drawing>
          <wp:inline xmlns:wp="http://schemas.openxmlformats.org/drawingml/2006/wordprocessingDrawing" distT="0" distB="0" distL="0" distR="0">
            <wp:extent cx="3472815" cy="4229100"/>
            <wp:effectExtent l="0" t="0" r="0" b="0"/>
            <wp:docPr id="549318469" name="Bildobjekt 54931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0"/>
                    <pic:cNvPicPr/>
                  </pic:nvPicPr>
                  <pic:blipFill dpi="0">
                    <a:blip xmlns:r="http://schemas.openxmlformats.org/officeDocument/2006/relationships" r:embed="Relimage11"/>
                    <a:srcRect/>
                    <a:stretch>
                      <a:fillRect/>
                    </a:stretch>
                  </pic:blipFill>
                  <pic:spPr>
                    <a:xfrm>
                      <a:off x="0" y="0"/>
                      <a:ext cx="3497714" cy="4259101"/>
                    </a:xfrm>
                    <a:prstGeom prst="rect"/>
                  </pic:spPr>
                </pic:pic>
              </a:graphicData>
            </a:graphic>
          </wp:inline>
        </w:drawing>
      </w:r>
      <w:r>
        <w:rPr>
          <w:rFonts w:asciiTheme="majorHAnsi" w:hAnsiTheme="majorHAnsi" w:cstheme="majorBidi"/>
          <w:sz w:val="16"/>
          <w:szCs w:val="16"/>
        </w:rPr>
        <w:br w:type="textWrapping"/>
      </w:r>
      <w:r>
        <w:rPr>
          <w:rFonts w:ascii="Times New Roman" w:hAnsi="Times New Roman"/>
          <w:i w:val="1"/>
          <w:iCs w:val="1"/>
          <w:sz w:val="20"/>
          <w:szCs w:val="20"/>
          <w:lang w:eastAsia="sv-SE"/>
        </w:rPr>
        <w:t>Gul yta i plankartan avser område för markanvisningsavtal och lila område i norr avser yta för kyrkans ändamål i form av parkering och komplementbyggnader.</w:t>
      </w:r>
    </w:p>
    <w:p>
      <w:pPr>
        <w:pStyle w:val="P2"/>
      </w:pPr>
      <w:bookmarkEnd w:id="116"/>
      <w:bookmarkStart w:id="117" w:name="gf_fastighetsrättsligafrågor01"/>
      <w:r>
        <w:t>Fastighetsrättsliga frågor</w:t>
      </w:r>
    </w:p>
    <w:p>
      <w:pPr>
        <w:pStyle w:val="P3"/>
      </w:pPr>
      <w:bookmarkStart w:id="118" w:name="gf_fastighetsindelningsbestämmelser01"/>
      <w:r>
        <w:t>Fastighetsindelningsbestämmelser</w:t>
      </w:r>
    </w:p>
    <w:p>
      <w:r>
        <w:t xml:space="preserve">Aktuellt planområde berörs inte av några fastighetsindelningsbestämmelser. </w:t>
      </w:r>
    </w:p>
    <w:p>
      <w:pPr>
        <w:pStyle w:val="P3"/>
      </w:pPr>
      <w:bookmarkEnd w:id="118"/>
      <w:bookmarkStart w:id="119" w:name="gf_förändradfastighetsindelning01"/>
      <w:r>
        <w:t>Förändrad fastighetsindelning</w:t>
      </w:r>
    </w:p>
    <w:p>
      <w:r>
        <w:t>Planområdet kan komma att delas in i nya fastigheter, beroende på vilken typ av byggnation och ägandeform som den nya bostadsbebyggelsen får. Kommunen kommer ansöka om lantmäteriförrättning för att överföra mark till Bodens pastorat samt nybilda fastigheter i enlighet med markanvändningen i detaljplanen och markanvisningsavtal. Övrig allmän platsmark kvarstår som Boden 57:66. Kommunen ansvarar och bekostar fastighetsbildningen. Fastighetsbildning som berör eventuella utökningar av privatägda fastigheter i ett senare skede bekostas inte av kommunen. Kommunen kommer att vara huvudman för allmänna platser.</w:t>
      </w:r>
    </w:p>
    <w:p/>
    <w:tbl>
      <w:tblPr>
        <w:tblStyle w:val="T2"/>
        <w:tblW w:w="0" w:type="auto"/>
        <w:tblBorders>
          <w:top w:val="single" w:sz="4" w:space="0" w:shadow="0" w:frame="0" w:color="595959" w:themeColor="text1" w:themeTint="A6"/>
          <w:left w:val="single" w:sz="4" w:space="0" w:shadow="0" w:frame="0" w:color="595959" w:themeColor="text1" w:themeTint="A6"/>
          <w:bottom w:val="single" w:sz="4" w:space="0" w:shadow="0" w:frame="0" w:color="595959" w:themeColor="text1" w:themeTint="A6"/>
          <w:right w:val="single" w:sz="4" w:space="0" w:shadow="0" w:frame="0" w:color="595959" w:themeColor="text1" w:themeTint="A6"/>
          <w:insideH w:val="single" w:sz="4" w:space="0" w:shadow="0" w:frame="0" w:color="595959" w:themeColor="text1" w:themeTint="A6"/>
          <w:insideV w:val="single" w:sz="4" w:space="0" w:shadow="0" w:frame="0" w:color="595959" w:themeColor="text1" w:themeTint="A6"/>
        </w:tblBorders>
        <w:tblLook w:val="04A0"/>
      </w:tblPr>
      <w:tblGrid/>
      <w:tr>
        <w:tc>
          <w:tcPr>
            <w:tcW w:w="2248" w:type="dxa"/>
            <w:shd w:val="clear" w:color="auto" w:fill="C9EB9E" w:themeFill="accent1" w:themeFillTint="66"/>
          </w:tcPr>
          <w:p>
            <w:pPr>
              <w:rPr>
                <w:b w:val="1"/>
                <w:bCs w:val="1"/>
                <w:sz w:val="20"/>
                <w:szCs w:val="20"/>
              </w:rPr>
            </w:pPr>
            <w:r>
              <w:rPr>
                <w:b w:val="1"/>
                <w:bCs w:val="1"/>
                <w:sz w:val="20"/>
                <w:szCs w:val="20"/>
              </w:rPr>
              <w:t>FASTIGHET</w:t>
            </w:r>
          </w:p>
        </w:tc>
        <w:tc>
          <w:tcPr>
            <w:tcW w:w="1716" w:type="dxa"/>
            <w:shd w:val="clear" w:color="auto" w:fill="C9EB9E" w:themeFill="accent1" w:themeFillTint="66"/>
          </w:tcPr>
          <w:p>
            <w:pPr>
              <w:rPr>
                <w:b w:val="1"/>
                <w:bCs w:val="1"/>
                <w:sz w:val="20"/>
                <w:szCs w:val="20"/>
              </w:rPr>
            </w:pPr>
            <w:r>
              <w:rPr>
                <w:b w:val="1"/>
                <w:bCs w:val="1"/>
                <w:sz w:val="20"/>
                <w:szCs w:val="20"/>
              </w:rPr>
              <w:t>NYA FASTGHETER</w:t>
            </w:r>
          </w:p>
        </w:tc>
        <w:tc>
          <w:tcPr>
            <w:tcW w:w="1985" w:type="dxa"/>
            <w:shd w:val="clear" w:color="auto" w:fill="C9EB9E" w:themeFill="accent1" w:themeFillTint="66"/>
          </w:tcPr>
          <w:p>
            <w:pPr>
              <w:rPr>
                <w:b w:val="1"/>
                <w:bCs w:val="1"/>
                <w:sz w:val="20"/>
                <w:szCs w:val="20"/>
              </w:rPr>
            </w:pPr>
            <w:r>
              <w:rPr>
                <w:b w:val="1"/>
                <w:bCs w:val="1"/>
                <w:sz w:val="20"/>
                <w:szCs w:val="20"/>
              </w:rPr>
              <w:t>AREA</w:t>
            </w:r>
          </w:p>
        </w:tc>
        <w:tc>
          <w:tcPr>
            <w:tcW w:w="2264" w:type="dxa"/>
            <w:shd w:val="clear" w:color="auto" w:fill="C9EB9E" w:themeFill="accent1" w:themeFillTint="66"/>
          </w:tcPr>
          <w:p>
            <w:pPr>
              <w:rPr>
                <w:b w:val="1"/>
                <w:bCs w:val="1"/>
                <w:sz w:val="20"/>
                <w:szCs w:val="20"/>
              </w:rPr>
            </w:pPr>
            <w:r>
              <w:rPr>
                <w:b w:val="1"/>
                <w:bCs w:val="1"/>
                <w:sz w:val="20"/>
                <w:szCs w:val="20"/>
              </w:rPr>
              <w:t>ÄNDAMÅL/</w:t>
              <w:br w:type="textWrapping"/>
              <w:t>KOSTNAD</w:t>
            </w:r>
          </w:p>
        </w:tc>
      </w:tr>
      <w:tr>
        <w:tc>
          <w:tcPr>
            <w:tcW w:w="2248" w:type="dxa"/>
          </w:tcPr>
          <w:p>
            <w:r>
              <w:t>Boden 57:66</w:t>
            </w:r>
          </w:p>
        </w:tc>
        <w:tc>
          <w:tcPr>
            <w:tcW w:w="1716" w:type="dxa"/>
          </w:tcPr>
          <w:p>
            <w:r>
              <w:t xml:space="preserve">Boden </w:t>
            </w:r>
          </w:p>
        </w:tc>
        <w:tc>
          <w:tcPr>
            <w:tcW w:w="1985" w:type="dxa"/>
          </w:tcPr>
          <w:p>
            <w:r>
              <w:t>Cirka 14.000 kvm</w:t>
            </w:r>
          </w:p>
        </w:tc>
        <w:tc>
          <w:tcPr>
            <w:tcW w:w="2264" w:type="dxa"/>
          </w:tcPr>
          <w:p>
            <w:r>
              <w:t xml:space="preserve">Bostäder </w:t>
            </w:r>
          </w:p>
        </w:tc>
      </w:tr>
      <w:tr>
        <w:tc>
          <w:tcPr>
            <w:tcW w:w="2248" w:type="dxa"/>
          </w:tcPr>
          <w:p>
            <w:r>
              <w:t>Boden 57:66</w:t>
            </w:r>
          </w:p>
        </w:tc>
        <w:tc>
          <w:tcPr>
            <w:tcW w:w="1716" w:type="dxa"/>
          </w:tcPr>
          <w:p>
            <w:r>
              <w:t xml:space="preserve">Boden </w:t>
            </w:r>
          </w:p>
        </w:tc>
        <w:tc>
          <w:tcPr>
            <w:tcW w:w="1985" w:type="dxa"/>
          </w:tcPr>
          <w:p>
            <w:r>
              <w:t>Cirka 12.000 kvm</w:t>
            </w:r>
          </w:p>
        </w:tc>
        <w:tc>
          <w:tcPr>
            <w:tcW w:w="2264" w:type="dxa"/>
          </w:tcPr>
          <w:p>
            <w:r>
              <w:t xml:space="preserve">Bostäder </w:t>
            </w:r>
          </w:p>
        </w:tc>
      </w:tr>
      <w:tr>
        <w:tc>
          <w:tcPr>
            <w:tcW w:w="2248" w:type="dxa"/>
          </w:tcPr>
          <w:p>
            <w:r>
              <w:t>Boden 57:66</w:t>
            </w:r>
          </w:p>
        </w:tc>
        <w:tc>
          <w:tcPr>
            <w:tcW w:w="1716" w:type="dxa"/>
          </w:tcPr>
          <w:p>
            <w:r>
              <w:t>Boden 53:8</w:t>
            </w:r>
          </w:p>
        </w:tc>
        <w:tc>
          <w:tcPr>
            <w:tcW w:w="1985" w:type="dxa"/>
          </w:tcPr>
          <w:p>
            <w:r>
              <w:t>Cirka 2250 kvm</w:t>
            </w:r>
          </w:p>
        </w:tc>
        <w:tc>
          <w:tcPr>
            <w:tcW w:w="2264" w:type="dxa"/>
          </w:tcPr>
          <w:p>
            <w:r>
              <w:t>Begravningsplats</w:t>
            </w:r>
          </w:p>
        </w:tc>
      </w:tr>
    </w:tbl>
    <w:p/>
    <w:p>
      <w:r>
        <w:t xml:space="preserve">Inom den kommunala fastigheten Boden 57:66 har Bodens Pastorat sedan tidigare ett arrende för parkering och upplag. Området omformas delvis på grund av geotekniska förutsättningar och planläggs som kvartersmark, begravningsplats vilket möjliggör för fortsatt och utökad användning för parkering och komplementbyggnad. </w:t>
      </w:r>
    </w:p>
    <w:p/>
    <w:p/>
    <w:p/>
    <w:tbl>
      <w:tblPr>
        <w:tblStyle w:val="T2"/>
        <w:tblW w:w="0" w:type="auto"/>
        <w:tblBorders>
          <w:top w:val="single" w:sz="4" w:space="0" w:shadow="0" w:frame="0" w:color="595959" w:themeColor="text1" w:themeTint="A6"/>
          <w:left w:val="single" w:sz="4" w:space="0" w:shadow="0" w:frame="0" w:color="595959" w:themeColor="text1" w:themeTint="A6"/>
          <w:bottom w:val="single" w:sz="4" w:space="0" w:shadow="0" w:frame="0" w:color="595959" w:themeColor="text1" w:themeTint="A6"/>
          <w:right w:val="single" w:sz="4" w:space="0" w:shadow="0" w:frame="0" w:color="595959" w:themeColor="text1" w:themeTint="A6"/>
          <w:insideH w:val="single" w:sz="4" w:space="0" w:shadow="0" w:frame="0" w:color="595959" w:themeColor="text1" w:themeTint="A6"/>
          <w:insideV w:val="single" w:sz="4" w:space="0" w:shadow="0" w:frame="0" w:color="595959" w:themeColor="text1" w:themeTint="A6"/>
        </w:tblBorders>
        <w:tblLook w:val="04A0"/>
      </w:tblPr>
      <w:tblGrid/>
      <w:tr>
        <w:tc>
          <w:tcPr>
            <w:tcW w:w="2263" w:type="dxa"/>
            <w:shd w:val="clear" w:color="auto" w:fill="C9EB9E" w:themeFill="accent1" w:themeFillTint="66"/>
          </w:tcPr>
          <w:p>
            <w:pPr>
              <w:rPr>
                <w:b w:val="1"/>
                <w:bCs w:val="1"/>
                <w:sz w:val="20"/>
                <w:szCs w:val="20"/>
              </w:rPr>
            </w:pPr>
            <w:r>
              <w:rPr>
                <w:b w:val="1"/>
                <w:bCs w:val="1"/>
                <w:sz w:val="20"/>
                <w:szCs w:val="20"/>
              </w:rPr>
              <w:t>FASTIGHET, SAMFÄLLIGHET</w:t>
            </w:r>
          </w:p>
        </w:tc>
        <w:tc>
          <w:tcPr>
            <w:tcW w:w="1985" w:type="dxa"/>
            <w:shd w:val="clear" w:color="auto" w:fill="C9EB9E" w:themeFill="accent1" w:themeFillTint="66"/>
          </w:tcPr>
          <w:p>
            <w:pPr>
              <w:rPr>
                <w:b w:val="1"/>
                <w:bCs w:val="1"/>
                <w:sz w:val="20"/>
                <w:szCs w:val="20"/>
              </w:rPr>
            </w:pPr>
            <w:r>
              <w:rPr>
                <w:b w:val="1"/>
                <w:bCs w:val="1"/>
                <w:sz w:val="20"/>
                <w:szCs w:val="20"/>
              </w:rPr>
              <w:t>OMFATTNING, UTFORMNING OCH UTFÖRANDE</w:t>
            </w:r>
          </w:p>
        </w:tc>
        <w:tc>
          <w:tcPr>
            <w:tcW w:w="2126" w:type="dxa"/>
            <w:shd w:val="clear" w:color="auto" w:fill="C9EB9E" w:themeFill="accent1" w:themeFillTint="66"/>
          </w:tcPr>
          <w:p>
            <w:pPr>
              <w:rPr>
                <w:b w:val="1"/>
                <w:bCs w:val="1"/>
                <w:sz w:val="20"/>
                <w:szCs w:val="20"/>
              </w:rPr>
            </w:pPr>
            <w:r>
              <w:rPr>
                <w:b w:val="1"/>
                <w:bCs w:val="1"/>
                <w:sz w:val="20"/>
                <w:szCs w:val="20"/>
              </w:rPr>
              <w:t>SERVITUT OCH UTRYMME FÖR ALLMÄNNA LEDNINGAR</w:t>
            </w:r>
          </w:p>
        </w:tc>
        <w:tc>
          <w:tcPr>
            <w:tcW w:w="1839" w:type="dxa"/>
            <w:shd w:val="clear" w:color="auto" w:fill="C9EB9E" w:themeFill="accent1" w:themeFillTint="66"/>
          </w:tcPr>
          <w:p>
            <w:pPr>
              <w:rPr>
                <w:b w:val="1"/>
                <w:bCs w:val="1"/>
                <w:sz w:val="20"/>
                <w:szCs w:val="20"/>
              </w:rPr>
            </w:pPr>
            <w:r>
              <w:rPr>
                <w:b w:val="1"/>
                <w:bCs w:val="1"/>
                <w:sz w:val="20"/>
                <w:szCs w:val="20"/>
              </w:rPr>
              <w:t>KOSTNAD</w:t>
            </w:r>
          </w:p>
        </w:tc>
      </w:tr>
      <w:tr>
        <w:tc>
          <w:tcPr>
            <w:tcW w:w="2263" w:type="dxa"/>
          </w:tcPr>
          <w:p>
            <w:pPr>
              <w:rPr>
                <w:rFonts w:asciiTheme="majorHAnsi" w:hAnsiTheme="majorHAnsi" w:cstheme="majorHAnsi"/>
                <w:sz w:val="20"/>
                <w:szCs w:val="20"/>
              </w:rPr>
            </w:pPr>
            <w:r>
              <w:rPr>
                <w:rFonts w:asciiTheme="majorHAnsi" w:hAnsiTheme="majorHAnsi" w:cstheme="majorHAnsi"/>
                <w:sz w:val="20"/>
                <w:szCs w:val="20"/>
              </w:rPr>
              <w:t>Boden 57:66</w:t>
            </w:r>
          </w:p>
        </w:tc>
        <w:tc>
          <w:tcPr>
            <w:tcW w:w="1985" w:type="dxa"/>
          </w:tcPr>
          <w:p>
            <w:pPr>
              <w:rPr>
                <w:rFonts w:asciiTheme="majorHAnsi" w:hAnsiTheme="majorHAnsi" w:cstheme="majorHAnsi"/>
                <w:sz w:val="20"/>
                <w:szCs w:val="20"/>
              </w:rPr>
            </w:pPr>
            <w:r>
              <w:rPr>
                <w:rFonts w:asciiTheme="majorHAnsi" w:hAnsiTheme="majorHAnsi" w:cstheme="majorHAnsi"/>
                <w:sz w:val="20"/>
                <w:szCs w:val="20"/>
              </w:rPr>
              <w:t>Bodsvedjan 1:14</w:t>
              <w:br w:type="textWrapping"/>
              <w:t>Nytt servitut VA</w:t>
            </w:r>
          </w:p>
        </w:tc>
        <w:tc>
          <w:tcPr>
            <w:tcW w:w="2126" w:type="dxa"/>
          </w:tcPr>
          <w:p>
            <w:pPr>
              <w:rPr>
                <w:rFonts w:asciiTheme="majorHAnsi" w:hAnsiTheme="majorHAnsi" w:cstheme="majorHAnsi"/>
                <w:sz w:val="20"/>
                <w:szCs w:val="20"/>
              </w:rPr>
            </w:pPr>
            <w:r>
              <w:rPr>
                <w:rFonts w:asciiTheme="majorHAnsi" w:hAnsiTheme="majorHAnsi" w:cstheme="majorHAnsi"/>
                <w:sz w:val="20"/>
                <w:szCs w:val="20"/>
              </w:rPr>
              <w:t>25-NLÅ-FÖ:118A Naturvårdsbestämmelser Djur- och växtskydds-område: Bodträsket mfl.(bodåns fs)</w:t>
            </w:r>
          </w:p>
        </w:tc>
        <w:tc>
          <w:tcPr>
            <w:tcW w:w="1839" w:type="dxa"/>
          </w:tcPr>
          <w:p>
            <w:pPr>
              <w:rPr>
                <w:rFonts w:asciiTheme="majorHAnsi" w:hAnsiTheme="majorHAnsi" w:cstheme="majorHAnsi"/>
                <w:sz w:val="20"/>
                <w:szCs w:val="20"/>
              </w:rPr>
            </w:pPr>
          </w:p>
        </w:tc>
      </w:tr>
      <w:tr>
        <w:tc>
          <w:tcPr>
            <w:tcW w:w="2263" w:type="dxa"/>
          </w:tcPr>
          <w:p>
            <w:pPr>
              <w:rPr>
                <w:rFonts w:asciiTheme="majorHAnsi" w:hAnsiTheme="majorHAnsi" w:cstheme="majorHAnsi"/>
                <w:sz w:val="20"/>
                <w:szCs w:val="20"/>
              </w:rPr>
            </w:pPr>
            <w:r>
              <w:rPr>
                <w:rFonts w:asciiTheme="majorHAnsi" w:hAnsiTheme="majorHAnsi" w:cstheme="majorHAnsi"/>
                <w:sz w:val="20"/>
                <w:szCs w:val="20"/>
              </w:rPr>
              <w:t>Boden 57:2</w:t>
            </w:r>
          </w:p>
        </w:tc>
        <w:tc>
          <w:tcPr>
            <w:tcW w:w="1985" w:type="dxa"/>
          </w:tcPr>
          <w:p>
            <w:pPr>
              <w:rPr>
                <w:rFonts w:asciiTheme="majorHAnsi" w:hAnsiTheme="majorHAnsi" w:cstheme="majorHAnsi"/>
                <w:sz w:val="20"/>
                <w:szCs w:val="20"/>
              </w:rPr>
            </w:pPr>
            <w:r>
              <w:rPr>
                <w:rFonts w:asciiTheme="majorHAnsi" w:hAnsiTheme="majorHAnsi" w:cstheme="majorHAnsi"/>
                <w:sz w:val="20"/>
                <w:szCs w:val="20"/>
              </w:rPr>
              <w:t>Vatten</w:t>
              <w:br w:type="textWrapping"/>
              <w:t>Ingen påverkan</w:t>
            </w:r>
          </w:p>
        </w:tc>
        <w:tc>
          <w:tcPr>
            <w:tcW w:w="2126" w:type="dxa"/>
          </w:tcPr>
          <w:p>
            <w:pPr>
              <w:rPr>
                <w:rFonts w:asciiTheme="majorHAnsi" w:hAnsiTheme="majorHAnsi" w:cstheme="majorHAnsi"/>
                <w:sz w:val="20"/>
                <w:szCs w:val="20"/>
              </w:rPr>
            </w:pPr>
            <w:r>
              <w:rPr>
                <w:rFonts w:asciiTheme="majorHAnsi" w:hAnsiTheme="majorHAnsi" w:cstheme="majorHAnsi"/>
                <w:sz w:val="20"/>
                <w:szCs w:val="20"/>
              </w:rPr>
              <w:t>25-NLÅ-FÖ:118A Naturvårdsbestämmelser Djur- och växtskydds-område: Bodträsket mfl.(bodåns fs)</w:t>
            </w:r>
          </w:p>
        </w:tc>
        <w:tc>
          <w:tcPr>
            <w:tcW w:w="1839" w:type="dxa"/>
          </w:tcPr>
          <w:p>
            <w:pPr>
              <w:rPr>
                <w:rFonts w:asciiTheme="majorHAnsi" w:hAnsiTheme="majorHAnsi" w:cstheme="majorHAnsi"/>
                <w:sz w:val="20"/>
                <w:szCs w:val="20"/>
              </w:rPr>
            </w:pPr>
          </w:p>
        </w:tc>
      </w:tr>
      <w:tr>
        <w:tc>
          <w:tcPr>
            <w:tcW w:w="2263" w:type="dxa"/>
          </w:tcPr>
          <w:p>
            <w:pPr>
              <w:rPr>
                <w:rFonts w:asciiTheme="majorHAnsi" w:hAnsiTheme="majorHAnsi" w:cstheme="majorHAnsi"/>
                <w:sz w:val="20"/>
                <w:szCs w:val="20"/>
              </w:rPr>
            </w:pPr>
            <w:r>
              <w:rPr>
                <w:rFonts w:asciiTheme="majorHAnsi" w:hAnsiTheme="majorHAnsi" w:cstheme="majorHAnsi"/>
                <w:sz w:val="20"/>
                <w:szCs w:val="20"/>
              </w:rPr>
              <w:t>Boden 56:22</w:t>
            </w:r>
          </w:p>
        </w:tc>
        <w:tc>
          <w:tcPr>
            <w:tcW w:w="1985" w:type="dxa"/>
          </w:tcPr>
          <w:p>
            <w:pPr>
              <w:rPr>
                <w:rFonts w:asciiTheme="majorHAnsi" w:hAnsiTheme="majorHAnsi" w:cstheme="majorHAnsi"/>
                <w:sz w:val="20"/>
                <w:szCs w:val="20"/>
              </w:rPr>
            </w:pPr>
            <w:r>
              <w:rPr>
                <w:rFonts w:asciiTheme="majorHAnsi" w:hAnsiTheme="majorHAnsi" w:cstheme="majorHAnsi"/>
                <w:sz w:val="20"/>
                <w:szCs w:val="20"/>
              </w:rPr>
              <w:t>Vatten</w:t>
              <w:br w:type="textWrapping"/>
              <w:t>Ingen påverkan</w:t>
            </w:r>
          </w:p>
        </w:tc>
        <w:tc>
          <w:tcPr>
            <w:tcW w:w="2126" w:type="dxa"/>
          </w:tcPr>
          <w:p>
            <w:pPr>
              <w:rPr>
                <w:rFonts w:asciiTheme="majorHAnsi" w:hAnsiTheme="majorHAnsi" w:cstheme="majorHAnsi"/>
                <w:sz w:val="20"/>
                <w:szCs w:val="20"/>
              </w:rPr>
            </w:pPr>
            <w:r>
              <w:rPr>
                <w:rFonts w:asciiTheme="majorHAnsi" w:hAnsiTheme="majorHAnsi" w:cstheme="majorHAnsi"/>
                <w:sz w:val="20"/>
                <w:szCs w:val="20"/>
              </w:rPr>
              <w:t>25-NLÅ-FÖ:118ANaturvårdsbestämmelser Djur- och växtskydds-område: Bodträsket mfl.(bodåns fs)</w:t>
            </w:r>
          </w:p>
        </w:tc>
        <w:tc>
          <w:tcPr>
            <w:tcW w:w="1839" w:type="dxa"/>
          </w:tcPr>
          <w:p>
            <w:pPr>
              <w:rPr>
                <w:rFonts w:asciiTheme="majorHAnsi" w:hAnsiTheme="majorHAnsi" w:cstheme="majorHAnsi"/>
                <w:sz w:val="20"/>
                <w:szCs w:val="20"/>
              </w:rPr>
            </w:pPr>
          </w:p>
        </w:tc>
      </w:tr>
      <w:tr>
        <w:tc>
          <w:tcPr>
            <w:tcW w:w="2263" w:type="dxa"/>
          </w:tcPr>
          <w:p>
            <w:pPr>
              <w:rPr>
                <w:rFonts w:asciiTheme="majorHAnsi" w:hAnsiTheme="majorHAnsi" w:cstheme="majorHAnsi"/>
                <w:sz w:val="20"/>
                <w:szCs w:val="20"/>
              </w:rPr>
            </w:pPr>
            <w:r>
              <w:rPr>
                <w:rFonts w:asciiTheme="majorHAnsi" w:hAnsiTheme="majorHAnsi" w:cstheme="majorHAnsi"/>
                <w:sz w:val="20"/>
                <w:szCs w:val="20"/>
              </w:rPr>
              <w:t>Arrende för del av Boden 57:66</w:t>
            </w:r>
          </w:p>
        </w:tc>
        <w:tc>
          <w:tcPr>
            <w:tcW w:w="1985" w:type="dxa"/>
          </w:tcPr>
          <w:p>
            <w:pPr>
              <w:rPr>
                <w:rFonts w:asciiTheme="majorHAnsi" w:hAnsiTheme="majorHAnsi" w:cstheme="majorHAnsi"/>
                <w:sz w:val="20"/>
                <w:szCs w:val="20"/>
              </w:rPr>
            </w:pPr>
            <w:r>
              <w:rPr>
                <w:rFonts w:asciiTheme="majorHAnsi" w:hAnsiTheme="majorHAnsi" w:cstheme="majorHAnsi"/>
                <w:sz w:val="20"/>
                <w:szCs w:val="20"/>
              </w:rPr>
              <w:t xml:space="preserve">Boden 53:8 </w:t>
              <w:br w:type="textWrapping"/>
              <w:t>Kyrkan (utom plan)</w:t>
            </w:r>
          </w:p>
        </w:tc>
        <w:tc>
          <w:tcPr>
            <w:tcW w:w="2126" w:type="dxa"/>
          </w:tcPr>
          <w:p>
            <w:pPr>
              <w:rPr>
                <w:rFonts w:asciiTheme="majorHAnsi" w:hAnsiTheme="majorHAnsi" w:cstheme="majorBidi"/>
                <w:sz w:val="20"/>
                <w:szCs w:val="20"/>
              </w:rPr>
            </w:pPr>
            <w:r>
              <w:rPr>
                <w:rFonts w:asciiTheme="majorHAnsi" w:hAnsiTheme="majorHAnsi" w:cstheme="majorHAnsi"/>
                <w:sz w:val="20"/>
                <w:szCs w:val="20"/>
              </w:rPr>
              <w:t>Bodens kommun kommer överlåta del av fastigheten Boden 57:66 till Boden 53:8, Överluleå Församling.</w:t>
            </w:r>
          </w:p>
        </w:tc>
        <w:tc>
          <w:tcPr>
            <w:tcW w:w="1839" w:type="dxa"/>
          </w:tcPr>
          <w:p>
            <w:pPr>
              <w:rPr>
                <w:rFonts w:asciiTheme="majorHAnsi" w:hAnsiTheme="majorHAnsi" w:cstheme="majorHAnsi"/>
                <w:sz w:val="20"/>
                <w:szCs w:val="20"/>
              </w:rPr>
            </w:pPr>
            <w:r>
              <w:rPr>
                <w:rFonts w:asciiTheme="majorHAnsi" w:hAnsiTheme="majorHAnsi" w:cstheme="majorHAnsi"/>
                <w:sz w:val="20"/>
                <w:szCs w:val="20"/>
              </w:rPr>
              <w:t>-</w:t>
            </w:r>
          </w:p>
        </w:tc>
      </w:tr>
    </w:tbl>
    <w:p>
      <w:pPr>
        <w:pStyle w:val="P3"/>
      </w:pPr>
      <w:bookmarkEnd w:id="119"/>
      <w:bookmarkStart w:id="120" w:name="gf_rättigheter01"/>
      <w:r>
        <w:t>Rättigheter</w:t>
      </w:r>
    </w:p>
    <w:p>
      <w:r>
        <w:t>Planområdet berörs av ett avtalsservitut vattenledning (25-BOD 3054) men inga övriga kända rättighetsområden eller markreservat. Ingen gemensamhetsanläggning föreslås.</w:t>
      </w:r>
    </w:p>
    <w:p>
      <w:pPr>
        <w:pStyle w:val="P2"/>
      </w:pPr>
      <w:bookmarkEnd w:id="117"/>
      <w:bookmarkEnd w:id="120"/>
      <w:bookmarkStart w:id="121" w:name="gf_tekniskafrågor02"/>
      <w:r>
        <w:t>Tekniska frågor</w:t>
      </w:r>
    </w:p>
    <w:p>
      <w:r>
        <w:t>För tekniska undersökningar och andra åtgärder som kan komma att erfordras vid en framtida exploatering ansvarar respektive fastighetsägare.</w:t>
      </w:r>
    </w:p>
    <w:p>
      <w:r>
        <w:t>Fastighetsägaren/exploatören ansvarar för åtgärder inom kvartersmark och genomförande av detaljplanen.</w:t>
      </w:r>
    </w:p>
    <w:p>
      <w:r>
        <w:t>Rivning och hantering av befintliga byggnader regleras i markanvisningsavtalet.</w:t>
      </w:r>
    </w:p>
    <w:p>
      <w:pPr>
        <w:pStyle w:val="P3"/>
      </w:pPr>
      <w:bookmarkStart w:id="122" w:name="gf_utbyggnadallmänplats01"/>
      <w:r>
        <w:t>Utbyggnad allmän plats</w:t>
      </w:r>
    </w:p>
    <w:p>
      <w:r>
        <w:t>Kommunen ansvarar för utbyggnad av dagvattenhantering och utformning av allmän plats.</w:t>
      </w:r>
    </w:p>
    <w:p>
      <w:pPr>
        <w:pStyle w:val="P3"/>
      </w:pPr>
      <w:bookmarkEnd w:id="122"/>
      <w:bookmarkStart w:id="123" w:name="gf_utbyggnadvattenochavlopp01"/>
      <w:r>
        <w:t>Utbyggnad vatten och avlopp</w:t>
      </w:r>
    </w:p>
    <w:p>
      <w:r>
        <w:t xml:space="preserve">Kommunalt vatten och avlopp finns framdraget till aktuellt planområde. Framtida fastighetsägare bekostar utbyggnad inom planområdet och anslutning. </w:t>
      </w:r>
    </w:p>
    <w:p>
      <w:pPr>
        <w:pStyle w:val="P2"/>
      </w:pPr>
      <w:bookmarkEnd w:id="121"/>
      <w:bookmarkEnd w:id="123"/>
      <w:bookmarkStart w:id="124" w:name="gf_ekonomiskafrågor01"/>
      <w:r>
        <w:t>Ekonomiska frågor</w:t>
      </w:r>
    </w:p>
    <w:p>
      <w:r>
        <w:t>Bodens kommun ansvarar och står för upprättandet av detaljplanen.</w:t>
      </w:r>
    </w:p>
    <w:p>
      <w:pPr>
        <w:pStyle w:val="P3"/>
      </w:pPr>
      <w:bookmarkStart w:id="125" w:name="gf_planekonomiskbedömning01"/>
      <w:r>
        <w:t>Planekonomisk bedömning.</w:t>
      </w:r>
    </w:p>
    <w:p>
      <w:pPr>
        <w:pStyle w:val="P16"/>
        <w:numPr>
          <w:ilvl w:val="0"/>
          <w:numId w:val="16"/>
        </w:numPr>
      </w:pPr>
      <w:r>
        <w:t>Avgifter för anslutning till el, tele- och fibernät bekostas exploatören.</w:t>
      </w:r>
    </w:p>
    <w:p>
      <w:pPr>
        <w:pStyle w:val="P16"/>
        <w:numPr>
          <w:ilvl w:val="0"/>
          <w:numId w:val="17"/>
        </w:numPr>
      </w:pPr>
      <w:r>
        <w:t>Samtliga kostnader för projektering, byggnation och anläggningsarbeten på respektive fastighet betalas av exploatören.</w:t>
      </w:r>
    </w:p>
    <w:p>
      <w:pPr>
        <w:pStyle w:val="P16"/>
        <w:numPr>
          <w:ilvl w:val="0"/>
          <w:numId w:val="18"/>
        </w:numPr>
      </w:pPr>
      <w:r>
        <w:t>Kommunen bekostar behövlig lantmäteriförrättning.</w:t>
      </w:r>
    </w:p>
    <w:p>
      <w:pPr>
        <w:pStyle w:val="P16"/>
        <w:numPr>
          <w:ilvl w:val="0"/>
          <w:numId w:val="18"/>
        </w:numPr>
      </w:pPr>
      <w:r>
        <w:t>Exploatören bekostar eventuella kompletterande utredningar till bygglovsskedet.</w:t>
      </w:r>
    </w:p>
    <w:p>
      <w:pPr>
        <w:pStyle w:val="P16"/>
        <w:numPr>
          <w:ilvl w:val="0"/>
          <w:numId w:val="18"/>
        </w:numPr>
      </w:pPr>
      <w:r>
        <w:rPr>
          <w:szCs w:val="24"/>
        </w:rPr>
        <w:t>Stabilitetshöjande åtgärder i form av erosionsskydd mm inom allmän platsmark ansvarar Bodens kommun för.</w:t>
      </w:r>
    </w:p>
    <w:p>
      <w:pPr>
        <w:pStyle w:val="P16"/>
        <w:numPr>
          <w:ilvl w:val="0"/>
          <w:numId w:val="18"/>
        </w:numPr>
      </w:pPr>
      <w:r>
        <w:rPr>
          <w:szCs w:val="24"/>
        </w:rPr>
        <w:t>För eventuella stabilitetshöjande åtgärder inom kvartersmarken ansvarar exploatören för.</w:t>
      </w:r>
    </w:p>
    <w:p>
      <w:pPr>
        <w:pStyle w:val="P16"/>
      </w:pPr>
      <w:r>
        <w:rPr>
          <w:szCs w:val="24"/>
        </w:rPr>
        <w:t>Kommunen ansvarar för och bekostar hantering av markförorening inom allmän platsmark-park.</w:t>
      </w:r>
    </w:p>
    <w:p>
      <w:pPr>
        <w:pStyle w:val="P16"/>
        <w:numPr>
          <w:ilvl w:val="0"/>
          <w:numId w:val="18"/>
        </w:numPr>
      </w:pPr>
      <w:r>
        <w:rPr>
          <w:szCs w:val="24"/>
        </w:rPr>
        <w:t>Eventuell sulfidjord, (vilken inte är klassad som markförorening) inom kvartersmark hanteras av exploatören.</w:t>
      </w:r>
    </w:p>
    <w:p>
      <w:pPr>
        <w:pStyle w:val="P3"/>
      </w:pPr>
      <w:bookmarkEnd w:id="125"/>
      <w:bookmarkStart w:id="126" w:name="gf_planavgift01"/>
      <w:r>
        <w:t>Planavgift/planavtal</w:t>
      </w:r>
    </w:p>
    <w:p>
      <w:r>
        <w:t>Något planavtal upprättas inte inom ramen för planarbetet.</w:t>
      </w:r>
    </w:p>
    <w:p>
      <w:pPr>
        <w:pStyle w:val="P3"/>
      </w:pPr>
      <w:bookmarkEnd w:id="126"/>
      <w:bookmarkStart w:id="127" w:name="gf_gemensamhetsanläggningar01"/>
      <w:r>
        <w:t>Gemensamhetsanläggningar</w:t>
      </w:r>
    </w:p>
    <w:p>
      <w:r>
        <w:t>Något behov av gemensamhetsanläggningar föreligger ej.</w:t>
      </w:r>
    </w:p>
    <w:p>
      <w:pPr>
        <w:pStyle w:val="P3"/>
      </w:pPr>
      <w:bookmarkEnd w:id="127"/>
      <w:bookmarkStart w:id="128" w:name="gf_driftallmänplats01"/>
      <w:r>
        <w:t>Drift allmän plats</w:t>
      </w:r>
    </w:p>
    <w:p>
      <w:r>
        <w:t>Kommunen ansvarar för anläggande av dagvattenhantering liksom drift och underhåll av allmän platsmark.</w:t>
      </w:r>
    </w:p>
    <w:p>
      <w:pPr>
        <w:pStyle w:val="P3"/>
      </w:pPr>
      <w:bookmarkEnd w:id="128"/>
      <w:bookmarkStart w:id="129" w:name="gf_driftvattenochavlopp01"/>
      <w:r>
        <w:t>Drift vatten och avlopp</w:t>
      </w:r>
    </w:p>
    <w:p>
      <w:r>
        <w:t>Kommunen ansvarar för drift och underhåll avseende vatten och avlopp inom allmän platsmark.</w:t>
      </w:r>
    </w:p>
    <w:p>
      <w:pPr>
        <w:pStyle w:val="P3"/>
      </w:pPr>
      <w:bookmarkEnd w:id="129"/>
      <w:bookmarkStart w:id="130" w:name="gf_gatukostnader01"/>
      <w:r>
        <w:t>Gatukostnader</w:t>
      </w:r>
    </w:p>
    <w:p>
      <w:r>
        <w:t>Kommunen kommer att stå för åtgärder inom Sveavägen för att möjliggöra in- och utfart, för drift av dagvattenlösningen, till allmän platsmark. Exploatören ansvarar och bekostar åtgärder för att möjliggöra in- och utfart till kvartersmark inom aktuellt planområde.</w:t>
      </w:r>
    </w:p>
    <w:p>
      <w:pPr>
        <w:pStyle w:val="P2"/>
      </w:pPr>
      <w:bookmarkEnd w:id="124"/>
      <w:bookmarkEnd w:id="130"/>
      <w:bookmarkStart w:id="131" w:name="gf_organisatoriskafrågor01"/>
      <w:r>
        <w:t>Organisatoriska frågor</w:t>
      </w:r>
    </w:p>
    <w:p>
      <w:pPr>
        <w:pStyle w:val="P3"/>
      </w:pPr>
      <w:bookmarkStart w:id="132" w:name="gf_markanvisning01"/>
      <w:r>
        <w:t>Markanvisning</w:t>
      </w:r>
    </w:p>
    <w:p>
      <w:r>
        <w:t>Ett markanvisningsavtal har tecknats mellan Bodens kommun och Lindbäcks Fastigheter Piteå AB. Markanvisning innebär här en ensamrätt (en option) för exploatören att under en begränsad tidsperiod, under villkor som anges i avtalet, förhandla med kommunen om överlåtelse av del av fastigheten Boden 57:66 som omfattar cirka 2,8 ha.</w:t>
      </w:r>
    </w:p>
    <w:p>
      <w:pPr>
        <w:pStyle w:val="P3"/>
      </w:pPr>
      <w:bookmarkEnd w:id="132"/>
      <w:bookmarkStart w:id="133" w:name="gf_planavtal01"/>
      <w:r>
        <w:t xml:space="preserve">Planavtal </w:t>
      </w:r>
    </w:p>
    <w:p>
      <w:r>
        <w:t>Inget planavtal kommer upprättas. Ett kommande överlåtelseavtal kommer att villkoras av ny detaljplan samt påbörjad byggnation.</w:t>
      </w:r>
    </w:p>
    <w:p>
      <w:pPr>
        <w:pStyle w:val="P3"/>
      </w:pPr>
      <w:bookmarkEnd w:id="133"/>
      <w:bookmarkStart w:id="134" w:name="gf_tidplan01"/>
      <w:r>
        <w:t>Tidplan</w:t>
      </w:r>
    </w:p>
    <w:p>
      <w:pPr>
        <w:rPr>
          <w:color w:val="FF0000"/>
        </w:rPr>
      </w:pPr>
      <w:r>
        <w:t>Detaljplanen handläggs med utökat förfarande enligt Plan- och bygglagen. PBL och planeras antas av kommunfullmäktige under hösten 2024.</w:t>
      </w:r>
    </w:p>
    <w:p>
      <w:pPr>
        <w:pStyle w:val="P3"/>
      </w:pPr>
      <w:bookmarkEnd w:id="134"/>
      <w:bookmarkStart w:id="135" w:name="gf_genomförandetid01"/>
      <w:r>
        <w:t>Genomförandetid</w:t>
      </w:r>
    </w:p>
    <w:p>
      <w:r>
        <w:t>Genomförandetiden är den tidsrymd inom vilken en detaljplan är tänkt att genomföras. En detaljplan fortsätter att gälla, även efter genomförandetidens slut, fram till den dag kommunen gör en ny plan eller till dess att planen ändras eller upphävs. Ändring av detaljplanen får ske under genomförandetiden för att införa fastighetsindelningsbestämmelser.</w:t>
      </w:r>
    </w:p>
    <w:p>
      <w:r>
        <w:t xml:space="preserve">Genomförandetiden är 5 år (60 månader) från den dag planen vinner laga kraft. </w:t>
      </w:r>
    </w:p>
    <w:p>
      <w:pPr>
        <w:pStyle w:val="P2"/>
      </w:pPr>
      <w:bookmarkEnd w:id="131"/>
      <w:bookmarkEnd w:id="135"/>
      <w:bookmarkStart w:id="136" w:name="gf_annat01"/>
      <w:r>
        <w:t>Annat</w:t>
      </w:r>
    </w:p>
    <w:p>
      <w:r>
        <w:t>Kommunen ansvarar för att upprätta detaljplanen.</w:t>
      </w:r>
    </w:p>
    <w:p>
      <w:pPr>
        <w:spacing w:before="60" w:beforeAutospacing="0" w:afterAutospacing="0"/>
      </w:pPr>
      <w:r>
        <w:t>Fastighetsägaren/exploatören ansvarar för åtgärder inom kvartersmark och genomförande av detaljplanen. Exploatören kan efter skriftlig överenskommelse med kommunen ges tillåtelse att utföra</w:t>
      </w:r>
      <w:r>
        <w:rPr>
          <w:szCs w:val="24"/>
        </w:rPr>
        <w:t xml:space="preserve"> erforderliga förberedande undersökningar, mätningar, </w:t>
      </w:r>
      <w:r>
        <w:t>markarbeten inom aktuellt område före det formella tillträdet. Det ankommer därvid på exploatören att inhämta behövliga tillstånd för arbetena.</w:t>
      </w:r>
    </w:p>
    <w:p>
      <w:pPr>
        <w:pStyle w:val="P2"/>
      </w:pPr>
      <w:bookmarkEnd w:id="136"/>
      <w:bookmarkStart w:id="137" w:name="gf_upplysningar01"/>
      <w:r>
        <w:t>Upplysningar</w:t>
      </w:r>
    </w:p>
    <w:p>
      <w:pPr>
        <w:pStyle w:val="P3"/>
      </w:pPr>
      <w:r>
        <w:t>Grundläggning</w:t>
      </w:r>
    </w:p>
    <w:p>
      <w:r>
        <w:t>På området återfinns naturlig jord av mycket löst lagrade sand-, silt- och lersediment. Förhållandena är dock varierande och bör således värderas separat för enskilda byggnader på området.</w:t>
      </w:r>
    </w:p>
    <w:p>
      <w:r>
        <w:t xml:space="preserve">Genom föreslagna åtgärder beroende på byggnadstyp bedöms risken för sättningar vara godtagbar. På delar av området kommer sättningsreducerande åtgärder i form av kompensationsgrundläggning och/eller förbelastning krävas. För tyngre byggnader utan källare på delar där kohesionsjordarna mäktighet är som störst kan pålning krävas. Kompletterande undersökningar utifrån vald layout och typ av byggnader bör utföras inför detaljprojektering av grundläggning för att möjliggöra optimering sättningsreducerande åtgärder. I kommande tidplaner bör liggtider för överlaster tas med, uppskattningsvis minst 6 månader, då detta är den billigaste sättningsreducerande åtgärden. </w:t>
      </w:r>
    </w:p>
    <w:p>
      <w:pPr>
        <w:spacing w:after="120" w:beforeAutospacing="0" w:afterAutospacing="0"/>
      </w:pPr>
      <w:bookmarkEnd w:id="137"/>
      <w:r>
        <w:br w:type="page"/>
      </w:r>
    </w:p>
    <w:p>
      <w:pPr>
        <w:pStyle w:val="P1"/>
      </w:pPr>
      <w:bookmarkStart w:id="138" w:name="_Toc167430722"/>
      <w:r>
        <w:t>Konsekvenser av planens genomförande</w:t>
      </w:r>
      <w:bookmarkEnd w:id="138"/>
    </w:p>
    <w:p>
      <w:pPr>
        <w:pStyle w:val="P2"/>
      </w:pPr>
      <w:bookmarkStart w:id="139" w:name="ko_riksintresse01"/>
      <w:r>
        <w:t>Förenlighet med 3, 4 och 5 kap. Miljöbalken</w:t>
      </w:r>
    </w:p>
    <w:p>
      <w:pPr>
        <w:pStyle w:val="P3"/>
      </w:pPr>
      <w:bookmarkStart w:id="140" w:name="ko_totalförsvar01"/>
      <w:r>
        <w:t>Riksintresse för totalförsvaret</w:t>
      </w:r>
    </w:p>
    <w:p>
      <w:r>
        <w:t>Planområdet omfattas av riksintresse för totalförsvaret enligt 3 kap. 9 § miljöbalken och ligger inom stoppområde för höga objekt samt inom område med särskilt behov av hindersfrihet. Eftersom planområdet ligger inom tätorten ska planer som tillåter bebyggelse högre än 45 meter samrådas med Försvarsmakten. Planförslaget medger en bebyggelse av som högst 21 meters nockhöjd och påverkar därför inte hindersfriheten för Försvaret.</w:t>
      </w:r>
    </w:p>
    <w:p>
      <w:pPr>
        <w:pStyle w:val="P3"/>
      </w:pPr>
      <w:bookmarkEnd w:id="140"/>
      <w:bookmarkStart w:id="141" w:name="ko_trafikkommunikation01"/>
      <w:r>
        <w:t>Riksintresse för kommunikationer</w:t>
      </w:r>
    </w:p>
    <w:p>
      <w:r>
        <w:t>Planområdet ligger även inom hindersfritt område för Luleå flygplats riksintresse för kommunikationer enligt 3 kap. 8 § miljöbalken. Uppförande av byggnader eller objekt högre än 20 meter bedöms kunna ha en negativ inverkan på flygtrafiken. Eftersom detaljplaneförslaget tillåter en bebyggelse högre än 20 meter kommer Luftfartsverket, Försvarsmakten och Luleå Flygplats tillfrågas som sakägare.</w:t>
      </w:r>
    </w:p>
    <w:p>
      <w:pPr>
        <w:pStyle w:val="P3"/>
      </w:pPr>
      <w:bookmarkEnd w:id="141"/>
      <w:bookmarkStart w:id="142" w:name="ko_kulturmiljövård01"/>
      <w:r>
        <w:t>Riksintresse för kulturmiljövård</w:t>
      </w:r>
    </w:p>
    <w:p>
      <w:r>
        <w:t>Planområdet omfattas av riksintresse för kulturmiljövården Boden BD74 enligt 3 kap. 6 § miljöbalken. En exploatering av området för med sig att området används och underhålls, vilket gynnar en allmän tillgänglighet till platsen. De befintliga byggnaderna är i varierande skick med ett delvis mycket eftersatt underhåll. Det är därför inte ekonomiskt försvarbart att renovera och behålla byggnaderna varför dessa kommer att rivas. I övrigt är skjutbanan sedan tidigare borttagen och övningsområdet är till stor del igenvuxet med sly och mindre träd. Planförslaget innebär att vegetation sparas längs med planområdets södra och östra sida mot angränsande gatumark.</w:t>
      </w:r>
    </w:p>
    <w:p>
      <w:r>
        <w:t xml:space="preserve">Utifrån riktningen på befintliga byggnader och stråk vid Sveafältet, Lundagård och Kårbacken har siktlinjer och noder identifierats och tillvaratagits i förslag till placering av ny bebyggelse. De stora och visuellt dominerande kasernbyggnaderna i omgivningen är lokaliserade sydöst och sydväst om planområdet. Dessa byggnader är väl synliga och ganska dominanta, mycket tack vare sin höga placering i kombination med byggnadernas höjd. Planområdet med sin sluttande mark mot Bodån har en högsta markhöjd på 16 meter och är med det underordnad omgivningen. </w:t>
      </w:r>
    </w:p>
    <w:p>
      <w:r>
        <w:t>De siktlinjer som är de mest utmärkande kommer att finnas kvar. Nedan redovisas foton från Norrbottens museum tagna på aktuell plats samt bilder från en volymstudie. Skärmklippen är tagna mot siktlinjerna.</w:t>
      </w:r>
    </w:p>
    <w:p>
      <w:pPr>
        <w:pStyle w:val="P16"/>
        <w:numPr>
          <w:ilvl w:val="0"/>
          <w:numId w:val="21"/>
        </w:numPr>
      </w:pPr>
      <w:r>
        <w:t>Siktlinje i sydöstlig riktning mot regementsbyggnaderna på andra sidan Bodån:</w:t>
      </w:r>
    </w:p>
    <w:p>
      <w:r>
        <w:rPr>
          <w:noProof w:val="1"/>
        </w:rPr>
        <mc:AlternateContent>
          <mc:Choice Requires="wps">
            <w:drawing>
              <wp:anchor xmlns:wp="http://schemas.openxmlformats.org/drawingml/2006/wordprocessingDrawing" distT="0" distB="0" distL="114300" distR="114300" simplePos="0" relativeHeight="37" behindDoc="0" locked="0" layoutInCell="1" allowOverlap="1">
                <wp:simplePos x="0" y="0"/>
                <wp:positionH relativeFrom="column">
                  <wp:posOffset>337820</wp:posOffset>
                </wp:positionH>
                <wp:positionV relativeFrom="paragraph">
                  <wp:posOffset>575310</wp:posOffset>
                </wp:positionV>
                <wp:extent cx="1460500" cy="1197610"/>
                <wp:effectExtent l="19050" t="19050" r="25400" b="21590"/>
                <wp:wrapNone/>
                <wp:docPr id="1437804579" name="Ellips 1437804579"/>
                <wp:cNvGraphicFramePr/>
                <a:graphic xmlns:a="http://schemas.openxmlformats.org/drawingml/2006/main">
                  <a:graphicData uri="http://schemas.microsoft.com/office/word/2010/wordprocessingShape">
                    <wps:wsp>
                      <wps:cNvSpPr/>
                      <wps:spPr>
                        <a:xfrm>
                          <a:off x="0" y="0"/>
                          <a:ext cx="1460938" cy="1198180"/>
                        </a:xfrm>
                        <a:prstGeom prst="ellipse"/>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437804579" o:spid="_x0000_s1056" style="position:absolute;width:115pt;height:94.3pt;z-index:37;mso-wrap-distance-left:9pt;mso-wrap-distance-top:0pt;mso-wrap-distance-right:9pt;mso-wrap-distance-bottom:0pt;margin-left:26.6pt;margin-top:45.3pt;mso-position-horizontal:absolute;mso-position-horizontal-relative:text;mso-position-vertical:absolute;mso-position-vertical-relative:text;v-text-anchor:middle" o:allowincell="t" filled="f" strokecolor="#FF0000" strokeweight="3pt" stroked="t">
                <v:textbox inset="3mm,1mm,3mm,1mm">
                  <w:txbxContent>
                    <w:p/>
                  </w:txbxContent>
                </v:textbox>
              </v:oval>
            </w:pict>
          </mc:Fallback>
        </mc:AlternateContent>
      </w:r>
      <w:r>
        <w:rPr>
          <w:noProof w:val="1"/>
        </w:rPr>
        <w:drawing>
          <wp:inline xmlns:wp="http://schemas.openxmlformats.org/drawingml/2006/wordprocessingDrawing" distT="0" distB="0" distL="0" distR="0">
            <wp:extent cx="4035425" cy="3024505"/>
            <wp:effectExtent l="0" t="0" r="3175" b="4445"/>
            <wp:docPr id="1119649949" name="Bildobjekt 1119649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68"/>
                    <a:srcRect/>
                    <a:stretch>
                      <a:fillRect/>
                    </a:stretch>
                  </pic:blipFill>
                  <pic:spPr bwMode="auto">
                    <a:xfrm>
                      <a:off x="0" y="0"/>
                      <a:ext cx="4114232" cy="3083547"/>
                    </a:xfrm>
                    <a:prstGeom prst="rect"/>
                    <a:noFill/>
                    <a:ln>
                      <a:noFill/>
                    </a:ln>
                  </pic:spPr>
                </pic:pic>
              </a:graphicData>
            </a:graphic>
          </wp:inline>
        </w:drawing>
      </w:r>
    </w:p>
    <w:p>
      <w:r>
        <w:t>Ingen byggnation kommer att ske nedanför den befintliga infarten till området. Marken norr om vägen, på bilderna, planläggs som park.</w:t>
      </w:r>
    </w:p>
    <w:p>
      <w:r>
        <w:rPr>
          <w:noProof w:val="1"/>
        </w:rPr>
        <w:drawing>
          <wp:inline xmlns:wp="http://schemas.openxmlformats.org/drawingml/2006/wordprocessingDrawing" distT="0" distB="0" distL="0" distR="0">
            <wp:extent cx="4276090" cy="2091055"/>
            <wp:effectExtent l="0" t="0" r="0" b="4445"/>
            <wp:docPr id="1220152737" name="Bildobjekt 1220152737" descr="En bild som visar gräs, utomhus, himmel,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52737" name="Bildobjekt 1" descr="En bild som visar gräs, utomhus, himmel, växt&#10;&#10;Automatiskt genererad beskrivning"/>
                    <pic:cNvPicPr/>
                  </pic:nvPicPr>
                  <pic:blipFill dpi="0">
                    <a:blip xmlns:r="http://schemas.openxmlformats.org/officeDocument/2006/relationships" r:embed="Relimage69"/>
                    <a:srcRect/>
                    <a:stretch>
                      <a:fillRect/>
                    </a:stretch>
                  </pic:blipFill>
                  <pic:spPr>
                    <a:xfrm>
                      <a:off x="0" y="0"/>
                      <a:ext cx="4303515" cy="2104919"/>
                    </a:xfrm>
                    <a:prstGeom prst="rect"/>
                  </pic:spPr>
                </pic:pic>
              </a:graphicData>
            </a:graphic>
          </wp:inline>
        </w:drawing>
      </w:r>
    </w:p>
    <w:p>
      <w:pPr>
        <w:spacing w:lineRule="auto" w:line="240" w:after="0" w:beforeAutospacing="0" w:afterAutospacing="0"/>
        <w:rPr>
          <w:rFonts w:ascii="Times New Roman" w:hAnsi="Times New Roman"/>
          <w:color w:val="000000"/>
          <w:szCs w:val="24"/>
        </w:rPr>
      </w:pPr>
    </w:p>
    <w:p>
      <w:pPr>
        <w:pStyle w:val="P16"/>
        <w:numPr>
          <w:ilvl w:val="0"/>
          <w:numId w:val="21"/>
        </w:numPr>
      </w:pPr>
      <w:r>
        <w:t>Siktlinje från skjutbaneområdet i sydlig riktning mot kanslibyggnaden på motsatt sida av Sveavägen:</w:t>
      </w:r>
    </w:p>
    <w:p>
      <w:r>
        <w:rPr>
          <w:noProof w:val="1"/>
        </w:rPr>
        <w:drawing>
          <wp:inline xmlns:wp="http://schemas.openxmlformats.org/drawingml/2006/wordprocessingDrawing" distT="0" distB="0" distL="0" distR="0">
            <wp:extent cx="4161790" cy="3132455"/>
            <wp:effectExtent l="0" t="0" r="0" b="0"/>
            <wp:docPr id="1216587944" name="Bildobjekt 1216587944" descr="En bild som visar utomhus, gräs, växt, himm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87944" name="Bildobjekt 1" descr="En bild som visar utomhus, gräs, växt, himmel&#10;&#10;Automatiskt genererad beskrivning"/>
                    <pic:cNvPicPr/>
                  </pic:nvPicPr>
                  <pic:blipFill dpi="0">
                    <a:blip xmlns:r="http://schemas.openxmlformats.org/officeDocument/2006/relationships" r:embed="Relimage70"/>
                    <a:srcRect/>
                    <a:stretch>
                      <a:fillRect/>
                    </a:stretch>
                  </pic:blipFill>
                  <pic:spPr>
                    <a:xfrm>
                      <a:off x="0" y="0"/>
                      <a:ext cx="4208048" cy="3167167"/>
                    </a:xfrm>
                    <a:prstGeom prst="rect"/>
                  </pic:spPr>
                </pic:pic>
              </a:graphicData>
            </a:graphic>
          </wp:inline>
        </w:drawing>
      </w:r>
    </w:p>
    <w:p>
      <w:r>
        <w:t>Ingen byggnation kommer att ske vid det gamla skjutbaneområdet. Marken planläggs som park. Det gamla skjutbaneområdet är idag enbart en grusad yta.</w:t>
      </w:r>
    </w:p>
    <w:p>
      <w:r>
        <w:rPr>
          <w:noProof w:val="1"/>
        </w:rPr>
        <w:drawing>
          <wp:inline xmlns:wp="http://schemas.openxmlformats.org/drawingml/2006/wordprocessingDrawing" distT="0" distB="0" distL="0" distR="0">
            <wp:extent cx="4532630" cy="2501265"/>
            <wp:effectExtent l="0" t="0" r="1270" b="0"/>
            <wp:docPr id="1133268507" name="Bildobjekt 1133268507" descr="En bild som visar gräs, utomhus, himmel,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68507" name="Bildobjekt 1" descr="En bild som visar gräs, utomhus, himmel, växt&#10;&#10;Automatiskt genererad beskrivning"/>
                    <pic:cNvPicPr/>
                  </pic:nvPicPr>
                  <pic:blipFill dpi="0">
                    <a:blip xmlns:r="http://schemas.openxmlformats.org/officeDocument/2006/relationships" r:embed="Relimage71"/>
                    <a:srcRect/>
                    <a:stretch>
                      <a:fillRect/>
                    </a:stretch>
                  </pic:blipFill>
                  <pic:spPr>
                    <a:xfrm>
                      <a:off x="0" y="0"/>
                      <a:ext cx="4546268" cy="2508937"/>
                    </a:xfrm>
                    <a:prstGeom prst="rect"/>
                  </pic:spPr>
                </pic:pic>
              </a:graphicData>
            </a:graphic>
          </wp:inline>
        </w:drawing>
      </w:r>
    </w:p>
    <w:p>
      <w:pPr>
        <w:pStyle w:val="P16"/>
        <w:numPr>
          <w:ilvl w:val="0"/>
          <w:numId w:val="21"/>
        </w:numPr>
        <w:spacing w:lineRule="auto" w:line="240" w:after="129" w:beforeAutospacing="0" w:afterAutospacing="0"/>
        <w:rPr>
          <w:rFonts w:ascii="Times New Roman" w:hAnsi="Times New Roman"/>
          <w:color w:val="000000"/>
          <w:szCs w:val="24"/>
        </w:rPr>
      </w:pPr>
      <w:r>
        <w:rPr>
          <w:rFonts w:ascii="Times New Roman" w:hAnsi="Times New Roman"/>
          <w:color w:val="000000"/>
          <w:szCs w:val="24"/>
        </w:rPr>
        <w:t xml:space="preserve">Siktlinje från fastighetens sydöstra område i sydvästlig riktning mot kanslibyggnaden vid Sveavägen. </w:t>
      </w:r>
    </w:p>
    <w:p>
      <w:pPr>
        <w:pStyle w:val="P16"/>
        <w:spacing w:lineRule="auto" w:line="240" w:after="129" w:beforeAutospacing="0" w:afterAutospacing="0"/>
        <w:rPr>
          <w:rFonts w:ascii="Times New Roman" w:hAnsi="Times New Roman"/>
          <w:color w:val="000000"/>
          <w:szCs w:val="24"/>
        </w:rPr>
      </w:pPr>
    </w:p>
    <w:p>
      <w:pPr>
        <w:spacing w:lineRule="auto" w:line="240" w:after="129" w:beforeAutospacing="0" w:afterAutospacing="0"/>
        <w:ind w:left="360"/>
        <w:jc w:val="both"/>
        <w:rPr>
          <w:rFonts w:ascii="Times New Roman" w:hAnsi="Times New Roman"/>
          <w:color w:val="000000"/>
          <w:szCs w:val="24"/>
        </w:rPr>
      </w:pPr>
      <w:r>
        <w:rPr>
          <w:rFonts w:ascii="Times New Roman" w:hAnsi="Times New Roman"/>
          <w:noProof w:val="1"/>
          <w:color w:val="000000"/>
          <w:szCs w:val="24"/>
        </w:rPr>
        <w:drawing>
          <wp:inline xmlns:wp="http://schemas.openxmlformats.org/drawingml/2006/wordprocessingDrawing" distT="0" distB="0" distL="0" distR="0">
            <wp:extent cx="3729355" cy="2458085"/>
            <wp:effectExtent l="0" t="0" r="4445" b="0"/>
            <wp:docPr id="648471452" name="Bildobjekt 648471452" descr="En bild som visar utomhus, moln, himmel, Tom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71452" name="Bildobjekt 1" descr="En bild som visar utomhus, moln, himmel, Tomt&#10;&#10;Automatiskt genererad beskrivning"/>
                    <pic:cNvPicPr/>
                  </pic:nvPicPr>
                  <pic:blipFill dpi="0">
                    <a:blip xmlns:r="http://schemas.openxmlformats.org/officeDocument/2006/relationships" r:embed="Relimage72"/>
                    <a:srcRect t="826" b="1"/>
                    <a:stretch>
                      <a:fillRect/>
                    </a:stretch>
                  </pic:blipFill>
                  <pic:spPr bwMode="auto">
                    <a:xfrm>
                      <a:off x="0" y="0"/>
                      <a:ext cx="3730377" cy="2459185"/>
                    </a:xfrm>
                    <a:prstGeom prst="rect"/>
                    <a:ln>
                      <a:noFill/>
                    </a:ln>
                  </pic:spPr>
                </pic:pic>
              </a:graphicData>
            </a:graphic>
          </wp:inline>
        </w:drawing>
      </w:r>
    </w:p>
    <w:p>
      <w:pPr>
        <w:spacing w:lineRule="auto" w:line="240" w:after="0" w:beforeAutospacing="0" w:afterAutospacing="0"/>
        <w:ind w:left="360"/>
        <w:jc w:val="both"/>
        <w:rPr>
          <w:rFonts w:ascii="Times New Roman" w:hAnsi="Times New Roman"/>
          <w:color w:val="000000"/>
          <w:szCs w:val="24"/>
        </w:rPr>
      </w:pPr>
    </w:p>
    <w:p>
      <w:pPr>
        <w:spacing w:lineRule="auto" w:line="240" w:after="129" w:beforeAutospacing="0" w:afterAutospacing="0"/>
        <w:ind w:left="360"/>
      </w:pPr>
      <w:r>
        <w:t>Planområdet med sin sluttande mark mot Bodån har en högsta markhöjd på 16 meter och med det underordnad omgivningen. Kanslibyggnaden ligger på cirka 20 meter. Den högre bebyggelsen i plankartan är orienterad mot Kyrkogårdsgatan och byggnadshöjden följer den befintliga markhöjden och trappas succesivt ner mot Bodån och Sveavägen. Den lägre bebyggelsens lokalisering mot ravinen, Sveavägen och parkmarken. Varav siktlinjen mot kanslibyggnaden kommer bibehållas.</w:t>
      </w:r>
    </w:p>
    <w:p>
      <w:pPr>
        <w:spacing w:lineRule="auto" w:line="240" w:after="0" w:beforeAutospacing="0" w:afterAutospacing="0"/>
        <w:ind w:left="360"/>
      </w:pPr>
    </w:p>
    <w:p>
      <w:pPr>
        <w:spacing w:lineRule="auto" w:line="240" w:after="129" w:beforeAutospacing="0" w:afterAutospacing="0"/>
        <w:ind w:left="360"/>
      </w:pPr>
      <w:r>
        <w:rPr>
          <w:noProof w:val="1"/>
        </w:rPr>
        <w:drawing>
          <wp:inline xmlns:wp="http://schemas.openxmlformats.org/drawingml/2006/wordprocessingDrawing" distT="0" distB="0" distL="0" distR="0">
            <wp:extent cx="4160520" cy="2218055"/>
            <wp:effectExtent l="0" t="0" r="0" b="0"/>
            <wp:docPr id="580869864" name="Bildobjekt 580869864" descr="En bild som visar utomhus, himmel, gräs,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69864" name="Bildobjekt 1" descr="En bild som visar utomhus, himmel, gräs, moln&#10;&#10;Automatiskt genererad beskrivning"/>
                    <pic:cNvPicPr/>
                  </pic:nvPicPr>
                  <pic:blipFill dpi="0">
                    <a:blip xmlns:r="http://schemas.openxmlformats.org/officeDocument/2006/relationships" r:embed="Relimage73"/>
                    <a:srcRect/>
                    <a:stretch>
                      <a:fillRect/>
                    </a:stretch>
                  </pic:blipFill>
                  <pic:spPr>
                    <a:xfrm>
                      <a:off x="0" y="0"/>
                      <a:ext cx="4181795" cy="2229477"/>
                    </a:xfrm>
                    <a:prstGeom prst="rect"/>
                  </pic:spPr>
                </pic:pic>
              </a:graphicData>
            </a:graphic>
          </wp:inline>
        </w:drawing>
      </w:r>
    </w:p>
    <w:p>
      <w:pPr>
        <w:pStyle w:val="P16"/>
        <w:numPr>
          <w:ilvl w:val="0"/>
          <w:numId w:val="21"/>
        </w:numPr>
        <w:spacing w:lineRule="auto" w:line="240" w:after="129" w:beforeAutospacing="0" w:afterAutospacing="0"/>
        <w:rPr>
          <w:rFonts w:ascii="Times New Roman" w:hAnsi="Times New Roman"/>
          <w:color w:val="000000"/>
          <w:szCs w:val="24"/>
        </w:rPr>
      </w:pPr>
      <w:r>
        <w:rPr>
          <w:rFonts w:ascii="Times New Roman" w:hAnsi="Times New Roman"/>
          <w:color w:val="000000"/>
          <w:szCs w:val="24"/>
        </w:rPr>
        <w:t>Siktlinje från kanten av fastighetens sydöstra område i västlig riktning längs med Sveavägen och dess inramande björkallé.</w:t>
      </w:r>
    </w:p>
    <w:p>
      <w:r>
        <w:rPr>
          <w:noProof w:val="1"/>
        </w:rPr>
        <w:drawing>
          <wp:inline xmlns:wp="http://schemas.openxmlformats.org/drawingml/2006/wordprocessingDrawing" distT="0" distB="0" distL="0" distR="0">
            <wp:extent cx="4351020" cy="2920365"/>
            <wp:effectExtent l="0" t="0" r="0" b="0"/>
            <wp:docPr id="1209852681" name="Bildobjekt 1209852681" descr="En bild som visar utomhus, himmel, väg,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52681" name="Bildobjekt 1" descr="En bild som visar utomhus, himmel, väg, träd&#10;&#10;Automatiskt genererad beskrivning"/>
                    <pic:cNvPicPr/>
                  </pic:nvPicPr>
                  <pic:blipFill dpi="0">
                    <a:blip xmlns:r="http://schemas.openxmlformats.org/officeDocument/2006/relationships" r:embed="Relimage74"/>
                    <a:srcRect/>
                    <a:stretch>
                      <a:fillRect/>
                    </a:stretch>
                  </pic:blipFill>
                  <pic:spPr>
                    <a:xfrm>
                      <a:off x="0" y="0"/>
                      <a:ext cx="4370652" cy="2933967"/>
                    </a:xfrm>
                    <a:prstGeom prst="rect"/>
                  </pic:spPr>
                </pic:pic>
              </a:graphicData>
            </a:graphic>
          </wp:inline>
        </w:drawing>
      </w:r>
    </w:p>
    <w:p>
      <w:r>
        <w:t>Avståndet från Sveavägens vägmitt till kvartersmark för bostäder är som minst 25 meter varav denna siktlinje kommer kvarstå.</w:t>
      </w:r>
    </w:p>
    <w:p>
      <w:r>
        <w:rPr>
          <w:noProof w:val="1"/>
        </w:rPr>
        <w:drawing>
          <wp:inline xmlns:wp="http://schemas.openxmlformats.org/drawingml/2006/wordprocessingDrawing" distT="0" distB="0" distL="0" distR="0">
            <wp:extent cx="4235450" cy="2394585"/>
            <wp:effectExtent l="0" t="0" r="0" b="5715"/>
            <wp:docPr id="724160604" name="Bildobjekt 724160604" descr="En bild som visar utomhus, himmel, moln, Tom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60604" name="Bildobjekt 1" descr="En bild som visar utomhus, himmel, moln, Tomt&#10;&#10;Automatiskt genererad beskrivning"/>
                    <pic:cNvPicPr/>
                  </pic:nvPicPr>
                  <pic:blipFill dpi="0">
                    <a:blip xmlns:r="http://schemas.openxmlformats.org/officeDocument/2006/relationships" r:embed="Relimage75"/>
                    <a:srcRect/>
                    <a:stretch>
                      <a:fillRect/>
                    </a:stretch>
                  </pic:blipFill>
                  <pic:spPr>
                    <a:xfrm>
                      <a:off x="0" y="0"/>
                      <a:ext cx="4239469" cy="2396848"/>
                    </a:xfrm>
                    <a:prstGeom prst="rect"/>
                  </pic:spPr>
                </pic:pic>
              </a:graphicData>
            </a:graphic>
          </wp:inline>
        </w:drawing>
      </w:r>
    </w:p>
    <w:p>
      <w:pPr>
        <w:pStyle w:val="P16"/>
        <w:numPr>
          <w:ilvl w:val="0"/>
          <w:numId w:val="21"/>
        </w:numPr>
        <w:spacing w:lineRule="auto" w:line="240" w:after="129" w:beforeAutospacing="0" w:afterAutospacing="0"/>
        <w:rPr>
          <w:rFonts w:ascii="Times New Roman" w:hAnsi="Times New Roman"/>
          <w:color w:val="000000"/>
          <w:szCs w:val="24"/>
        </w:rPr>
      </w:pPr>
      <w:r>
        <w:rPr>
          <w:rFonts w:ascii="Times New Roman" w:hAnsi="Times New Roman"/>
          <w:color w:val="000000"/>
          <w:szCs w:val="24"/>
        </w:rPr>
        <w:t>Siktlinje från fastighetens sydöstra område i östlig riktning mot Sveabron över Bodån och regementsbyggnaderna på motsatt sida av ån.</w:t>
      </w:r>
    </w:p>
    <w:p>
      <w:r>
        <w:rPr>
          <w:noProof w:val="1"/>
        </w:rPr>
        <w:drawing>
          <wp:inline xmlns:wp="http://schemas.openxmlformats.org/drawingml/2006/wordprocessingDrawing" distT="0" distB="0" distL="0" distR="0">
            <wp:extent cx="3641725" cy="2669540"/>
            <wp:effectExtent l="0" t="0" r="0" b="0"/>
            <wp:docPr id="1320626060" name="Bildobjekt 1320626060" descr="En bild som visar utomhus, fordon, himmel, Landford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26060" name="Bildobjekt 1" descr="En bild som visar utomhus, fordon, himmel, Landfordon&#10;&#10;Automatiskt genererad beskrivning"/>
                    <pic:cNvPicPr/>
                  </pic:nvPicPr>
                  <pic:blipFill dpi="0">
                    <a:blip xmlns:r="http://schemas.openxmlformats.org/officeDocument/2006/relationships" r:embed="Relimage76"/>
                    <a:srcRect/>
                    <a:stretch>
                      <a:fillRect/>
                    </a:stretch>
                  </pic:blipFill>
                  <pic:spPr>
                    <a:xfrm>
                      <a:off x="0" y="0"/>
                      <a:ext cx="3651997" cy="2676708"/>
                    </a:xfrm>
                    <a:prstGeom prst="rect"/>
                  </pic:spPr>
                </pic:pic>
              </a:graphicData>
            </a:graphic>
          </wp:inline>
        </w:drawing>
      </w:r>
    </w:p>
    <w:p>
      <w:r>
        <w:t>Ingen byggnation kommer att ske på denna yta då den ligger nedanför befintlig infart till området. Marken planläggs som park varav siktlinje bibehålls.</w:t>
      </w:r>
    </w:p>
    <w:p>
      <w:r>
        <w:t>Målet är att skapa en tydlig koppling med attraktiva och naturliga entréer från Bodån, genom hela området, upp till Kyrkogårdsgatan och Sveafältet och på så sätt stärka den kulturhistoriska kopplingen.</w:t>
      </w:r>
    </w:p>
    <w:p>
      <w:r>
        <w:t>Detaljplanen innebär ny bostadsbebyggelse på ett område som i nuläget till största delen är övergivet, vilket innebär att stadsbilden lokalt kommer att förändras vid ett genomförande av detaljplanen. Genom en anpassning och nedtrappning av den tillkommande bebyggelsen mot Bodån i höjdled och till siktlinjer anses planförslaget inte innebära en negativ påverkan på riksintresset utan stärker sambanden i bebyggelsestrukturen. Sammantaget bedöms konsekvenserna för kulturmiljön och stadsbilden som godtagbara.</w:t>
      </w:r>
      <w:bookmarkEnd w:id="139"/>
      <w:r>
        <w:t xml:space="preserve"> </w:t>
      </w:r>
      <w:bookmarkStart w:id="143" w:name="ko_hälsaochsäkerhet01"/>
    </w:p>
    <w:p>
      <w:pPr>
        <w:pStyle w:val="P2"/>
      </w:pPr>
      <w:bookmarkEnd w:id="142"/>
      <w:r>
        <w:t>Hälsa och säkerhet</w:t>
      </w:r>
    </w:p>
    <w:p>
      <w:pPr>
        <w:pStyle w:val="P3"/>
      </w:pPr>
      <w:bookmarkStart w:id="144" w:name="ko_förorenadmark01"/>
      <w:r>
        <w:t>Förorenad mark</w:t>
      </w:r>
    </w:p>
    <w:p>
      <w:r>
        <w:t xml:space="preserve">Det område som tidigare varit skjutbana kommer att ingå i allmän plats park och berör inte område för bostadsändamål. En mindre del av det förorenade området kan komma att användas till ett fördröjningsmagasin för dagvatten. </w:t>
      </w:r>
    </w:p>
    <w:p>
      <w:r>
        <w:t>Eftersom värdena för bly överstiger Naturvårdsverkets riktvärden för mindre känslig markanvändning behöver föroreningen avhjälpas. Provtagningen visade att blyhalter påträffats på mellan 0-1 meters djup, vilket är möjligt att avhjälpa genom utgrävning och bortförsel av förorenat material. Med anledning av att markföroreningen ligger så grunt att den med relativt enkla medel kan avhjälpas. Med anledning av markföroreningen måste sanering av området utföras innan marklov för anordnande av dagvattenanläggningen beviljas.</w:t>
      </w:r>
    </w:p>
    <w:p>
      <w:pPr>
        <w:keepNext w:val="1"/>
      </w:pPr>
      <w:r>
        <w:rPr>
          <w:noProof w:val="1"/>
        </w:rPr>
        <mc:AlternateContent>
          <mc:Choice Requires="wps">
            <w:drawing>
              <wp:anchor xmlns:wp="http://schemas.openxmlformats.org/drawingml/2006/wordprocessingDrawing" distT="0" distB="0" distL="114300" distR="114300" simplePos="0" relativeHeight="36" behindDoc="0" locked="0" layoutInCell="1" allowOverlap="1">
                <wp:simplePos x="0" y="0"/>
                <wp:positionH relativeFrom="column">
                  <wp:posOffset>2609215</wp:posOffset>
                </wp:positionH>
                <wp:positionV relativeFrom="paragraph">
                  <wp:posOffset>1737995</wp:posOffset>
                </wp:positionV>
                <wp:extent cx="349885" cy="180340"/>
                <wp:effectExtent l="19050" t="38100" r="12065" b="29210"/>
                <wp:wrapNone/>
                <wp:docPr id="851891271" name="Ellips 851891271"/>
                <wp:cNvGraphicFramePr/>
                <a:graphic xmlns:a="http://schemas.openxmlformats.org/drawingml/2006/main">
                  <a:graphicData uri="http://schemas.microsoft.com/office/word/2010/wordprocessingShape">
                    <wps:wsp>
                      <wps:cNvSpPr/>
                      <wps:spPr>
                        <a:xfrm rot="960724">
                          <a:off x="0" y="0"/>
                          <a:ext cx="350191" cy="180380"/>
                        </a:xfrm>
                        <a:prstGeom prst="ellipse"/>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851891271" o:spid="_x0000_s1057" style="position:absolute;width:27.55pt;height:14.2pt;z-index:36;mso-wrap-distance-left:9pt;mso-wrap-distance-top:0pt;mso-wrap-distance-right:9pt;mso-wrap-distance-bottom:0pt;margin-left:205.45pt;margin-top:136.85pt;mso-position-horizontal:absolute;mso-position-horizontal-relative:text;mso-position-vertical:absolute;mso-position-vertical-relative:text;v-text-anchor:middle;rotation:1049366fd" o:allowincell="t" filled="f" strokecolor="#FF0000" strokeweight="2pt" stroked="t">
                <v:textbox inset="3mm,1mm,3mm,1mm">
                  <w:txbxContent>
                    <w:p/>
                  </w:txbxContent>
                </v:textbox>
              </v:oval>
            </w:pict>
          </mc:Fallback>
        </mc:AlternateContent>
      </w:r>
      <w:r>
        <w:rPr>
          <w:noProof w:val="1"/>
        </w:rPr>
        <w:t xml:space="preserve"> </w:t>
      </w:r>
      <w:r>
        <w:rPr>
          <w:noProof w:val="1"/>
        </w:rPr>
        <w:drawing>
          <wp:inline xmlns:wp="http://schemas.openxmlformats.org/drawingml/2006/wordprocessingDrawing" distT="0" distB="0" distL="0" distR="0">
            <wp:extent cx="3792220" cy="4617720"/>
            <wp:effectExtent l="0" t="0" r="0" b="0"/>
            <wp:docPr id="549318470" name="Bildobjekt 549318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1"/>
                    <pic:cNvPicPr/>
                  </pic:nvPicPr>
                  <pic:blipFill dpi="0">
                    <a:blip xmlns:r="http://schemas.openxmlformats.org/officeDocument/2006/relationships" r:embed="Relimage11"/>
                    <a:srcRect/>
                    <a:stretch>
                      <a:fillRect/>
                    </a:stretch>
                  </pic:blipFill>
                  <pic:spPr>
                    <a:xfrm>
                      <a:off x="0" y="0"/>
                      <a:ext cx="3800857" cy="4628236"/>
                    </a:xfrm>
                    <a:prstGeom prst="rect"/>
                  </pic:spPr>
                </pic:pic>
              </a:graphicData>
            </a:graphic>
          </wp:inline>
        </w:drawing>
      </w:r>
    </w:p>
    <w:p>
      <w:pPr>
        <w:pStyle w:val="P50"/>
        <w:ind w:left="0"/>
        <w:rPr>
          <w:i w:val="1"/>
          <w:iCs w:val="1"/>
          <w:sz w:val="20"/>
          <w:szCs w:val="20"/>
        </w:rPr>
      </w:pPr>
      <w:r>
        <w:rPr>
          <w:b w:val="0"/>
          <w:i w:val="1"/>
          <w:bCs w:val="0"/>
          <w:iCs w:val="1"/>
          <w:color w:val="auto"/>
          <w:sz w:val="20"/>
          <w:szCs w:val="20"/>
        </w:rPr>
        <w:t>Röd linje illustrerar platsen för de provpunkter som visade föroreningsvärden gällande bly över Naturvårdsverkets gränsvärden.</w:t>
      </w:r>
    </w:p>
    <w:p>
      <w:pPr>
        <w:pStyle w:val="P3"/>
      </w:pPr>
      <w:bookmarkEnd w:id="144"/>
      <w:bookmarkStart w:id="145" w:name="ko_ras01"/>
      <w:bookmarkStart w:id="146" w:name="ko_erosion01"/>
      <w:bookmarkStart w:id="147" w:name="ko_skred01"/>
      <w:r>
        <w:t>Risk för erosion, skred och ras</w:t>
      </w:r>
    </w:p>
    <w:p>
      <w:pPr>
        <w:keepNext w:val="1"/>
      </w:pPr>
      <w:r>
        <w:t>I genomförd utredning anges en begränsningslinje för placering av ny bebyggelse, cirka 47 meter från Bodån. Planförslaget medger att ny bebyggelse inte får placeras närmare än 52 meter ifrån Bodåns strandlinje. Gång- och cykelvägar får ej anläggas närmare än 10 meter från Bodån. Genom att planförslaget följer utredningens rekommendation om skyddsavstånd anses risk för ras, erosion och skred vara hanterad.</w:t>
      </w:r>
    </w:p>
    <w:p>
      <w:pPr>
        <w:rPr>
          <w:szCs w:val="24"/>
        </w:rPr>
      </w:pPr>
      <w:r>
        <w:rPr>
          <w:rFonts w:ascii="Times New Roman" w:hAnsi="Times New Roman"/>
          <w:color w:val="000000"/>
          <w:szCs w:val="24"/>
        </w:rPr>
        <w:t xml:space="preserve">Det är viktigt att den strandskoning som finns utmed Bodån bevaras för att minska risken för erosion om vattenflödena i framtiden blir högre och kraftigare. I framtiden kan åtgärder behöva vidtas för att ett framtida skred inte ska ske. </w:t>
      </w:r>
    </w:p>
    <w:p>
      <w:pPr>
        <w:keepNext w:val="1"/>
      </w:pPr>
      <w:r>
        <w:rPr>
          <w:noProof w:val="1"/>
        </w:rPr>
        <w:drawing>
          <wp:anchor xmlns:wp="http://schemas.openxmlformats.org/drawingml/2006/wordprocessingDrawing" distT="0" distB="0" distL="114300" distR="114300" simplePos="0" relativeHeight="42" behindDoc="0" locked="0" layoutInCell="1" allowOverlap="1">
            <wp:simplePos x="0" y="0"/>
            <wp:positionH relativeFrom="column">
              <wp:posOffset>2132965</wp:posOffset>
            </wp:positionH>
            <wp:positionV relativeFrom="paragraph">
              <wp:posOffset>2533015</wp:posOffset>
            </wp:positionV>
            <wp:extent cx="195580" cy="133350"/>
            <wp:effectExtent l="0" t="0" r="0" b="0"/>
            <wp:wrapNone/>
            <wp:docPr id="549318466" name="Bildobjekt 54931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2"/>
                    <pic:cNvPicPr/>
                  </pic:nvPicPr>
                  <pic:blipFill dpi="0">
                    <a:blip xmlns:r="http://schemas.openxmlformats.org/officeDocument/2006/relationships" r:embed="Relimage77"/>
                    <a:srcRect/>
                    <a:stretch>
                      <a:fillRect/>
                    </a:stretch>
                  </pic:blipFill>
                  <pic:spPr>
                    <a:xfrm>
                      <a:off x="0" y="0"/>
                      <a:ext cx="195859" cy="133350"/>
                    </a:xfrm>
                    <a:prstGeom prst="rect"/>
                  </pic:spPr>
                </pic:pic>
              </a:graphicData>
            </a:graphic>
          </wp:anchor>
        </w:drawing>
      </w:r>
      <w:r>
        <w:rPr>
          <w:noProof w:val="1"/>
        </w:rPr>
        <w:drawing>
          <wp:inline xmlns:wp="http://schemas.openxmlformats.org/drawingml/2006/wordprocessingDrawing" distT="0" distB="0" distL="0" distR="0">
            <wp:extent cx="3297555" cy="4389120"/>
            <wp:effectExtent l="0" t="0" r="0" b="0"/>
            <wp:docPr id="549318473" name="Bildobjekt 54931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3"/>
                    <pic:cNvPicPr/>
                  </pic:nvPicPr>
                  <pic:blipFill dpi="0">
                    <a:blip xmlns:r="http://schemas.openxmlformats.org/officeDocument/2006/relationships" r:embed="Relimage78"/>
                    <a:srcRect t="9190"/>
                    <a:stretch>
                      <a:fillRect/>
                    </a:stretch>
                  </pic:blipFill>
                  <pic:spPr bwMode="auto">
                    <a:xfrm>
                      <a:off x="0" y="0"/>
                      <a:ext cx="3350607" cy="4459197"/>
                    </a:xfrm>
                    <a:prstGeom prst="rect"/>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Röd linje i kartan är begränsningslinje för placering av ny bebyggelse enligt den geotekniska utredningen.</w:t>
      </w:r>
    </w:p>
    <w:p>
      <w:r>
        <w:t>Avgränsningen av byggrätten gällande höjd och placering samt de erosionsskydd som planförslaget kräver bedöms vara tillräckliga åtgärder ur ett stabilitetsperspektiv.</w:t>
      </w:r>
    </w:p>
    <w:p>
      <w:pPr>
        <w:pStyle w:val="P3"/>
      </w:pPr>
      <w:bookmarkEnd w:id="145"/>
      <w:bookmarkEnd w:id="146"/>
      <w:bookmarkEnd w:id="147"/>
      <w:r>
        <w:t>Buller</w:t>
      </w:r>
    </w:p>
    <w:p>
      <w:pPr>
        <w:spacing w:lineRule="auto" w:line="240" w:after="0" w:beforeAutospacing="0" w:afterAutospacing="0"/>
        <w:rPr>
          <w:rFonts w:ascii="Times New Roman" w:hAnsi="Times New Roman"/>
          <w:color w:val="000000"/>
          <w:sz w:val="23"/>
          <w:szCs w:val="23"/>
        </w:rPr>
      </w:pPr>
      <w:r>
        <w:rPr>
          <w:rFonts w:ascii="Times New Roman" w:hAnsi="Times New Roman"/>
          <w:color w:val="000000"/>
          <w:sz w:val="23"/>
          <w:szCs w:val="23"/>
        </w:rPr>
        <w:t>Planområdet ligger längs Kyrkogårdsgatan och Sveavägen. Planförslaget har god närhet till kollektivtrafik, gång- och cykelinfrastruktur och bedöms inte bidra betydande till trafikmängderna på vägen. Någon risk för överskridande av gällande riktvärden för buller föreligger ej.</w:t>
      </w:r>
    </w:p>
    <w:p>
      <w:pPr>
        <w:pStyle w:val="P2"/>
      </w:pPr>
      <w:bookmarkEnd w:id="143"/>
      <w:bookmarkStart w:id="148" w:name="ko_miljö01"/>
      <w:r>
        <w:t>Natur</w:t>
      </w:r>
    </w:p>
    <w:p>
      <w:pPr>
        <w:pStyle w:val="P3"/>
      </w:pPr>
      <w:bookmarkStart w:id="149" w:name="ko_geoteknik01"/>
      <w:r>
        <w:t>Geoteknik</w:t>
      </w:r>
    </w:p>
    <w:p>
      <w:r>
        <w:t>Genom föreslagna åtgärder beroende på byggnadstyp bedöms risken för sättningar vara godtagbar. På delar av området kommer sättningsreducerande åtgärder i form av kompensationsgrundläggning och/eller förbelastning krävas. För tyngre byggnader utan källare på delar där kohesionsjordarna mäktighet är som störst kan pålning krävas. Vatten från dräneringar, dagvatten och spillvatten får inte okontrollerat eller koncentrerat ledas ut över slänter utan att erforderliga erosionsskyddande åtgärder har vidtagits för att säkra markstabiliteten. Kompletterande undersökningar utifrån vald layout och typ av byggnader bör utföras inför detaljprojektering av grundläggning för att möjliggöra optimering sättningsreducerande åtgärder.</w:t>
      </w:r>
    </w:p>
    <w:p>
      <w:pPr>
        <w:pStyle w:val="P3"/>
      </w:pPr>
      <w:bookmarkEnd w:id="149"/>
      <w:bookmarkStart w:id="150" w:name="ko_strandskydd01"/>
      <w:r>
        <w:t>Strandskydd</w:t>
      </w:r>
    </w:p>
    <w:p>
      <w:r>
        <w:t>Strandskyddet syftar långsiktigt till att trygga förutsättningar för allemansrättslig tillgång till strandområden och bevara goda livsvillkor för djur- och växtlivet på land och i vatten. I samband med detaljplanens genomförande upphävs strandskyddet med hänvisning till 7 kap. 18 c punkt 1, 3 och 5. Strandskyddet behöver upphävas både för delar av allmän platsmark och kvartersmark.</w:t>
      </w:r>
    </w:p>
    <w:p/>
    <w:p>
      <w:r>
        <w:rPr>
          <w:noProof w:val="1"/>
        </w:rPr>
        <w:drawing>
          <wp:anchor xmlns:wp="http://schemas.openxmlformats.org/drawingml/2006/wordprocessingDrawing" distT="0" distB="0" distL="114300" distR="114300" simplePos="0" relativeHeight="41" behindDoc="0" locked="0" layoutInCell="1" allowOverlap="1">
            <wp:simplePos x="0" y="0"/>
            <wp:positionH relativeFrom="column">
              <wp:posOffset>2567940</wp:posOffset>
            </wp:positionH>
            <wp:positionV relativeFrom="paragraph">
              <wp:posOffset>2908935</wp:posOffset>
            </wp:positionV>
            <wp:extent cx="195580" cy="133350"/>
            <wp:effectExtent l="0" t="0" r="0" b="0"/>
            <wp:wrapNone/>
            <wp:docPr id="549318465" name="Bildobjekt 54931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4"/>
                    <pic:cNvPicPr/>
                  </pic:nvPicPr>
                  <pic:blipFill dpi="0">
                    <a:blip xmlns:r="http://schemas.openxmlformats.org/officeDocument/2006/relationships" r:embed="Relimage77"/>
                    <a:srcRect/>
                    <a:stretch>
                      <a:fillRect/>
                    </a:stretch>
                  </pic:blipFill>
                  <pic:spPr>
                    <a:xfrm>
                      <a:off x="0" y="0"/>
                      <a:ext cx="198076" cy="134863"/>
                    </a:xfrm>
                    <a:prstGeom prst="rect"/>
                  </pic:spPr>
                </pic:pic>
              </a:graphicData>
            </a:graphic>
          </wp:anchor>
        </w:drawing>
      </w:r>
      <w:r>
        <w:rPr>
          <w:noProof w:val="1"/>
        </w:rPr>
        <w:drawing>
          <wp:inline xmlns:wp="http://schemas.openxmlformats.org/drawingml/2006/wordprocessingDrawing" distT="0" distB="0" distL="0" distR="0">
            <wp:extent cx="3909060" cy="5027295"/>
            <wp:effectExtent l="0" t="0" r="0" b="1905"/>
            <wp:docPr id="549318471" name="Bildobjekt 54931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5"/>
                    <pic:cNvPicPr/>
                  </pic:nvPicPr>
                  <pic:blipFill dpi="0">
                    <a:blip xmlns:r="http://schemas.openxmlformats.org/officeDocument/2006/relationships" r:embed="Relimage79"/>
                    <a:srcRect t="8618"/>
                    <a:stretch>
                      <a:fillRect/>
                    </a:stretch>
                  </pic:blipFill>
                  <pic:spPr bwMode="auto">
                    <a:xfrm>
                      <a:off x="0" y="0"/>
                      <a:ext cx="3909399" cy="5027944"/>
                    </a:xfrm>
                    <a:prstGeom prst="rect"/>
                    <a:ln>
                      <a:noFill/>
                    </a:ln>
                  </pic:spPr>
                </pic:pic>
              </a:graphicData>
            </a:graphic>
          </wp:inline>
        </w:drawing>
      </w:r>
    </w:p>
    <w:p>
      <w:pPr>
        <w:pStyle w:val="P50"/>
        <w:ind w:left="0"/>
        <w:rPr>
          <w:b w:val="0"/>
          <w:i w:val="1"/>
          <w:bCs w:val="0"/>
          <w:iCs w:val="1"/>
          <w:color w:val="auto"/>
          <w:sz w:val="20"/>
          <w:szCs w:val="20"/>
        </w:rPr>
      </w:pPr>
      <w:r>
        <w:rPr>
          <w:b w:val="0"/>
          <w:i w:val="1"/>
          <w:bCs w:val="0"/>
          <w:iCs w:val="1"/>
          <w:color w:val="auto"/>
          <w:sz w:val="20"/>
          <w:szCs w:val="20"/>
        </w:rPr>
        <w:t>Illustration som visar vilka områden som avses upphävas med hänvisning till de olika skälen i miljöbalken.</w:t>
      </w:r>
    </w:p>
    <w:p>
      <w:pPr>
        <w:rPr>
          <w:rFonts w:asciiTheme="majorHAnsi" w:hAnsiTheme="majorHAnsi" w:cstheme="majorHAnsi"/>
        </w:rPr>
      </w:pPr>
      <w:r>
        <w:rPr>
          <w:rFonts w:asciiTheme="majorHAnsi" w:hAnsiTheme="majorHAnsi" w:cstheme="majorHAnsi"/>
        </w:rPr>
        <w:t>Kvartersmark bostäder</w:t>
      </w:r>
    </w:p>
    <w:p>
      <w:r>
        <w:t>För den kvartersmark (bostadsändamål) som omfattas av strandskydd upphävs strandskyddet med hänvisning till 7 kap. 18 c § punkt 1 miljöbalken:</w:t>
      </w:r>
    </w:p>
    <w:p>
      <w:pPr>
        <w:pStyle w:val="P16"/>
        <w:numPr>
          <w:ilvl w:val="0"/>
          <w:numId w:val="20"/>
        </w:numPr>
      </w:pPr>
      <w:r>
        <w:t>1. området har redan tagits i anspråk på ett sätt som gör att det saknar betydelse för strandskyddets syften</w:t>
      </w:r>
    </w:p>
    <w:p>
      <w:r>
        <w:t xml:space="preserve">I kommunens fördjupade översiktsplan för Boden och Sävast (2020) har kommunen kommit fram till att området behövs som ett led i att klara bostadsförsörjningen för nuvarande och framtida kommuninvånare. Sammantaget bedöms det vara ett angeläget allmänt intresse att bygga fler bostäder i Boden och planområdet har stora fördelar för en hållbar samhällsutveckling genom att det kan erbjuda centrumnära bostäder i en attraktiv boendemiljö där det finns tillgänglig kollektivtrafik. Planförslaget bidrar på så vis till en effektiv markanvändning och till miljömålet en god bebyggd miljö. </w:t>
      </w:r>
    </w:p>
    <w:p>
      <w:r>
        <w:t xml:space="preserve">Området har sedan 1960-talet varit planlagt för militärt ändamål och använts som bland annat skjutövningsfält. Inom området där strandskyddet återinträder finns befintliga byggnader, uppställningsplatser, serviceytor och parkering. Med anledning av användningen och att området är inhägnat har allmänheten inte haft möjlighet att röra sig inom området. Kommunen anser att området för bostäder innebär att möjligheten för allmänheten att röra sig från Kyrkogårdsgatan ner till Bodån ökar genom att bostadsområdet delats i två delar i förhållande till dagens förutsättningar. </w:t>
      </w:r>
    </w:p>
    <w:p>
      <w:pPr>
        <w:rPr>
          <w:rFonts w:asciiTheme="majorHAnsi" w:hAnsiTheme="majorHAnsi" w:cstheme="majorHAnsi"/>
        </w:rPr>
      </w:pPr>
      <w:r>
        <w:rPr>
          <w:rFonts w:asciiTheme="majorHAnsi" w:hAnsiTheme="majorHAnsi" w:cstheme="majorHAnsi"/>
        </w:rPr>
        <w:t>Kvartersmark begravningsplats</w:t>
      </w:r>
    </w:p>
    <w:p>
      <w:r>
        <w:t>För den kvartersmark (begravningsändamål) som omfattas av strandskydd upphävs strandskyddet med hänvisning till 7 kap. 18 c § punkt 5 miljöbalken:</w:t>
      </w:r>
    </w:p>
    <w:p>
      <w:pPr>
        <w:pStyle w:val="P16"/>
        <w:numPr>
          <w:ilvl w:val="0"/>
          <w:numId w:val="20"/>
        </w:numPr>
      </w:pPr>
      <w:r>
        <w:t xml:space="preserve">5. området behöver tas i anspråk för att tillgodose ett angeläget allmänt intresse som inte kan tillgodoses utanför området. </w:t>
      </w:r>
    </w:p>
    <w:p>
      <w:pPr>
        <w:spacing w:after="0" w:beforeAutospacing="0" w:afterAutospacing="0"/>
      </w:pPr>
      <w:r>
        <w:t xml:space="preserve">För den kvartersmark som avser begravningsplats bedömer kommunen att området behöver tas i anspråk för att tillgodose behovet av parkering för kyrkogården och dess besökare. En begravningsplats och möjligheten för besökare att ta sig dit utgör ett angeläget allmänt intresse. Det finns i dagsläget inga avsatta parkeringsplatser för kyrkogården, endast allmänna parkeringsplatser på kommunens mark längs med gatan. Kommunen bedömer därför att området behöver tas i anspråk för att möjliggöra för parkeringsplatser inom verksamhetens egen mark. Med anledning av släntstabiliteten mot ravinen behöver parkeringsplatsen lokaliseras innanför strandskyddat område. Påverkan på strandskyddets syften bedöms som ringa i och med att ett 30-40 meter stort allmänt tillgängligt område (park) lämnas mellan Bodån och kvartersmarken. Möjligheten till alternativ placering inom befintlig begravningsplats har studerats. Alternativa ytor för att tillskapa parkering för besökare till kyrkogården skulle vara inne på kyrkogårdsområdet intill Bodån vilket inte är lämpligt med tanke på rådande skredrisk, närheten till Bodån och negativ påverkan på kyrkogårdsmiljön. </w:t>
      </w:r>
    </w:p>
    <w:p>
      <w:pPr>
        <w:spacing w:after="0" w:beforeAutospacing="0" w:afterAutospacing="0"/>
      </w:pPr>
    </w:p>
    <w:p>
      <w:pPr>
        <w:spacing w:after="0" w:beforeAutospacing="0" w:afterAutospacing="0"/>
      </w:pPr>
      <w:r>
        <w:rPr>
          <w:noProof w:val="1"/>
        </w:rPr>
        <w:drawing>
          <wp:inline xmlns:wp="http://schemas.openxmlformats.org/drawingml/2006/wordprocessingDrawing" distT="0" distB="0" distL="0" distR="0">
            <wp:extent cx="4828540" cy="3497580"/>
            <wp:effectExtent l="0" t="0" r="0" b="7620"/>
            <wp:docPr id="549318472" name="Bildobjekt 54931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776"/>
                    <pic:cNvPicPr/>
                  </pic:nvPicPr>
                  <pic:blipFill dpi="0">
                    <a:blip xmlns:r="http://schemas.openxmlformats.org/officeDocument/2006/relationships" r:embed="Relimage80"/>
                    <a:srcRect/>
                    <a:stretch>
                      <a:fillRect/>
                    </a:stretch>
                  </pic:blipFill>
                  <pic:spPr>
                    <a:xfrm>
                      <a:off x="0" y="0"/>
                      <a:ext cx="4832422" cy="3500170"/>
                    </a:xfrm>
                    <a:prstGeom prst="rect"/>
                  </pic:spPr>
                </pic:pic>
              </a:graphicData>
            </a:graphic>
          </wp:inline>
        </w:drawing>
      </w:r>
    </w:p>
    <w:p>
      <w:pPr>
        <w:pStyle w:val="P50"/>
        <w:spacing w:after="0" w:beforeAutospacing="0" w:afterAutospacing="0"/>
        <w:ind w:left="0"/>
        <w:rPr>
          <w:i w:val="1"/>
          <w:iCs w:val="1"/>
          <w:sz w:val="20"/>
          <w:szCs w:val="20"/>
        </w:rPr>
      </w:pPr>
      <w:r>
        <w:rPr>
          <w:b w:val="0"/>
          <w:i w:val="1"/>
          <w:bCs w:val="0"/>
          <w:iCs w:val="1"/>
          <w:color w:val="auto"/>
          <w:sz w:val="20"/>
          <w:szCs w:val="20"/>
        </w:rPr>
        <w:t>Alternativa placeringar som har studerats</w:t>
      </w:r>
    </w:p>
    <w:p/>
    <w:p>
      <w:pPr>
        <w:spacing w:after="120" w:beforeAutospacing="0" w:afterAutospacing="0"/>
        <w:rPr>
          <w:rFonts w:asciiTheme="majorHAnsi" w:hAnsiTheme="majorHAnsi" w:cstheme="majorHAnsi"/>
        </w:rPr>
      </w:pPr>
      <w:r>
        <w:rPr>
          <w:rFonts w:asciiTheme="majorHAnsi" w:hAnsiTheme="majorHAnsi" w:cstheme="majorHAnsi"/>
        </w:rPr>
        <w:t>Allmän platsmark – park dagvattenhantering</w:t>
      </w:r>
    </w:p>
    <w:p>
      <w:r>
        <w:t>För delar av det parkområde som omfattas av strandskydd upphävs strandskyddet med hänvisning till 7 kap. 18 c § punkt 3 miljöbalken:</w:t>
      </w:r>
    </w:p>
    <w:p>
      <w:pPr>
        <w:pStyle w:val="P16"/>
        <w:numPr>
          <w:ilvl w:val="0"/>
          <w:numId w:val="20"/>
        </w:numPr>
      </w:pPr>
      <w:r>
        <w:t xml:space="preserve">3. Området behövs för en anläggning som för sin funktion måste ligga vid vattnet samtidigt som behovet inte kan tillgodoses utanför området  </w:t>
      </w:r>
    </w:p>
    <w:p>
      <w:r>
        <w:t>Med anledning av att området varit militärt sedan 1960-talet har området varit förbjudet att beträda, vilket innebär att den allemansrättsliga tillgången inte funnits. Kommunen har genom den fördjupade översiktsplanen för</w:t>
      </w:r>
      <w:r>
        <w:rPr>
          <w:szCs w:val="24"/>
        </w:rPr>
        <w:t xml:space="preserve"> Boden och Sävast (2020) kommit fram till att befintliga grönstråk bör förädlas och kompletteras för att skapa en mer sammanhängande struktur.</w:t>
      </w:r>
      <w:r>
        <w:t xml:space="preserve"> </w:t>
      </w:r>
      <w:r>
        <w:rPr>
          <w:szCs w:val="24"/>
        </w:rPr>
        <w:t>Grönstråket avses främst fungera som spridningskorridor för växter och djur, men även som gång- och cykelstråk i grön miljö. Stråket ska koppla samman olika områden så väl som olika typer av grönområden för både människors rörelse och växt- och djurlivets livsvillkor och spridningsmöjligheter.</w:t>
      </w:r>
    </w:p>
    <w:p>
      <w:r>
        <w:t>Kommunen anser att delar av parkområdet behöver tas i anspråk för en anläggning som för sin funktion måste ligga vid vattnet samtidigt som behovet inte kan tillgodoses utanför området och avser att upphäva strandskyddet med hänvisning till det tredje skälet i 7 kap. 18 c § miljöbalken.</w:t>
      </w:r>
    </w:p>
    <w:p>
      <w:r>
        <w:t xml:space="preserve">En del av det strandskyddade området behövs för ledning och fördröjning av dagvatten för planområdet samt angränsande områden. Eftersom vattnet efter rening ska släppas i Bodån behöver fördröjningsanläggningarna ligga nära vattendraget, varför kommunen anser att de naturliga lågpunkter som finns inom planområdet är bäst lämpade för detta. Områden väster om Kyrkogårdsgatan har redan i dagsläget problem med dagvattnets avrinning, vilket vid skyfall leder till risk för översvämning. Därutöver rinner idag orenat dagvatten ut i Bodån, vilket ökar föroreningsgraden i vattendraget. Planförslaget syftar därför delvis till att tillskapa ytor för fördröjning och infiltration för att minska översvämningsproblematiken längre uppströms och öka dagvattnets rening innan det når recipient. Områdena som berörs består idag av grus eller gräsytor med en artfattig flora och fauna. Vid tillskapande av dammar för fördröjning tillförs nya miljöer och livsvillkor som kan komma att gynna växter och djur i området.  För att fördröjningsmagasinen ska kunna anläggas och underhållas behöver åtgärder göras inom parkmarken som kräver att strandskyddet upphävs. </w:t>
      </w:r>
    </w:p>
    <w:p>
      <w:r>
        <w:t>Kommunen anser att området behöver tas i anspråk för en anläggning som måste ligga nära vatten och avser att upphäva strandskyddet med hänvisning till det tredje skälet i 7 kap. 18 c § miljöbalken.</w:t>
      </w:r>
    </w:p>
    <w:p>
      <w:pPr>
        <w:pStyle w:val="P2"/>
      </w:pPr>
      <w:bookmarkEnd w:id="148"/>
      <w:bookmarkEnd w:id="150"/>
      <w:bookmarkStart w:id="151" w:name="ko_kulturmiljöochgestaltning01"/>
      <w:r>
        <w:t>Kulturmiljö och stadsbild</w:t>
      </w:r>
    </w:p>
    <w:p>
      <w:bookmarkStart w:id="152" w:name="_Hlk132108067"/>
      <w:r>
        <w:t>De konsekvenser som detaljplanens genomförande bedöms innebära för kulturmiljön och stadsbilden anses godtagbara. En exploatering av området för med sig att området används och underhålls, det gynnar även en allmän tillgång till området. De befintliga byggnaderna utgör ett inslag från tidigare militär verksamhet, men är svåra att bevara ur ett miljömässigt och ekonomiskt perspektiv då de är i dåligt skick. Planförslaget innebär att vegetation sparas längs med planområdets södra och västra sida. I övrigt är skjutbanan borttagen och övningsområdet är till stor del igenvuxet med sly och mindre träd.</w:t>
      </w:r>
    </w:p>
    <w:p>
      <w:r>
        <w:t>Utifrån riktningen på befintliga byggnader och stråk i Sveafältet, Lundagård och Kårbacken har siktlinjer och noder identifierats och tillvaratagits i förslag till disponering av ny bebyggelse. Målet är att skapa en tydlig koppling med attraktiva och naturliga entréer från Bodån, genom hela området, upp till Kyrkogårdsgatan och Sveafältet och på så sätt stärka den kulturhistoriska kopplingen.</w:t>
      </w:r>
    </w:p>
    <w:p>
      <w:bookmarkEnd w:id="152"/>
      <w:r>
        <w:t xml:space="preserve">Detaljplanen innebär ny bostadsbebyggelse på ett område som i nuläget till största delen är övergivet, vilket innebär att stadsbilden lokalt kommer att förändras vid ett genomförande av detaljplanen. </w:t>
      </w:r>
    </w:p>
    <w:p>
      <w:r>
        <w:t>Genom en anpassning i höjdled och till siktlinjer anses planförslaget inte innebära en negativ påverkan på riksintresset utan stärker sambanden i bebyggelsestrukturen.</w:t>
      </w:r>
      <w:bookmarkStart w:id="153" w:name="ko_sociala01"/>
    </w:p>
    <w:p>
      <w:pPr>
        <w:pStyle w:val="P2"/>
      </w:pPr>
      <w:bookmarkEnd w:id="151"/>
      <w:r>
        <w:t>Sociala aspekter</w:t>
      </w:r>
    </w:p>
    <w:p>
      <w:r>
        <w:rPr>
          <w:rFonts w:ascii="Times New Roman" w:hAnsi="Times New Roman"/>
          <w:color w:val="000000"/>
          <w:szCs w:val="24"/>
        </w:rPr>
        <w:t xml:space="preserve">Planförslaget innebär att det militärområde som finns inom planområdet idag ändras till ett bostadsområde, en parkeringsplats och ett parkområde som är tillgängligt för alla. </w:t>
      </w:r>
      <w:r>
        <w:t>För att få den önskade effekten bör den nya bebyggelsen ha en öppen karaktär och en struktur som bjuder in till att röra sig genom området.</w:t>
      </w:r>
    </w:p>
    <w:p>
      <w:r>
        <w:t xml:space="preserve">Det finns potential att skapa spännande mötesplatser med plats för olika aktiviteter kring mötet med Bodån. Samtidigt som ravinens naturliga funktion tas tillvara så skapas naturliga entréer in till området och tillgodoser hanteringen av dagvatten, högre vattennivåer samt även möjlighet till lek och rörelse. </w:t>
      </w:r>
    </w:p>
    <w:p>
      <w:r>
        <w:t xml:space="preserve">Möjligheten till olika hustyper kan bidra till varierade upplåtelseformer och en långsiktig social hållbarhet. Olika typologier möjliggör även variation och lekfullhet, olika hushöjder bidrar till upplevelsen. </w:t>
      </w:r>
    </w:p>
    <w:p>
      <w:pPr>
        <w:pStyle w:val="P3"/>
      </w:pPr>
      <w:bookmarkStart w:id="154" w:name="ko_barn01"/>
      <w:r>
        <w:t>Barnkonventionen</w:t>
      </w:r>
    </w:p>
    <w:p>
      <w:pPr>
        <w:rPr>
          <w:rFonts w:ascii="Times New Roman" w:hAnsi="Times New Roman"/>
          <w:color w:val="000000"/>
          <w:szCs w:val="24"/>
        </w:rPr>
      </w:pPr>
      <w:r>
        <w:rPr>
          <w:szCs w:val="24"/>
        </w:rPr>
        <w:t xml:space="preserve">Inom en stad eller en tätort behöver ytor som riktar sig mot barn finnas. Bilfria ytor såsom en park är ett sådant exempel som kan uppmuntra till lek eller rekreation. </w:t>
      </w:r>
      <w:r>
        <w:rPr>
          <w:rFonts w:ascii="Times New Roman" w:hAnsi="Times New Roman"/>
          <w:color w:val="000000"/>
          <w:szCs w:val="24"/>
        </w:rPr>
        <w:t xml:space="preserve">Bostadsområdet har direkt koppling till parkområdet, vilket innebär att barn kan röra sig mellan hemmet och parkområdet utan att korsa trafikerade vägar. </w:t>
      </w:r>
    </w:p>
    <w:p>
      <w:pPr>
        <w:rPr>
          <w:rFonts w:ascii="Times New Roman" w:hAnsi="Times New Roman"/>
          <w:color w:val="000000"/>
          <w:szCs w:val="24"/>
        </w:rPr>
      </w:pPr>
      <w:r>
        <w:rPr>
          <w:szCs w:val="24"/>
        </w:rPr>
        <w:t xml:space="preserve">Planområdet ligger relativt centrumnära. Att tillskapa bostäder i centrala lägen minskar dessutom bilberoende för boende när avståndet mellan olika målpunkter minskar. Det innebär att barn och ungdomar i större utsträckning ges möjligheten att självständigt förflytta sig mellan exempelvis bostad och skola eller fritidsaktiviteter. Utmed Sveavägen finns hållplatser för busstrafik och </w:t>
      </w:r>
      <w:r>
        <w:rPr>
          <w:rFonts w:ascii="Times New Roman" w:hAnsi="Times New Roman"/>
          <w:color w:val="000000"/>
          <w:szCs w:val="24"/>
        </w:rPr>
        <w:t xml:space="preserve">parkområdet erbjudet trafikfria genvägar. </w:t>
      </w:r>
    </w:p>
    <w:p>
      <w:pPr>
        <w:pStyle w:val="P3"/>
      </w:pPr>
      <w:bookmarkEnd w:id="154"/>
      <w:bookmarkStart w:id="155" w:name="ko_jämlikhet01"/>
      <w:r>
        <w:t>Jämlikhet och jämställdhet</w:t>
      </w:r>
    </w:p>
    <w:p>
      <w:pPr>
        <w:rPr>
          <w:highlight w:val="yellow"/>
        </w:rPr>
      </w:pPr>
      <w:r>
        <w:rPr>
          <w:sz w:val="23"/>
          <w:szCs w:val="23"/>
        </w:rPr>
        <w:t>Detaljplanen främjar jämlika och goda levnadsförhållanden, för alla individer, då dess genomförande möjliggör olika sorters boende i ett centrumnära läge med tillgång till kollektivtrafik.</w:t>
      </w:r>
    </w:p>
    <w:p>
      <w:pPr>
        <w:pStyle w:val="P2"/>
      </w:pPr>
      <w:bookmarkEnd w:id="153"/>
      <w:bookmarkEnd w:id="155"/>
      <w:bookmarkStart w:id="156" w:name="ko_trafik01"/>
      <w:r>
        <w:t>Gator och trafik</w:t>
      </w:r>
    </w:p>
    <w:p>
      <w:r>
        <w:t>I den trafikrapport som sammanställts av Bodens kommun uppgår dygnstrafiken på Sveavägen till 5097 passager med en medelhastighet på 47 km/h. Skyltad hastighet för sträckan är 50 km/h. Tillfart till det nya bostadsområdet kommer att ske från Kyrkogårdsgatan vilken angör Sveavägen norr ifrån. Bodens kommuns bedömning är att den ökning av trafik som exploateringen medför inte ger några betydande olägenheter för omkringliggande bostäder eller verksamheter. Parkeringsbehovet uppskattas kunna lösas inom den egna fastigheten. Genom planen tillskapas också en yta för utökning av parkering med koppling till kyrkogården norr om planområdet.</w:t>
      </w:r>
    </w:p>
    <w:p>
      <w:pPr>
        <w:pStyle w:val="P2"/>
      </w:pPr>
      <w:bookmarkEnd w:id="156"/>
      <w:bookmarkStart w:id="157" w:name="gf_tekniskafrågor03"/>
      <w:r>
        <w:t xml:space="preserve"> Teknisk försörjning</w:t>
      </w:r>
    </w:p>
    <w:p>
      <w:pPr>
        <w:pStyle w:val="P3"/>
      </w:pPr>
      <w:bookmarkStart w:id="158" w:name="gf_snöochdagvattenhantering02"/>
      <w:r>
        <w:t>Snö-, dagvatten- och skyfallshantering</w:t>
      </w:r>
    </w:p>
    <w:p>
      <w:r>
        <w:t xml:space="preserve">I detaljplaneförslaget har två områden för dagvattenhantering förts in, ett i ravinen i norr och ett område i söder. Ravinen ska kunna fördröja minst 440 kubikmeter och området i söder minst 140 kubikmeter. Ytorna för dagvatten samt den mängd vatten de ska kunna fördröja bedöms tillräcklig för att hantera och rena det dagvatten som påverkar detaljplaneområdet. Därav bedöms inga negativa konsekvenser kopplade till dagvattenhanteringen uppstå på grund av detaljplaneförslaget medan positiva konsekvenser genom en ökad rening. </w:t>
      </w:r>
    </w:p>
    <w:p>
      <w:pPr>
        <w:pStyle w:val="P2"/>
      </w:pPr>
      <w:bookmarkEnd w:id="157"/>
      <w:bookmarkEnd w:id="158"/>
      <w:bookmarkStart w:id="159" w:name="gf_ekonomiskafrågor02"/>
      <w:r>
        <w:t>Ekonomi</w:t>
      </w:r>
    </w:p>
    <w:p>
      <w:r>
        <w:t>Ett genomförande av detaljplanen kommer bland annat innebära fastighetsrättsliga kostnader samt åtaganden och kostnader för fastighetsägaren avseende röjning och deponering av snö inom kvartersmark.</w:t>
      </w:r>
    </w:p>
    <w:p>
      <w:pPr>
        <w:spacing w:after="120" w:beforeAutospacing="0" w:afterAutospacing="0"/>
      </w:pPr>
      <w:bookmarkEnd w:id="159"/>
      <w:r>
        <w:br w:type="page"/>
      </w:r>
    </w:p>
    <w:p>
      <w:pPr>
        <w:pStyle w:val="P1"/>
      </w:pPr>
      <w:bookmarkStart w:id="160" w:name="_Toc167430723"/>
      <w:bookmarkStart w:id="161" w:name="be_ärendeinformation07"/>
      <w:r>
        <w:t>Medverkande</w:t>
      </w:r>
      <w:bookmarkEnd w:id="160"/>
    </w:p>
    <w:p>
      <w:r>
        <w:t>Handlingarna är upprättade av Annika Säw, planarkitekt, Sweco AB och Cecilia Gadman, planarkitekt, Sweco AB.</w:t>
      </w:r>
    </w:p>
    <w:p>
      <w:r>
        <w:t>I planarbetet har Ida Ahlbäck, planarkitekt, Ellinor Isaksson Larsson Plan- och exploateringschef, Bodens kommun, medverkat.</w:t>
      </w:r>
    </w:p>
    <w:p/>
    <w:p>
      <w:r>
        <w:t>Antagen av Kommunfullmäktige 2024-11-11</w:t>
      </w:r>
    </w:p>
    <w:p>
      <w:r>
        <w:t>Laga kraft 2024-12-13</w:t>
      </w:r>
    </w:p>
    <w:p/>
    <w:p>
      <w:r>
        <w:t>Bestrykes på tjänstens vägnar;</w:t>
      </w:r>
    </w:p>
    <w:p/>
    <w:p>
      <w:r>
        <w:t>Monika Karlsson</w:t>
      </w:r>
    </w:p>
    <w:p>
      <w:r>
        <w:t>Mark- och planhandläggare</w:t>
      </w:r>
    </w:p>
    <w:p/>
    <w:p>
      <w:pPr>
        <w:rPr>
          <w:szCs w:val="24"/>
        </w:rPr>
      </w:pPr>
      <w:r>
        <w:rPr>
          <w:szCs w:val="24"/>
        </w:rPr>
        <w:t>Boden 2024-12-13</w:t>
      </w:r>
    </w:p>
    <w:p>
      <w:pPr>
        <w:rPr>
          <w:szCs w:val="24"/>
        </w:rPr>
      </w:pPr>
      <w:r>
        <w:rPr>
          <w:szCs w:val="24"/>
        </w:rPr>
        <w:t>Samhällsbyggnadsförvaltningen</w:t>
      </w:r>
    </w:p>
    <w:p/>
    <w:p>
      <w:bookmarkStart w:id="162" w:name="be_planarkitekt02"/>
    </w:p>
    <w:p>
      <w:pPr>
        <w:spacing w:after="0" w:beforeAutospacing="0" w:afterAutospacing="0"/>
      </w:pPr>
      <w:r>
        <w:rPr>
          <w:szCs w:val="24"/>
        </w:rPr>
        <w:t>Ellinor Isaksson Larsson</w:t>
      </w:r>
      <w:r>
        <w:tab/>
        <w:tab/>
        <w:tab/>
        <w:tab/>
        <w:t>Ida Ahlbäck</w:t>
      </w:r>
    </w:p>
    <w:p>
      <w:pPr>
        <w:spacing w:after="0" w:beforeAutospacing="0" w:afterAutospacing="0"/>
      </w:pPr>
      <w:r>
        <w:t>Plan- och exploateringschef</w:t>
        <w:tab/>
        <w:tab/>
        <w:tab/>
        <w:tab/>
        <w:t>Planarkitekt</w:t>
      </w:r>
    </w:p>
    <w:p>
      <w:pPr>
        <w:rPr>
          <w:highlight w:val="yellow"/>
        </w:rPr>
      </w:pPr>
      <w:bookmarkEnd w:id="161"/>
      <w:bookmarkEnd w:id="162"/>
    </w:p>
    <w:p>
      <w:pPr>
        <w:rPr>
          <w:highlight w:val="yellow"/>
        </w:rPr>
      </w:pPr>
      <w:r>
        <w:rPr>
          <w:noProof w:val="1"/>
        </w:rPr>
        <mc:AlternateContent>
          <mc:Choice Requires="wps">
            <w:drawing>
              <wp:anchor xmlns:wp="http://schemas.openxmlformats.org/drawingml/2006/wordprocessingDrawing" distT="0" distB="0" distL="114300" distR="114300" simplePos="0" relativeHeight="34" behindDoc="0" locked="0" layoutInCell="1" allowOverlap="1">
                <wp:simplePos x="0" y="0"/>
                <wp:positionH relativeFrom="column">
                  <wp:posOffset>-494665</wp:posOffset>
                </wp:positionH>
                <wp:positionV relativeFrom="paragraph">
                  <wp:posOffset>154940</wp:posOffset>
                </wp:positionV>
                <wp:extent cx="6800850" cy="752475"/>
                <wp:effectExtent l="0" t="0" r="0" b="9525"/>
                <wp:wrapNone/>
                <wp:docPr id="1986006707" name="Rektangel 1986006707"/>
                <wp:cNvGraphicFramePr/>
                <a:graphic xmlns:a="http://schemas.openxmlformats.org/drawingml/2006/main">
                  <a:graphicData uri="http://schemas.microsoft.com/office/word/2010/wordprocessingShape">
                    <wps:wsp>
                      <wps:cNvSpPr/>
                      <wps:spPr>
                        <a:xfrm>
                          <a:off x="0" y="0"/>
                          <a:ext cx="6800850" cy="752475"/>
                        </a:xfrm>
                        <a:prstGeom prst="rect"/>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1986006707" o:spid="_x0000_s1058" style="position:absolute;width:535.5pt;height:59.25pt;z-index:34;mso-wrap-distance-left:9pt;mso-wrap-distance-top:0pt;mso-wrap-distance-right:9pt;mso-wrap-distance-bottom:0pt;margin-left:-38.95pt;margin-top:12.2pt;mso-position-horizontal:absolute;mso-position-horizontal-relative:text;mso-position-vertical:absolute;mso-position-vertical-relative:text;v-text-anchor:middle" o:allowincell="t" fillcolor="#FFFFFF" strokeweight="2pt" stroked="f">
                <v:textbox inset="3mm,1mm,3mm,1mm">
                  <w:txbxContent>
                    <w:p>
                      <w:pPr>
                        <w:jc w:val="center"/>
                      </w:pPr>
                    </w:p>
                  </w:txbxContent>
                </v:textbox>
              </v:rect>
            </w:pict>
          </mc:Fallback>
        </mc:AlternateContent>
      </w:r>
    </w:p>
    <w:p>
      <w:pPr>
        <w:rPr>
          <w:highlight w:val="yellow"/>
        </w:rPr>
      </w:pPr>
    </w:p>
    <w:p>
      <w:pPr>
        <w:rPr>
          <w:highlight w:val="yellow"/>
        </w:rPr>
      </w:pPr>
    </w:p>
    <w:p>
      <w:pPr>
        <w:rPr>
          <w:highlight w:val="yellow"/>
        </w:rPr>
      </w:pPr>
      <w:r>
        <w:rPr>
          <w:noProof w:val="1"/>
        </w:rPr>
        <mc:AlternateContent>
          <mc:Choice Requires="wps">
            <w:drawing>
              <wp:anchor xmlns:wp="http://schemas.openxmlformats.org/drawingml/2006/wordprocessingDrawing" distT="0" distB="0" distL="114300" distR="114300" simplePos="0" relativeHeight="38" behindDoc="0" locked="0" layoutInCell="1" allowOverlap="1">
                <wp:simplePos x="0" y="0"/>
                <wp:positionH relativeFrom="page">
                  <wp:posOffset>-685800</wp:posOffset>
                </wp:positionH>
                <wp:positionV relativeFrom="paragraph">
                  <wp:posOffset>-2009140</wp:posOffset>
                </wp:positionV>
                <wp:extent cx="7953375" cy="854075"/>
                <wp:effectExtent l="0" t="0" r="9525" b="3175"/>
                <wp:wrapNone/>
                <wp:docPr id="549318475" name="Rektangel 549318475"/>
                <wp:cNvGraphicFramePr/>
                <a:graphic xmlns:a="http://schemas.openxmlformats.org/drawingml/2006/main">
                  <a:graphicData uri="http://schemas.microsoft.com/office/word/2010/wordprocessingShape">
                    <wps:wsp>
                      <wps:cNvSpPr/>
                      <wps:spPr>
                        <a:xfrm>
                          <a:off x="0" y="0"/>
                          <a:ext cx="7953375" cy="854443"/>
                        </a:xfrm>
                        <a:prstGeom prst="rect"/>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549318475" o:spid="_x0000_s1059" style="position:absolute;width:626.25pt;height:67.25pt;z-index:38;mso-wrap-distance-left:9pt;mso-wrap-distance-top:0pt;mso-wrap-distance-right:9pt;mso-wrap-distance-bottom:0pt;margin-left:-54pt;margin-top:-158.2pt;mso-position-horizontal:absolute;mso-position-horizontal-relative:page;mso-position-vertical:absolute;mso-position-vertical-relative:text;v-text-anchor:middle" o:allowincell="t" fillcolor="#FFFFFF" strokeweight="2pt" stroked="f">
                <v:textbox inset="3mm,1mm,3mm,1mm">
                  <w:txbxContent>
                    <w:p/>
                  </w:txbxContent>
                </v:textbox>
              </v:rect>
            </w:pict>
          </mc:Fallback>
        </mc:AlternateContent>
      </w:r>
    </w:p>
    <w:p>
      <w:pPr>
        <w:rPr>
          <w:highlight w:val="yellow"/>
        </w:rPr>
      </w:pPr>
    </w:p>
    <w:p>
      <w:pPr>
        <w:rPr>
          <w:highlight w:val="yellow"/>
        </w:rPr>
      </w:pPr>
    </w:p>
    <w:p>
      <w:pPr>
        <w:rPr>
          <w:highlight w:val="yellow"/>
        </w:rPr>
      </w:pPr>
    </w:p>
    <w:p>
      <w:pPr>
        <w:rPr>
          <w:highlight w:val="yellow"/>
        </w:rPr>
      </w:pPr>
    </w:p>
    <w:p>
      <w:pPr>
        <w:rPr>
          <w:highlight w:val="yellow"/>
        </w:rPr>
      </w:pPr>
      <w:r>
        <w:rPr>
          <w:noProof w:val="1"/>
        </w:rPr>
        <mc:AlternateContent>
          <mc:Choice Requires="wps">
            <w:drawing>
              <wp:anchor xmlns:wp="http://schemas.openxmlformats.org/drawingml/2006/wordprocessingDrawing" distT="0" distB="0" distL="114300" distR="114300" simplePos="0" relativeHeight="45" behindDoc="0" locked="0" layoutInCell="1" allowOverlap="1">
                <wp:simplePos x="0" y="0"/>
                <wp:positionH relativeFrom="column">
                  <wp:posOffset>-681355</wp:posOffset>
                </wp:positionH>
                <wp:positionV relativeFrom="paragraph">
                  <wp:posOffset>-1652270</wp:posOffset>
                </wp:positionV>
                <wp:extent cx="6787515" cy="715010"/>
                <wp:effectExtent l="0" t="0" r="0" b="8890"/>
                <wp:wrapNone/>
                <wp:docPr id="2127774427" name="Rektangel 25"/>
                <wp:cNvGraphicFramePr/>
                <a:graphic xmlns:a="http://schemas.openxmlformats.org/drawingml/2006/main">
                  <a:graphicData uri="http://schemas.microsoft.com/office/word/2010/wordprocessingShape">
                    <wps:wsp>
                      <wps:cNvSpPr/>
                      <wps:spPr>
                        <a:xfrm>
                          <a:off x="0" y="0"/>
                          <a:ext cx="6787661" cy="715108"/>
                        </a:xfrm>
                        <a:prstGeom prst="rect"/>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5" o:spid="_x0000_s1060" style="position:absolute;width:534.45pt;height:56.3pt;z-index:45;mso-wrap-distance-left:9pt;mso-wrap-distance-top:0pt;mso-wrap-distance-right:9pt;mso-wrap-distance-bottom:0pt;margin-left:-53.65pt;margin-top:-130.1pt;mso-position-horizontal:absolute;mso-position-horizontal-relative:text;mso-position-vertical:absolute;mso-position-vertical-relative:text;v-text-anchor:middle" o:allowincell="t" fillcolor="#FFFFFF" strokeweight="2pt" stroked="f">
                <v:textbox inset="3mm,1mm,3mm,1mm">
                  <w:txbxContent>
                    <w:p/>
                  </w:txbxContent>
                </v:textbox>
              </v:rect>
            </w:pict>
          </mc:Fallback>
        </mc:AlternateContent>
      </w:r>
    </w:p>
    <w:p>
      <w:pPr>
        <w:rPr>
          <w:highlight w:val="yellow"/>
        </w:rPr>
      </w:pPr>
    </w:p>
    <w:p>
      <w:pPr>
        <w:rPr>
          <w:highlight w:val="yellow"/>
        </w:rPr>
      </w:pPr>
    </w:p>
    <w:p>
      <w:pPr>
        <w:rPr>
          <w:highlight w:val="yellow"/>
        </w:rPr>
      </w:pPr>
    </w:p>
    <w:p>
      <w:pPr>
        <w:rPr>
          <w:highlight w:val="yellow"/>
        </w:rPr>
      </w:pPr>
    </w:p>
    <w:p>
      <w:pPr>
        <w:rPr>
          <w:highlight w:val="yellow"/>
        </w:rPr>
      </w:pPr>
    </w:p>
    <w:p>
      <w:pPr>
        <w:rPr>
          <w:highlight w:val="yellow"/>
        </w:rPr>
      </w:pPr>
    </w:p>
    <w:p>
      <w:pPr>
        <w:rPr>
          <w:highlight w:val="yellow"/>
        </w:rPr>
      </w:pPr>
    </w:p>
    <w:p>
      <w:pPr>
        <w:rPr>
          <w:highlight w:val="yellow"/>
        </w:rPr>
      </w:pPr>
    </w:p>
    <w:p>
      <w:pPr>
        <w:jc w:val="center"/>
      </w:pPr>
      <w:r>
        <w:rPr>
          <w:noProof w:val="1"/>
          <w:lang w:eastAsia="sv-SE"/>
        </w:rPr>
        <w:drawing>
          <wp:inline xmlns:wp="http://schemas.openxmlformats.org/drawingml/2006/wordprocessingDrawing" distT="0" distB="0" distL="0" distR="0">
            <wp:extent cx="821055" cy="1184275"/>
            <wp:effectExtent l="0" t="0" r="0" b="0"/>
            <wp:docPr id="7" name="Bildobjekt 7"/>
            <wp:cNvGraphicFramePr/>
            <a:graphic xmlns:a="http://schemas.openxmlformats.org/drawingml/2006/main">
              <a:graphicData uri="http://schemas.openxmlformats.org/drawingml/2006/picture">
                <pic:pic xmlns:pic="http://schemas.openxmlformats.org/drawingml/2006/picture">
                  <pic:nvPicPr>
                    <pic:cNvPr id="5" name="Picture 2777"/>
                    <pic:cNvPicPr/>
                  </pic:nvPicPr>
                  <pic:blipFill dpi="0">
                    <a:blip xmlns:r="http://schemas.openxmlformats.org/officeDocument/2006/relationships" r:embed="Relimage81"/>
                    <a:srcRect/>
                    <a:stretch>
                      <a:fillRect/>
                    </a:stretch>
                  </pic:blipFill>
                  <pic:spPr>
                    <a:xfrm>
                      <a:off x="0" y="0"/>
                      <a:ext cx="821055" cy="1184275"/>
                    </a:xfrm>
                    <a:prstGeom prst="rect"/>
                  </pic:spPr>
                </pic:pic>
              </a:graphicData>
            </a:graphic>
          </wp:inline>
        </w:drawing>
      </w:r>
    </w:p>
    <w:p>
      <w:pPr>
        <w:pStyle w:val="P11"/>
        <w:jc w:val="center"/>
        <w:rPr>
          <w:rFonts w:ascii="Arial" w:hAnsi="Arial" w:cs="Arial"/>
          <w:b w:val="1"/>
          <w:szCs w:val="20"/>
        </w:rPr>
      </w:pPr>
      <w:r>
        <w:rPr>
          <w:rFonts w:ascii="Arial" w:hAnsi="Arial" w:cs="Arial"/>
          <w:b w:val="1"/>
          <w:szCs w:val="20"/>
        </w:rPr>
        <w:t>Samhällsbyggnadsförvaltningen</w:t>
      </w:r>
    </w:p>
    <w:p>
      <w:pPr>
        <w:pStyle w:val="P11"/>
        <w:jc w:val="center"/>
        <w:rPr>
          <w:rFonts w:ascii="Arial" w:hAnsi="Arial" w:cs="Arial"/>
          <w:bCs w:val="1"/>
          <w:szCs w:val="20"/>
        </w:rPr>
      </w:pPr>
      <w:r>
        <w:rPr>
          <w:rFonts w:ascii="Arial" w:hAnsi="Arial" w:cs="Arial"/>
          <w:bCs w:val="1"/>
          <w:szCs w:val="20"/>
        </w:rPr>
        <w:t>Fysisk planering</w:t>
      </w:r>
    </w:p>
    <w:p>
      <w:pPr>
        <w:pStyle w:val="P11"/>
        <w:spacing w:before="240" w:beforeAutospacing="0" w:afterAutospacing="0"/>
        <w:jc w:val="center"/>
        <w:rPr>
          <w:rFonts w:ascii="Arial" w:hAnsi="Arial" w:cs="Arial"/>
          <w:szCs w:val="20"/>
        </w:rPr>
      </w:pPr>
      <w:r>
        <w:rPr>
          <w:rFonts w:ascii="Arial" w:hAnsi="Arial" w:cs="Arial"/>
          <w:szCs w:val="20"/>
        </w:rPr>
        <w:t>2024 december</w:t>
      </w:r>
    </w:p>
    <w:p>
      <w:pPr>
        <w:jc w:val="center"/>
      </w:pPr>
      <w:r>
        <w:rPr>
          <w:noProof w:val="1"/>
          <w:lang w:eastAsia="sv-SE"/>
        </w:rPr>
        <mc:AlternateContent>
          <mc:Choice Requires="wps">
            <w:drawing>
              <wp:anchor xmlns:wp="http://schemas.openxmlformats.org/drawingml/2006/wordprocessingDrawing" distT="0" distB="0" distL="114300" distR="114300" simplePos="0" relativeHeight="46" behindDoc="0" locked="0" layoutInCell="1" allowOverlap="1">
                <wp:simplePos x="0" y="0"/>
                <wp:positionH relativeFrom="column">
                  <wp:posOffset>5320665</wp:posOffset>
                </wp:positionH>
                <wp:positionV relativeFrom="paragraph">
                  <wp:posOffset>250825</wp:posOffset>
                </wp:positionV>
                <wp:extent cx="762000" cy="632460"/>
                <wp:effectExtent l="0" t="0" r="0" b="0"/>
                <wp:wrapNone/>
                <wp:docPr id="380437258" name="Rektangel 26"/>
                <wp:cNvGraphicFramePr/>
                <a:graphic xmlns:a="http://schemas.openxmlformats.org/drawingml/2006/main">
                  <a:graphicData uri="http://schemas.microsoft.com/office/word/2010/wordprocessingShape">
                    <wps:wsp>
                      <wps:cNvSpPr/>
                      <wps:spPr>
                        <a:xfrm>
                          <a:off x="0" y="0"/>
                          <a:ext cx="762000" cy="633048"/>
                        </a:xfrm>
                        <a:prstGeom prst="rect"/>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6" o:spid="_x0000_s1061" style="position:absolute;width:60pt;height:49.8pt;z-index:46;mso-wrap-distance-left:9pt;mso-wrap-distance-top:0pt;mso-wrap-distance-right:9pt;mso-wrap-distance-bottom:0pt;margin-left:418.95pt;margin-top:19.75pt;mso-position-horizontal:absolute;mso-position-horizontal-relative:text;mso-position-vertical:absolute;mso-position-vertical-relative:text;v-text-anchor:middle" o:allowincell="t" fillcolor="#FFFFFF" strokeweight="2pt" stroked="f">
                <v:textbox inset="3mm,1mm,3mm,1mm">
                  <w:txbxContent>
                    <w:p/>
                  </w:txbxContent>
                </v:textbox>
              </v:rect>
            </w:pict>
          </mc:Fallback>
        </mc:AlternateContent>
      </w:r>
      <w:r>
        <w:rPr>
          <w:noProof w:val="1"/>
          <w:lang w:eastAsia="sv-SE"/>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5339715</wp:posOffset>
                </wp:positionH>
                <wp:positionV relativeFrom="paragraph">
                  <wp:posOffset>1044575</wp:posOffset>
                </wp:positionV>
                <wp:extent cx="1200150" cy="828675"/>
                <wp:effectExtent l="0" t="0" r="0" b="9525"/>
                <wp:wrapNone/>
                <wp:docPr id="27" name="Rektangel 27"/>
                <wp:cNvGraphicFramePr/>
                <a:graphic xmlns:a="http://schemas.openxmlformats.org/drawingml/2006/main">
                  <a:graphicData uri="http://schemas.microsoft.com/office/word/2010/wordprocessingShape">
                    <wps:wsp>
                      <wps:cNvSpPr/>
                      <wps:spPr>
                        <a:xfrm>
                          <a:off x="0" y="0"/>
                          <a:ext cx="1200150" cy="828675"/>
                        </a:xfrm>
                        <a:prstGeom prst="rect"/>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7" o:spid="_x0000_s1062" style="position:absolute;width:94.5pt;height:65.25pt;z-index:1;mso-wrap-distance-left:9pt;mso-wrap-distance-top:0pt;mso-wrap-distance-right:9pt;mso-wrap-distance-bottom:0pt;margin-left:420.45pt;margin-top:82.25pt;mso-position-horizontal:absolute;mso-position-horizontal-relative:text;mso-position-vertical:absolute;mso-position-vertical-relative:text;v-text-anchor:middle" o:allowincell="t" fillcolor="#FFFFFF" strokeweight="2pt" stroked="f">
                <v:textbox inset="3mm,1mm,3mm,1mm">
                  <w:txbxContent>
                    <w:p>
                      <w:pPr>
                        <w:jc w:val="center"/>
                      </w:pPr>
                    </w:p>
                  </w:txbxContent>
                </v:textbox>
              </v:rect>
            </w:pict>
          </mc:Fallback>
        </mc:AlternateConten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9" w:h="16834" w:code="0"/>
      <w:pgMar w:left="1701" w:right="1985" w:top="3119" w:bottom="2552" w:header="737" w:footer="851"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pStyle w:val="P3"/>
        <w:rPr>
          <w:rFonts w:ascii="Times New Roman" w:hAnsi="Times New Roman" w:eastAsia="Times New Roman"/>
        </w:rPr>
      </w:pPr>
      <w:r>
        <w:separator/>
      </w:r>
    </w:p>
  </w:endnote>
  <w:endnote w:type="continuationSeparator" w:id="0">
    <w:p>
      <w:pPr>
        <w:pStyle w:val="P3"/>
        <w:rPr>
          <w:rFonts w:ascii="Times New Roman" w:hAnsi="Times New Roman" w:eastAsia="Times New Roman"/>
        </w:rPr>
      </w:pPr>
      <w:r>
        <w:continuationSeparator/>
      </w:r>
    </w:p>
  </w:endnote>
  <w:endnote w:type="continuationNotice" w:id="1">
    <w:p>
      <w:pPr>
        <w:spacing w:lineRule="auto" w:line="240" w:after="0" w:beforeAutospacing="0" w:afterAutospacing="0"/>
      </w:pP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tbl>
    <w:tblPr>
      <w:tblStyle w:val="T2"/>
      <w:tblW w:w="3497" w:type="dxa"/>
      <w:tblInd w:w="-851"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right w:w="0" w:type="dxa"/>
      </w:tblCellMar>
      <w:tblLook w:val="04A0"/>
    </w:tblPr>
    <w:tblGrid/>
    <w:tr>
      <w:trPr>
        <w:trHeight w:hRule="atLeast" w:val="1417"/>
      </w:trPr>
      <w:tc>
        <w:tcPr>
          <w:tcW w:w="3497" w:type="dxa"/>
          <w:vAlign w:val="bottom"/>
        </w:tcPr>
        <w:p>
          <w:pPr>
            <w:pStyle w:val="P11"/>
          </w:pPr>
          <w:bookmarkStart w:id="0" w:name="be_ärendeinformation03" w:colFirst="0" w:colLast="0"/>
          <w:bookmarkStart w:id="1" w:name="be_planarkitekt01" w:colFirst="0" w:colLast="0"/>
          <w:r>
            <w:t>Samhällsbyggnadsförvaltningen</w:t>
          </w:r>
        </w:p>
        <w:p>
          <w:pPr>
            <w:pStyle w:val="P11"/>
          </w:pPr>
          <w:r>
            <w:t>Fysisk planering</w:t>
          </w:r>
        </w:p>
        <w:p>
          <w:pPr>
            <w:pStyle w:val="P11"/>
          </w:pPr>
          <w:r>
            <w:t>Planarkitekt Ida Ahlbäck</w:t>
          </w:r>
        </w:p>
        <w:p>
          <w:pPr>
            <w:pStyle w:val="P11"/>
            <w:rPr>
              <w:lang w:val="en-US"/>
            </w:rPr>
          </w:pPr>
          <w:r>
            <w:rPr>
              <w:lang w:val="en-US"/>
            </w:rPr>
            <w:t>tel. 0921-620 53</w:t>
          </w:r>
        </w:p>
        <w:p>
          <w:pPr>
            <w:pStyle w:val="P11"/>
            <w:rPr>
              <w:lang w:val="en-US"/>
            </w:rPr>
          </w:pPr>
          <w:r>
            <w:rPr>
              <w:lang w:val="en-US"/>
            </w:rPr>
            <w:t>ida.ahlback@boden.se</w:t>
          </w:r>
        </w:p>
      </w:tc>
    </w:tr>
  </w:tbl>
  <w:p>
    <w:pPr>
      <w:pStyle w:val="P21"/>
    </w:pPr>
    <w:bookmarkEnd w:id="0"/>
    <w:bookmarkEnd w:id="1"/>
    <w:r>
      <w:rPr>
        <w:noProof w:val="1"/>
        <w:lang w:eastAsia="sv-SE"/>
      </w:rPr>
      <mc:AlternateContent>
        <mc:Choice Requires="wps">
          <w:drawing>
            <wp:anchor xmlns:wp="http://schemas.openxmlformats.org/drawingml/2006/wordprocessingDrawing" distT="0" distB="0" distL="114300" distR="114300" simplePos="0" relativeHeight="251658242" behindDoc="1" locked="0" layoutInCell="1" allowOverlap="1">
              <wp:simplePos x="0" y="0"/>
              <wp:positionH relativeFrom="page">
                <wp:posOffset>6238240</wp:posOffset>
              </wp:positionH>
              <wp:positionV relativeFrom="page">
                <wp:posOffset>8991600</wp:posOffset>
              </wp:positionV>
              <wp:extent cx="827405" cy="1259840"/>
              <wp:effectExtent l="0" t="0" r="10795" b="0"/>
              <wp:wrapNone/>
              <wp:docPr id="1" name="Textruta 1"/>
              <wp:cNvGraphicFramePr/>
              <a:graphic xmlns:a="http://schemas.openxmlformats.org/drawingml/2006/main">
                <a:graphicData uri="http://schemas.microsoft.com/office/word/2010/wordprocessingShape">
                  <wps:wsp>
                    <wps:cNvSpPr txBox="1"/>
                    <wps:spPr>
                      <a:xfrm>
                        <a:off x="0" y="0"/>
                        <a:ext cx="828005" cy="126000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rPr>
                              <w:noProof w:val="1"/>
                              <w:lang w:eastAsia="sv-SE"/>
                            </w:rPr>
                            <w:drawing>
                              <wp:inline distT="0" distB="0" distL="0" distR="0">
                                <wp:extent cx="821055" cy="1184275"/>
                                <wp:effectExtent l="0" t="0" r="0" b="0"/>
                                <wp:docPr id="25" name="Bildobjekt 25"/>
                                <wp:cNvGraphicFramePr/>
                                <a:graphic>
                                  <a:graphicData uri="http://schemas.openxmlformats.org/drawingml/2006/picture">
                                    <pic:pic xmlns:pic="http://schemas.openxmlformats.org/drawingml/2006/picture">
                                      <pic:nvPicPr>
                                        <pic:cNvPr id="5" name="Picture 2778"/>
                                        <pic:cNvPicPr/>
                                      </pic:nvPicPr>
                                      <pic:blipFill dpi="0">
                                        <a:blip xmlns:r="http://schemas.openxmlformats.org/officeDocument/2006/relationships" r:embed="Relimage84"/>
                                        <a:srcRect/>
                                        <a:stretch>
                                          <a:fillRect/>
                                        </a:stretch>
                                      </pic:blipFill>
                                      <pic:spPr>
                                        <a:xfrm>
                                          <a:off x="0" y="0"/>
                                          <a:ext cx="821055" cy="1184275"/>
                                        </a:xfrm>
                                        <a:prstGeom prst="rec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1" o:spid="_x0000_s1065" style="position:absolute;width:65.15pt;height:99.2pt;z-index:251658242;mso-wrap-distance-left:9pt;mso-wrap-distance-top:0pt;mso-wrap-distance-right:9pt;mso-wrap-distance-bottom:0pt;margin-left:491.2pt;margin-top:708pt;mso-position-horizontal:absolute;mso-position-horizontal-relative:page;mso-position-vertical:absolute;mso-position-vertical-relative:page" o:allowincell="t" filled="f" strokeweight="0.5pt" stroked="f">
              <v:textbox inset="0mm,0mm,0mm,0mm">
                <w:txbxContent>
                  <w:p>
                    <w:r>
                      <w:rPr>
                        <w:noProof w:val="1"/>
                        <w:lang w:eastAsia="sv-SE"/>
                      </w:rPr>
                      <w:drawing>
                        <wp:inline xmlns:wp="http://schemas.openxmlformats.org/drawingml/2006/wordprocessingDrawing" distT="0" distB="0" distL="0" distR="0">
                          <wp:extent cx="821055" cy="1184275"/>
                          <wp:effectExtent l="0" t="0" r="0" b="0"/>
                          <wp:docPr id="25" name="Bildobjekt 25"/>
                          <wp:cNvGraphicFramePr/>
                          <a:graphic xmlns:a="http://schemas.openxmlformats.org/drawingml/2006/main">
                            <a:graphicData uri="http://schemas.openxmlformats.org/drawingml/2006/picture">
                              <pic:pic xmlns:pic="http://schemas.openxmlformats.org/drawingml/2006/picture">
                                <pic:nvPicPr>
                                  <pic:cNvPr id="5" name="Picture 2778"/>
                                  <pic:cNvPicPr/>
                                </pic:nvPicPr>
                                <pic:blipFill dpi="0">
                                  <a:blip xmlns:r="http://schemas.openxmlformats.org/officeDocument/2006/relationships" r:embed="Relimage84"/>
                                  <a:srcRect/>
                                  <a:stretch>
                                    <a:fillRect/>
                                  </a:stretch>
                                </pic:blipFill>
                                <pic:spPr>
                                  <a:xfrm>
                                    <a:off x="0" y="0"/>
                                    <a:ext cx="821055" cy="1184275"/>
                                  </a:xfrm>
                                  <a:prstGeom prst="rect"/>
                                </pic:spPr>
                              </pic:pic>
                            </a:graphicData>
                          </a:graphic>
                        </wp:inline>
                      </w:drawing>
                    </w:r>
                  </w:p>
                </w:txbxContent>
              </v:textbox>
            </v:shape>
          </w:pict>
        </mc:Fallback>
      </mc:AlternateContent>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379" w:type="dxa"/>
      <w:tblInd w:w="-23"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right w:w="0" w:type="dxa"/>
      </w:tblCellMar>
      <w:tblLook w:val="04A0"/>
    </w:tblPr>
    <w:tblGrid/>
    <w:tr>
      <w:trPr>
        <w:trHeight w:hRule="atLeast" w:val="283"/>
      </w:trPr>
      <w:tc>
        <w:tcPr>
          <w:tcW w:w="9072" w:type="dxa"/>
          <w:shd w:val="clear" w:color="auto" w:fill="auto"/>
          <w:vAlign w:val="bottom"/>
        </w:tcPr>
        <w:p>
          <w:pPr>
            <w:pStyle w:val="P10"/>
          </w:pPr>
        </w:p>
      </w:tc>
      <w:tc>
        <w:tcPr>
          <w:tcW w:w="307" w:type="dxa"/>
          <w:tcBorders>
            <w:left w:val="single" w:sz="18" w:space="0" w:shadow="0" w:frame="0" w:color="75B325" w:themeColor="accent1"/>
          </w:tcBorders>
          <w:shd w:val="clear" w:color="auto" w:fill="auto"/>
          <w:vAlign w:val="bottom"/>
        </w:tcPr>
        <w:p>
          <w:pPr>
            <w:pStyle w:val="P10"/>
            <w:jc w:val="right"/>
          </w:pPr>
          <w:r>
            <w:fldChar w:fldCharType="begin"/>
          </w:r>
          <w:r>
            <w:instrText xml:space="preserve"> PAGE   \* MERGEFORMAT </w:instrText>
          </w:r>
          <w:r>
            <w:fldChar w:fldCharType="separate"/>
          </w:r>
          <w:r>
            <w:rPr>
              <w:noProof w:val="1"/>
            </w:rPr>
            <w:t>#</w:t>
          </w:r>
          <w:r>
            <w:fldChar w:fldCharType="end"/>
          </w:r>
        </w:p>
      </w:tc>
    </w:tr>
  </w:tbl>
  <w:p>
    <w:pPr>
      <w:pStyle w:val="P21"/>
    </w:pPr>
  </w:p>
  <w:p/>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pStyle w:val="P3"/>
        <w:rPr>
          <w:rFonts w:ascii="Times New Roman" w:hAnsi="Times New Roman" w:eastAsia="Times New Roman"/>
        </w:rPr>
      </w:pPr>
      <w:r>
        <w:separator/>
      </w:r>
    </w:p>
  </w:footnote>
  <w:footnote w:type="continuationSeparator" w:id="0">
    <w:p>
      <w:pPr>
        <w:pStyle w:val="P3"/>
        <w:rPr>
          <w:rFonts w:ascii="Times New Roman" w:hAnsi="Times New Roman" w:eastAsia="Times New Roman"/>
        </w:rPr>
      </w:pPr>
      <w:r>
        <w:continuationSeparator/>
      </w:r>
    </w:p>
  </w:footnote>
  <w:footnote w:type="continuationNotice" w:id="1">
    <w:p>
      <w:pPr>
        <w:spacing w:lineRule="auto" w:line="240" w:after="0" w:beforeAutospacing="0" w:afterAutospacing="0"/>
      </w:pP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tabs>
        <w:tab w:val="clear" w:pos="4536" w:leader="none"/>
        <w:tab w:val="right" w:pos="8507" w:leader="none"/>
        <w:tab w:val="clear" w:pos="9072" w:leader="none"/>
      </w:tabs>
      <w:spacing w:after="9900" w:beforeAutospacing="0" w:afterAutospacing="0"/>
    </w:pPr>
    <w:r>
      <w:rPr>
        <w:noProof w:val="1"/>
        <w:lang w:eastAsia="sv-SE"/>
      </w:rPr>
      <w:drawing>
        <wp:anchor xmlns:wp="http://schemas.openxmlformats.org/drawingml/2006/wordprocessingDrawing" distT="0" distB="0" distL="114300" distR="114300" simplePos="0" relativeHeight="4" behindDoc="0" locked="0" layoutInCell="1" allowOverlap="1">
          <wp:simplePos x="0" y="0"/>
          <wp:positionH relativeFrom="margin">
            <wp:posOffset>-1133475</wp:posOffset>
          </wp:positionH>
          <wp:positionV relativeFrom="paragraph">
            <wp:posOffset>-560070</wp:posOffset>
          </wp:positionV>
          <wp:extent cx="6301740" cy="6279515"/>
          <wp:effectExtent l="0" t="0" r="0" b="6985"/>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skt element_outline_vit.png"/>
                  <pic:cNvPicPr/>
                </pic:nvPicPr>
                <pic:blipFill dpi="0">
                  <a:blip xmlns:r="http://schemas.openxmlformats.org/officeDocument/2006/relationships" r:embed="Relimage82"/>
                  <a:srcRect/>
                  <a:stretch>
                    <a:fillRect/>
                  </a:stretch>
                </pic:blipFill>
                <pic:spPr>
                  <a:xfrm>
                    <a:off x="0" y="0"/>
                    <a:ext cx="6301740" cy="6279515"/>
                  </a:xfrm>
                  <a:prstGeom prst="rect"/>
                </pic:spPr>
              </pic:pic>
            </a:graphicData>
          </a:graphic>
        </wp:anchor>
      </w:drawing>
    </w:r>
    <w:r>
      <w:rPr>
        <w:noProof w:val="1"/>
        <w:lang w:eastAsia="sv-SE"/>
      </w:rPr>
      <mc:AlternateContent>
        <mc:Choice Requires="wps">
          <w:drawing>
            <wp:anchor xmlns:wp="http://schemas.openxmlformats.org/drawingml/2006/wordprocessingDrawing" distT="0" distB="0" distL="114300" distR="114300" simplePos="0" relativeHeight="251658241" behindDoc="1" locked="0" layoutInCell="1" allowOverlap="1">
              <wp:simplePos x="0" y="0"/>
              <wp:positionH relativeFrom="page">
                <wp:align>left</wp:align>
              </wp:positionH>
              <wp:positionV relativeFrom="page">
                <wp:align>top</wp:align>
              </wp:positionV>
              <wp:extent cx="7563485" cy="6125210"/>
              <wp:effectExtent l="0" t="0" r="0" b="0"/>
              <wp:wrapNone/>
              <wp:docPr id="3" name="Textruta 3"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563933" cy="6125210"/>
                      </a:xfrm>
                      <a:prstGeom prst="rect"/>
                      <a:solidFill>
                        <a:schemeClr val="bg1">
                          <a:lumMod val="95000"/>
                        </a:schemeClr>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3" o:spid="_x0000_s1063" style="position:absolute;width:595.55pt;height:482.3pt;z-index:251658241;mso-wrap-distance-left:9pt;mso-wrap-distance-top:0pt;mso-wrap-distance-right:9pt;mso-wrap-distance-bottom:0pt;margin-left:0pt;margin-top:0pt;mso-position-horizontal:left;mso-position-horizontal-relative:page;mso-position-vertical:top;mso-position-vertical-relative:page" o:allowincell="t" fillcolor="#F2F2F2" strokeweight="0.5pt" stroked="f">
              <v:textbox inset="0mm,0mm,0mm,0mm">
                <w:txbxContent>
                  <w:p/>
                </w:txbxContent>
              </v:textbox>
              <o:lock aspectratio="t"/>
              <o:lock aspectratio="t"/>
            </v:shape>
          </w:pict>
        </mc:Fallback>
      </mc:AlternateContent>
    </w:r>
    <w:r>
      <w:rPr>
        <w:noProof w:val="1"/>
        <w:lang w:eastAsia="sv-SE"/>
      </w:rPr>
      <mc:AlternateContent>
        <mc:Choice Requires="wps">
          <w:drawing>
            <wp:anchor xmlns:wp="http://schemas.openxmlformats.org/drawingml/2006/wordprocessingDrawing" distT="0" distB="0" distL="114300" distR="114300" simplePos="0" relativeHeight="251658240" behindDoc="1" locked="0" layoutInCell="1" allowOverlap="1">
              <wp:simplePos x="0" y="0"/>
              <wp:positionH relativeFrom="page">
                <wp:align>left</wp:align>
              </wp:positionH>
              <wp:positionV relativeFrom="paragraph">
                <wp:posOffset>-472440</wp:posOffset>
              </wp:positionV>
              <wp:extent cx="7576185" cy="6139180"/>
              <wp:effectExtent l="0" t="0" r="5715" b="0"/>
              <wp:wrapNone/>
              <wp:docPr id="2" name="Rektangel 2"/>
              <wp:cNvGraphicFramePr/>
              <a:graphic xmlns:a="http://schemas.openxmlformats.org/drawingml/2006/main">
                <a:graphicData uri="http://schemas.microsoft.com/office/word/2010/wordprocessingShape">
                  <wps:wsp>
                    <wps:cNvSpPr/>
                    <wps:spPr>
                      <a:xfrm>
                        <a:off x="0" y="0"/>
                        <a:ext cx="7576458" cy="6139543"/>
                      </a:xfrm>
                      <a:prstGeom prst="rect"/>
                      <a:solidFill>
                        <a:srgbClr val="75B32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 o:spid="_x0000_s1064" style="position:absolute;width:596.55pt;height:483.4pt;z-index:251658240;mso-wrap-distance-left:9pt;mso-wrap-distance-top:0pt;mso-wrap-distance-right:9pt;mso-wrap-distance-bottom:0pt;margin-left:0pt;margin-top:-37.2pt;mso-position-horizontal:left;mso-position-horizontal-relative:page;mso-position-vertical:absolute;mso-position-vertical-relative:text;v-text-anchor:middle" o:allowincell="t" fillcolor="#75B325" strokeweight="2pt" stroked="f">
              <v:textbox inset="3mm,1mm,3mm,1mm">
                <w:txbxContent>
                  <w:p>
                    <w:pPr>
                      <w:jc w:val="center"/>
                    </w:pPr>
                  </w:p>
                </w:txbxContent>
              </v:textbox>
            </v:rect>
          </w:pict>
        </mc:Fallback>
      </mc:AlternateConten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noProof w:val="1"/>
        <w:lang w:eastAsia="sv-SE"/>
      </w:rPr>
      <w:drawing>
        <wp:anchor xmlns:wp="http://schemas.openxmlformats.org/drawingml/2006/wordprocessingDrawing" distT="0" distB="0" distL="114300" distR="114300" simplePos="0" relativeHeight="6" behindDoc="0" locked="0" layoutInCell="1" allowOverlap="1">
          <wp:simplePos x="0" y="0"/>
          <wp:positionH relativeFrom="column">
            <wp:posOffset>-518160</wp:posOffset>
          </wp:positionH>
          <wp:positionV relativeFrom="paragraph">
            <wp:posOffset>-2540</wp:posOffset>
          </wp:positionV>
          <wp:extent cx="6472555" cy="362585"/>
          <wp:effectExtent l="0" t="0" r="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pp_rapportmall.jpg"/>
                  <pic:cNvPicPr/>
                </pic:nvPicPr>
                <pic:blipFill dpi="0">
                  <a:blip xmlns:r="http://schemas.openxmlformats.org/officeDocument/2006/relationships" r:embed="Relimage83"/>
                  <a:srcRect/>
                  <a:stretch>
                    <a:fillRect/>
                  </a:stretch>
                </pic:blipFill>
                <pic:spPr>
                  <a:xfrm>
                    <a:off x="0" y="0"/>
                    <a:ext cx="6472800" cy="362991"/>
                  </a:xfrm>
                  <a:prstGeom prst="rect"/>
                </pic:spPr>
              </pic:pic>
            </a:graphicData>
          </a:graphic>
        </wp:anchor>
      </w:drawing>
    </w:r>
  </w:p>
  <w:p/>
  <w:p/>
</w:hdr>
</file>

<file path=word/numbering.xml><?xml version="1.0" encoding="utf-8"?>
<w:numbering xmlns:w="http://schemas.openxmlformats.org/wordprocessingml/2006/main">
  <w:abstractNum w:abstractNumId="0">
    <w:nsid w:val="E37F7B4A"/>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FFFFF88"/>
    <w:multiLevelType w:val="hybridMultilevel"/>
    <w:lvl w:ilvl="0">
      <w:start w:val="1"/>
      <w:numFmt w:val="decimal"/>
      <w:pStyle w:val="P62"/>
      <w:suff w:val="tab"/>
      <w:lvlText w:val="%1."/>
      <w:lvlJc w:val="left"/>
      <w:pPr>
        <w:ind w:hanging="360" w:left="360"/>
        <w:tabs>
          <w:tab w:val="num" w:pos="360" w:leader="none"/>
        </w:tabs>
      </w:pPr>
      <w:rPr/>
    </w:lvl>
    <w:lvl w:ilvl="1" w:tplc="7F366997">
      <w:start w:val="1"/>
      <w:numFmt w:val="decimal"/>
      <w:suff w:val="tab"/>
      <w:lvlText w:val="%1."/>
      <w:lvlJc w:val="left"/>
      <w:pPr/>
      <w:rPr/>
    </w:lvl>
    <w:lvl w:ilvl="2" w:tplc="3020301A">
      <w:start w:val="1"/>
      <w:numFmt w:val="decimal"/>
      <w:suff w:val="tab"/>
      <w:lvlText w:val="%1."/>
      <w:lvlJc w:val="left"/>
      <w:pPr/>
      <w:rPr/>
    </w:lvl>
    <w:lvl w:ilvl="3" w:tplc="65634465">
      <w:start w:val="1"/>
      <w:numFmt w:val="decimal"/>
      <w:suff w:val="tab"/>
      <w:lvlText w:val="%1."/>
      <w:lvlJc w:val="left"/>
      <w:pPr/>
      <w:rPr/>
    </w:lvl>
    <w:lvl w:ilvl="4" w:tplc="6905EC2C">
      <w:start w:val="1"/>
      <w:numFmt w:val="decimal"/>
      <w:suff w:val="tab"/>
      <w:lvlText w:val="%1."/>
      <w:lvlJc w:val="left"/>
      <w:pPr/>
      <w:rPr/>
    </w:lvl>
    <w:lvl w:ilvl="5" w:tplc="3ED8A0E7">
      <w:start w:val="1"/>
      <w:numFmt w:val="decimal"/>
      <w:suff w:val="tab"/>
      <w:lvlText w:val="%1."/>
      <w:lvlJc w:val="left"/>
      <w:pPr/>
      <w:rPr/>
    </w:lvl>
    <w:lvl w:ilvl="6" w:tplc="1E492E2C">
      <w:start w:val="1"/>
      <w:numFmt w:val="decimal"/>
      <w:suff w:val="tab"/>
      <w:lvlText w:val="%1."/>
      <w:lvlJc w:val="left"/>
      <w:pPr/>
      <w:rPr/>
    </w:lvl>
    <w:lvl w:ilvl="7" w:tplc="0A2DE464">
      <w:start w:val="1"/>
      <w:numFmt w:val="decimal"/>
      <w:suff w:val="tab"/>
      <w:lvlText w:val="%1."/>
      <w:lvlJc w:val="left"/>
      <w:pPr/>
      <w:rPr/>
    </w:lvl>
    <w:lvl w:ilvl="8" w:tplc="02361D16">
      <w:start w:val="1"/>
      <w:numFmt w:val="decimal"/>
      <w:suff w:val="tab"/>
      <w:lvlText w:val="%1."/>
      <w:lvlJc w:val="left"/>
      <w:pPr/>
      <w:rPr/>
    </w:lvl>
  </w:abstractNum>
  <w:abstractNum w:abstractNumId="2">
    <w:nsid w:val="FFFFFF89"/>
    <w:multiLevelType w:val="hybridMultilevel"/>
    <w:lvl w:ilvl="0">
      <w:start w:val="1"/>
      <w:numFmt w:val="bullet"/>
      <w:pStyle w:val="P61"/>
      <w:suff w:val="tab"/>
      <w:lvlText w:val=""/>
      <w:lvlJc w:val="left"/>
      <w:pPr>
        <w:ind w:hanging="360" w:left="360"/>
        <w:tabs>
          <w:tab w:val="num" w:pos="360" w:leader="none"/>
        </w:tabs>
      </w:pPr>
      <w:rPr>
        <w:rFonts w:ascii="Symbol" w:hAnsi="Symbol" w:hint="default"/>
      </w:rPr>
    </w:lvl>
    <w:lvl w:ilvl="1" w:tplc="214AB836">
      <w:start w:val="1"/>
      <w:numFmt w:val="decimal"/>
      <w:suff w:val="tab"/>
      <w:lvlText w:val="%1."/>
      <w:lvlJc w:val="left"/>
      <w:pPr/>
      <w:rPr/>
    </w:lvl>
    <w:lvl w:ilvl="2" w:tplc="59E3C4B7">
      <w:start w:val="1"/>
      <w:numFmt w:val="decimal"/>
      <w:suff w:val="tab"/>
      <w:lvlText w:val="%1."/>
      <w:lvlJc w:val="left"/>
      <w:pPr/>
      <w:rPr/>
    </w:lvl>
    <w:lvl w:ilvl="3" w:tplc="07405263">
      <w:start w:val="1"/>
      <w:numFmt w:val="decimal"/>
      <w:suff w:val="tab"/>
      <w:lvlText w:val="%1."/>
      <w:lvlJc w:val="left"/>
      <w:pPr/>
      <w:rPr/>
    </w:lvl>
    <w:lvl w:ilvl="4" w:tplc="68EEBA5B">
      <w:start w:val="1"/>
      <w:numFmt w:val="decimal"/>
      <w:suff w:val="tab"/>
      <w:lvlText w:val="%1."/>
      <w:lvlJc w:val="left"/>
      <w:pPr/>
      <w:rPr/>
    </w:lvl>
    <w:lvl w:ilvl="5" w:tplc="34EFA065">
      <w:start w:val="1"/>
      <w:numFmt w:val="decimal"/>
      <w:suff w:val="tab"/>
      <w:lvlText w:val="%1."/>
      <w:lvlJc w:val="left"/>
      <w:pPr/>
      <w:rPr/>
    </w:lvl>
    <w:lvl w:ilvl="6" w:tplc="06DD0124">
      <w:start w:val="1"/>
      <w:numFmt w:val="decimal"/>
      <w:suff w:val="tab"/>
      <w:lvlText w:val="%1."/>
      <w:lvlJc w:val="left"/>
      <w:pPr/>
      <w:rPr/>
    </w:lvl>
    <w:lvl w:ilvl="7" w:tplc="1DF4E4B1">
      <w:start w:val="1"/>
      <w:numFmt w:val="decimal"/>
      <w:suff w:val="tab"/>
      <w:lvlText w:val="%1."/>
      <w:lvlJc w:val="left"/>
      <w:pPr/>
      <w:rPr/>
    </w:lvl>
    <w:lvl w:ilvl="8" w:tplc="435C91FA">
      <w:start w:val="1"/>
      <w:numFmt w:val="decimal"/>
      <w:suff w:val="tab"/>
      <w:lvlText w:val="%1."/>
      <w:lvlJc w:val="left"/>
      <w:pPr/>
      <w:rPr/>
    </w:lvl>
  </w:abstractNum>
  <w:abstractNum w:abstractNumId="3">
    <w:nsid w:val="0D245F12"/>
    <w:multiLevelType w:val="multilevel"/>
    <w:lvl w:ilvl="0">
      <w:start w:val="2"/>
      <w:numFmt w:val="decimal"/>
      <w:pStyle w:val="P1"/>
      <w:suff w:val="tab"/>
      <w:lvlText w:val="%1"/>
      <w:lvlJc w:val="left"/>
      <w:pPr>
        <w:ind w:hanging="432" w:left="432"/>
      </w:pPr>
      <w:rPr>
        <w:rFonts w:hint="default"/>
      </w:rPr>
    </w:lvl>
    <w:lvl w:ilvl="1">
      <w:start w:val="1"/>
      <w:numFmt w:val="decimal"/>
      <w:pStyle w:val="P2"/>
      <w:suff w:val="tab"/>
      <w:lvlText w:val="%1.%2"/>
      <w:lvlJc w:val="left"/>
      <w:pPr>
        <w:ind w:hanging="576" w:left="576"/>
      </w:pPr>
      <w:rPr>
        <w:rFonts w:hint="default"/>
      </w:rPr>
    </w:lvl>
    <w:lvl w:ilvl="2">
      <w:start w:val="1"/>
      <w:numFmt w:val="decimal"/>
      <w:pStyle w:val="P3"/>
      <w:suff w:val="tab"/>
      <w:lvlText w:val="%1.%2.%3"/>
      <w:lvlJc w:val="left"/>
      <w:pPr>
        <w:ind w:hanging="720" w:left="720"/>
      </w:pPr>
      <w:rPr>
        <w:rFonts w:hint="default"/>
        <w:sz w:val="24"/>
        <w:szCs w:val="24"/>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4">
    <w:nsid w:val="162F2EF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19185BD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1DA3357E"/>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25BE340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270365B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2B9C393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3A3414C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3BD81B03"/>
    <w:multiLevelType w:val="multilevel"/>
    <w:lvl w:ilvl="0">
      <w:start w:val="1"/>
      <w:numFmt w:val="decimal"/>
      <w:pStyle w:val="P25"/>
      <w:suff w:val="tab"/>
      <w:lvlText w:val="%1."/>
      <w:lvlJc w:val="left"/>
      <w:pPr>
        <w:ind w:hanging="680" w:left="680"/>
      </w:pPr>
      <w:rPr>
        <w:rFonts w:hint="default"/>
      </w:rPr>
    </w:lvl>
    <w:lvl w:ilvl="1">
      <w:start w:val="1"/>
      <w:numFmt w:val="decimal"/>
      <w:pStyle w:val="P26"/>
      <w:suff w:val="tab"/>
      <w:lvlText w:val="%1.%2"/>
      <w:lvlJc w:val="left"/>
      <w:pPr>
        <w:ind w:hanging="680" w:left="680"/>
      </w:pPr>
      <w:rPr>
        <w:rFonts w:hint="default"/>
      </w:rPr>
    </w:lvl>
    <w:lvl w:ilvl="2">
      <w:start w:val="1"/>
      <w:numFmt w:val="decimal"/>
      <w:pStyle w:val="P27"/>
      <w:suff w:val="tab"/>
      <w:lvlText w:val="%1.%2.%3"/>
      <w:lvlJc w:val="left"/>
      <w:pPr>
        <w:ind w:hanging="680" w:left="680"/>
      </w:pPr>
      <w:rPr>
        <w:rFonts w:hint="default"/>
      </w:rPr>
    </w:lvl>
    <w:lvl w:ilvl="3">
      <w:start w:val="1"/>
      <w:numFmt w:val="decimal"/>
      <w:pStyle w:val="P28"/>
      <w:suff w:val="tab"/>
      <w:lvlText w:val="%1.%2.%3.%4"/>
      <w:lvlJc w:val="left"/>
      <w:pPr>
        <w:ind w:hanging="680" w:left="680"/>
        <w:tabs>
          <w:tab w:val="num" w:pos="567" w:leader="none"/>
        </w:tabs>
      </w:pPr>
      <w:rPr>
        <w:rFonts w:hint="default"/>
      </w:rPr>
    </w:lvl>
    <w:lvl w:ilvl="4">
      <w:start w:val="1"/>
      <w:numFmt w:val="decimal"/>
      <w:lvlRestart w:val="3"/>
      <w:pStyle w:val="P29"/>
      <w:suff w:val="tab"/>
      <w:lvlText w:val="%1.%2.%3.%4.%5"/>
      <w:lvlJc w:val="left"/>
      <w:pPr>
        <w:ind w:hanging="680" w:left="680"/>
        <w:tabs>
          <w:tab w:val="num" w:pos="567" w:leader="none"/>
        </w:tabs>
      </w:pPr>
      <w:rPr>
        <w:rFonts w:hint="default"/>
      </w:rPr>
    </w:lvl>
    <w:lvl w:ilvl="5">
      <w:start w:val="1"/>
      <w:numFmt w:val="decimal"/>
      <w:suff w:val="tab"/>
      <w:lvlText w:val="%1.%2.%3.%4.%5.%6"/>
      <w:lvlJc w:val="left"/>
      <w:pPr>
        <w:ind w:hanging="680" w:left="680"/>
        <w:tabs>
          <w:tab w:val="num" w:pos="567" w:leader="none"/>
        </w:tabs>
      </w:pPr>
      <w:rPr>
        <w:rFonts w:hint="default"/>
      </w:rPr>
    </w:lvl>
    <w:lvl w:ilvl="6">
      <w:start w:val="1"/>
      <w:numFmt w:val="decimal"/>
      <w:suff w:val="tab"/>
      <w:lvlText w:val="%1.%2.%3.%4.%5.%6.%7"/>
      <w:lvlJc w:val="left"/>
      <w:pPr>
        <w:ind w:hanging="680" w:left="680"/>
        <w:tabs>
          <w:tab w:val="num" w:pos="567" w:leader="none"/>
        </w:tabs>
      </w:pPr>
      <w:rPr>
        <w:rFonts w:hint="default"/>
      </w:rPr>
    </w:lvl>
    <w:lvl w:ilvl="7">
      <w:start w:val="1"/>
      <w:numFmt w:val="decimal"/>
      <w:suff w:val="tab"/>
      <w:lvlText w:val="%1.%2.%3.%4.%5.%6.%7.%8"/>
      <w:lvlJc w:val="left"/>
      <w:pPr>
        <w:ind w:hanging="680" w:left="680"/>
        <w:tabs>
          <w:tab w:val="num" w:pos="567" w:leader="none"/>
        </w:tabs>
      </w:pPr>
      <w:rPr>
        <w:rFonts w:hint="default"/>
      </w:rPr>
    </w:lvl>
    <w:lvl w:ilvl="8">
      <w:start w:val="1"/>
      <w:numFmt w:val="decimal"/>
      <w:suff w:val="tab"/>
      <w:lvlText w:val="%1.%2.%3.%4.%5.%6.%7.%8.%9"/>
      <w:lvlJc w:val="left"/>
      <w:pPr>
        <w:ind w:hanging="680" w:left="680"/>
        <w:tabs>
          <w:tab w:val="num" w:pos="567" w:leader="none"/>
        </w:tabs>
      </w:pPr>
      <w:rPr>
        <w:rFonts w:hint="default"/>
      </w:rPr>
    </w:lvl>
  </w:abstractNum>
  <w:abstractNum w:abstractNumId="12">
    <w:nsid w:val="4CD31093"/>
    <w:multiLevelType w:val="multilevel"/>
    <w:tmpl w:val="0409001D"/>
    <w:styleLink w:val="N3"/>
    <w:lvl w:ilvl="0">
      <w:start w:val="2"/>
      <w:numFmt w:val="decimal"/>
      <w:suff w:val="tab"/>
      <w:lvlText w:val="%1"/>
      <w:lvlJc w:val="left"/>
      <w:pPr>
        <w:ind w:hanging="432" w:left="432"/>
      </w:pPr>
      <w:rPr>
        <w:rFonts w:hint="default"/>
      </w:rPr>
    </w:lvl>
    <w:lvl w:ilvl="1">
      <w:start w:val="1"/>
      <w:numFmt w:val="decimal"/>
      <w:suff w:val="tab"/>
      <w:lvlText w:val="%1.%2"/>
      <w:lvlJc w:val="left"/>
      <w:pPr>
        <w:ind w:hanging="576" w:left="576"/>
      </w:pPr>
      <w:rPr>
        <w:rFonts w:hint="default"/>
      </w:rPr>
    </w:lvl>
    <w:lvl w:ilvl="2">
      <w:start w:val="1"/>
      <w:numFmt w:val="decimal"/>
      <w:suff w:val="tab"/>
      <w:lvlText w:val="%1.%2.%3"/>
      <w:lvlJc w:val="left"/>
      <w:pPr>
        <w:ind w:hanging="720" w:left="720"/>
      </w:pPr>
      <w:rPr>
        <w:rFonts w:hint="default"/>
        <w:sz w:val="24"/>
        <w:szCs w:val="24"/>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13">
    <w:nsid w:val="523D326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4">
    <w:nsid w:val="5BAF7FB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5E2A32C7"/>
    <w:multiLevelType w:val="hybridMultilevel"/>
    <w:lvl w:ilvl="0" w:tplc="1CB835FA">
      <w:start w:val="12"/>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61B5390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7">
    <w:nsid w:val="6CD572B8"/>
    <w:multiLevelType w:val="multilevel"/>
    <w:lvl w:ilvl="0">
      <w:start w:val="1"/>
      <w:numFmt w:val="decimal"/>
      <w:suff w:val="tab"/>
      <w:lvlText w:val="%1"/>
      <w:lvlJc w:val="left"/>
      <w:pPr>
        <w:ind w:hanging="432" w:left="432"/>
      </w:pPr>
      <w:rPr>
        <w:rFonts w:hint="default"/>
        <w:color w:val="auto"/>
      </w:rPr>
    </w:lvl>
    <w:lvl w:ilvl="1">
      <w:start w:val="1"/>
      <w:numFmt w:val="decimal"/>
      <w:suff w:val="tab"/>
      <w:lvlText w:val="%1.%2"/>
      <w:lvlJc w:val="left"/>
      <w:pPr>
        <w:ind w:hanging="576" w:left="576"/>
      </w:pPr>
      <w:rPr>
        <w:rFonts w:hint="default"/>
      </w:rPr>
    </w:lvl>
    <w:lvl w:ilvl="2">
      <w:start w:val="1"/>
      <w:numFmt w:val="decimal"/>
      <w:suff w:val="tab"/>
      <w:lvlText w:val="%1.%2.%3"/>
      <w:lvlJc w:val="left"/>
      <w:pPr>
        <w:ind w:hanging="720" w:left="720"/>
      </w:pPr>
      <w:rPr>
        <w:rFonts w:hint="default"/>
        <w:sz w:val="24"/>
        <w:szCs w:val="24"/>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18">
    <w:nsid w:val="6E1A2E51"/>
    <w:multiLevelType w:val="multilevel"/>
    <w:tmpl w:val="0409001D"/>
    <w:styleLink w:val="N1"/>
    <w:lvl w:ilvl="0">
      <w:start w:val="1"/>
      <w:numFmt w:val="decimal"/>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19">
    <w:nsid w:val="6E586D49"/>
    <w:multiLevelType w:val="multilevel"/>
    <w:lvl w:ilvl="0">
      <w:start w:val="1"/>
      <w:numFmt w:val="decimal"/>
      <w:pStyle w:val="P32"/>
      <w:suff w:val="tab"/>
      <w:lvlText w:val="%1"/>
      <w:lvlJc w:val="left"/>
      <w:pPr>
        <w:ind w:hanging="432" w:left="432"/>
      </w:pPr>
      <w:rPr/>
    </w:lvl>
    <w:lvl w:ilvl="1">
      <w:start w:val="1"/>
      <w:numFmt w:val="decimal"/>
      <w:pStyle w:val="P33"/>
      <w:suff w:val="tab"/>
      <w:lvlText w:val="%1.%2"/>
      <w:lvlJc w:val="left"/>
      <w:pPr>
        <w:ind w:hanging="576" w:left="576"/>
      </w:pPr>
      <w:rPr/>
    </w:lvl>
    <w:lvl w:ilvl="2">
      <w:start w:val="1"/>
      <w:numFmt w:val="decimal"/>
      <w:pStyle w:val="P34"/>
      <w:suff w:val="tab"/>
      <w:lvlText w:val="%1.%2.%3"/>
      <w:lvlJc w:val="left"/>
      <w:pPr>
        <w:ind w:hanging="720" w:left="720"/>
      </w:pPr>
      <w:rPr/>
    </w:lvl>
    <w:lvl w:ilvl="3">
      <w:start w:val="1"/>
      <w:numFmt w:val="decimal"/>
      <w:pStyle w:val="P35"/>
      <w:suff w:val="tab"/>
      <w:lvlText w:val="%1.%2.%3.%4"/>
      <w:lvlJc w:val="left"/>
      <w:pPr>
        <w:ind w:hanging="864" w:left="864"/>
      </w:pPr>
      <w:rPr/>
    </w:lvl>
    <w:lvl w:ilvl="4">
      <w:start w:val="1"/>
      <w:numFmt w:val="decimal"/>
      <w:pStyle w:val="P36"/>
      <w:suff w:val="tab"/>
      <w:lvlText w:val="%1.%2.%3.%4.%5"/>
      <w:lvlJc w:val="left"/>
      <w:pPr>
        <w:ind w:hanging="1008" w:left="1008"/>
      </w:pPr>
      <w:rPr/>
    </w:lvl>
    <w:lvl w:ilvl="5">
      <w:start w:val="1"/>
      <w:numFmt w:val="decimal"/>
      <w:pStyle w:val="P37"/>
      <w:suff w:val="tab"/>
      <w:lvlText w:val="%1.%2.%3.%4.%5.%6"/>
      <w:lvlJc w:val="left"/>
      <w:pPr>
        <w:ind w:hanging="1152" w:left="1152"/>
      </w:pPr>
      <w:rPr/>
    </w:lvl>
    <w:lvl w:ilvl="6">
      <w:start w:val="1"/>
      <w:numFmt w:val="decimal"/>
      <w:pStyle w:val="P38"/>
      <w:suff w:val="tab"/>
      <w:lvlText w:val="%1.%2.%3.%4.%5.%6.%7"/>
      <w:lvlJc w:val="left"/>
      <w:pPr>
        <w:ind w:hanging="1296" w:left="1296"/>
      </w:pPr>
      <w:rPr/>
    </w:lvl>
    <w:lvl w:ilvl="7">
      <w:start w:val="1"/>
      <w:numFmt w:val="decimal"/>
      <w:pStyle w:val="P39"/>
      <w:suff w:val="tab"/>
      <w:lvlText w:val="%1.%2.%3.%4.%5.%6.%7.%8"/>
      <w:lvlJc w:val="left"/>
      <w:pPr>
        <w:ind w:hanging="1440" w:left="1440"/>
      </w:pPr>
      <w:rPr/>
    </w:lvl>
    <w:lvl w:ilvl="8">
      <w:start w:val="1"/>
      <w:numFmt w:val="decimal"/>
      <w:pStyle w:val="P40"/>
      <w:suff w:val="tab"/>
      <w:lvlText w:val="%1.%2.%3.%4.%5.%6.%7.%8.%9"/>
      <w:lvlJc w:val="left"/>
      <w:pPr>
        <w:ind w:hanging="1584" w:left="1584"/>
      </w:pPr>
      <w:rPr/>
    </w:lvl>
  </w:abstractNum>
  <w:abstractNum w:abstractNumId="20">
    <w:nsid w:val="710947D9"/>
    <w:multiLevelType w:val="multilevel"/>
    <w:tmpl w:val="0409001D"/>
    <w:styleLink w:val="N2"/>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Arial" w:hAnsi="Arial" w:cs="Arial" w:hint="default"/>
        <w:sz w:val="22"/>
      </w:rPr>
    </w:lvl>
    <w:lvl w:ilvl="2">
      <w:start w:val="1"/>
      <w:numFmt w:val="lowerRoman"/>
      <w:suff w:val="tab"/>
      <w:lvlText w:val="-"/>
      <w:lvlJc w:val="left"/>
      <w:pPr>
        <w:ind w:hanging="340" w:left="1020"/>
        <w:tabs>
          <w:tab w:val="num" w:pos="1020" w:leader="none"/>
        </w:tabs>
      </w:pPr>
      <w:rPr>
        <w:rFonts w:ascii="Arial" w:hAnsi="Arial" w:cs="Arial" w:hint="default"/>
      </w:rPr>
    </w:lvl>
    <w:lvl w:ilvl="3">
      <w:start w:val="1"/>
      <w:numFmt w:val="bullet"/>
      <w:suff w:val="tab"/>
      <w:lvlText w:val="-"/>
      <w:lvlJc w:val="left"/>
      <w:pPr>
        <w:ind w:hanging="340" w:left="1360"/>
        <w:tabs>
          <w:tab w:val="num" w:pos="1360" w:leader="none"/>
        </w:tabs>
      </w:pPr>
      <w:rPr>
        <w:rFonts w:ascii="Arial" w:hAnsi="Arial" w:cs="Arial" w:hint="default"/>
      </w:rPr>
    </w:lvl>
    <w:lvl w:ilvl="4">
      <w:start w:val="1"/>
      <w:numFmt w:val="bullet"/>
      <w:lvlRestart w:val="3"/>
      <w:suff w:val="tab"/>
      <w:lvlText w:val="-"/>
      <w:lvlJc w:val="left"/>
      <w:pPr>
        <w:ind w:hanging="340" w:left="1700"/>
        <w:tabs>
          <w:tab w:val="num" w:pos="1700" w:leader="none"/>
        </w:tabs>
      </w:pPr>
      <w:rPr>
        <w:rFonts w:ascii="Arial" w:hAnsi="Arial" w:cs="Arial" w:hint="default"/>
      </w:rPr>
    </w:lvl>
    <w:lvl w:ilvl="5">
      <w:start w:val="1"/>
      <w:numFmt w:val="lowerRoman"/>
      <w:suff w:val="tab"/>
      <w:lvlText w:val="(%6)"/>
      <w:lvlJc w:val="left"/>
      <w:pPr>
        <w:ind w:hanging="340" w:left="2040"/>
        <w:tabs>
          <w:tab w:val="num" w:pos="2040" w:leader="none"/>
        </w:tabs>
      </w:pPr>
      <w:rPr>
        <w:rFonts w:hint="default"/>
      </w:rPr>
    </w:lvl>
    <w:lvl w:ilvl="6">
      <w:start w:val="1"/>
      <w:numFmt w:val="decimal"/>
      <w:suff w:val="tab"/>
      <w:lvlText w:val="%7."/>
      <w:lvlJc w:val="left"/>
      <w:pPr>
        <w:ind w:hanging="340" w:left="2380"/>
        <w:tabs>
          <w:tab w:val="num" w:pos="2380" w:leader="none"/>
        </w:tabs>
      </w:pPr>
      <w:rPr>
        <w:rFonts w:hint="default"/>
      </w:rPr>
    </w:lvl>
    <w:lvl w:ilvl="7">
      <w:start w:val="1"/>
      <w:numFmt w:val="lowerLetter"/>
      <w:suff w:val="tab"/>
      <w:lvlText w:val="%8."/>
      <w:lvlJc w:val="left"/>
      <w:pPr>
        <w:ind w:hanging="340" w:left="2720"/>
        <w:tabs>
          <w:tab w:val="num" w:pos="2720" w:leader="none"/>
        </w:tabs>
      </w:pPr>
      <w:rPr>
        <w:rFonts w:hint="default"/>
      </w:rPr>
    </w:lvl>
    <w:lvl w:ilvl="8">
      <w:start w:val="1"/>
      <w:numFmt w:val="lowerRoman"/>
      <w:suff w:val="tab"/>
      <w:lvlText w:val="%9."/>
      <w:lvlJc w:val="left"/>
      <w:pPr>
        <w:ind w:hanging="340" w:left="3060"/>
        <w:tabs>
          <w:tab w:val="num" w:pos="3060" w:leader="none"/>
        </w:tabs>
      </w:pPr>
      <w:rPr>
        <w:rFonts w:hint="default"/>
      </w:rPr>
    </w:lvl>
  </w:abstractNum>
  <w:num w:numId="1">
    <w:abstractNumId w:val="19"/>
  </w:num>
  <w:num w:numId="2">
    <w:abstractNumId w:val="11"/>
  </w:num>
  <w:num w:numId="3">
    <w:abstractNumId w:val="20"/>
  </w:num>
  <w:num w:numId="4">
    <w:abstractNumId w:val="18"/>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3"/>
  </w:num>
  <w:num w:numId="8">
    <w:abstractNumId w:val="10"/>
  </w:num>
  <w:num w:numId="9">
    <w:abstractNumId w:val="5"/>
  </w:num>
  <w:num w:numId="10">
    <w:abstractNumId w:val="16"/>
  </w:num>
  <w:num w:numId="11">
    <w:abstractNumId w:val="9"/>
  </w:num>
  <w:num w:numId="12">
    <w:abstractNumId w:val="8"/>
  </w:num>
  <w:num w:numId="13">
    <w:abstractNumId w:val="2"/>
  </w:num>
  <w:num w:numId="14">
    <w:abstractNumId w:val="1"/>
  </w:num>
  <w:num w:numId="15">
    <w:abstractNumId w:val="12"/>
  </w:num>
  <w:num w:numId="16">
    <w:abstractNumId w:val="6"/>
  </w:num>
  <w:num w:numId="17">
    <w:abstractNumId w:val="14"/>
  </w:num>
  <w:num w:numId="18">
    <w:abstractNumId w:val="7"/>
  </w:num>
  <w:num w:numId="1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4"/>
  </w:num>
  <w:num w:numId="22">
    <w:abstractNumId w:val="0"/>
  </w:num>
  <w:num w:numId="23">
    <w:abstractNumId w:val="3"/>
  </w:num>
  <w:num w:numId="24">
    <w:abstractNumId w:val="3"/>
  </w:num>
</w:numbering>
</file>

<file path=word/settings.xml><?xml version="1.0" encoding="utf-8"?>
<w:settings xmlns:w="http://schemas.openxmlformats.org/wordprocessingml/2006/main">
  <w:displayBackgroundShape w:val="0"/>
  <w:defaultTabStop w:val="720"/>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DocumentPathInserted" w:val="No"/>
    <w:docVar w:name="DVarLanguage" w:val="Sv"/>
    <w:docVar w:name="DVarLogotype" w:val="Yes"/>
    <w:docVar w:name="DVarNumbering" w:val="-1"/>
    <w:docVar w:name="DVarPageNumberInserted" w:val="No"/>
    <w:docVar w:name="DVarToc" w:val="Innehållsförteckning"/>
  </w:docVars>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imes New Roman" w:eastAsia="Times New Roman"/>
        <w:sz w:val="22"/>
        <w:szCs w:val="22"/>
        <w:lang w:val="en-US" w:bidi="ar-SA" w:eastAsia="en-US"/>
      </w:rPr>
    </w:rPrDefault>
    <w:pPrDefault>
      <w:pPr>
        <w:keepNext w:val="0"/>
        <w:keepLines w:val="0"/>
        <w:pageBreakBefore w:val="0"/>
        <w:widowControl w:val="1"/>
        <w:suppressLineNumbers w:val="0"/>
        <w:shd w:val="clear" w:fill="auto"/>
        <w:suppressAutoHyphens w:val="0"/>
        <w:spacing w:lineRule="atLeast" w:line="264" w:before="0" w:after="120" w:beforeAutospacing="0" w:afterAutospacing="0"/>
        <w:ind w:firstLine="0" w:left="0" w:right="0"/>
        <w:contextualSpacing w:val="0"/>
        <w:bidi w:val="0"/>
        <w:jc w:val="left"/>
        <w:outlineLvl w:val="9"/>
      </w:pPr>
    </w:pPrDefault>
  </w:docDefaults>
  <w:style w:type="paragraph" w:styleId="P0" w:default="1">
    <w:name w:val="Normal"/>
    <w:qFormat/>
    <w:pPr>
      <w:spacing w:after="240" w:beforeAutospacing="0" w:afterAutospacing="0"/>
    </w:pPr>
    <w:rPr>
      <w:sz w:val="24"/>
      <w:lang w:val="sv-SE"/>
    </w:rPr>
  </w:style>
  <w:style w:type="paragraph" w:styleId="P1">
    <w:name w:val="Heading 1"/>
    <w:basedOn w:val="P0"/>
    <w:next w:val="P0"/>
    <w:link w:val="C3"/>
    <w:qFormat/>
    <w:pPr>
      <w:keepNext w:val="1"/>
      <w:numPr>
        <w:numId w:val="7"/>
      </w:numPr>
      <w:spacing w:lineRule="atLeast" w:line="384" w:before="360" w:beforeAutospacing="0" w:afterAutospacing="0"/>
      <w:outlineLvl w:val="0"/>
    </w:pPr>
    <w:rPr>
      <w:rFonts w:asciiTheme="majorHAnsi" w:hAnsiTheme="majorHAnsi" w:eastAsiaTheme="majorEastAsia"/>
      <w:bCs w:val="1"/>
      <w:sz w:val="32"/>
      <w:szCs w:val="28"/>
    </w:rPr>
  </w:style>
  <w:style w:type="paragraph" w:styleId="P2">
    <w:name w:val="Heading 2"/>
    <w:basedOn w:val="P0"/>
    <w:next w:val="P0"/>
    <w:link w:val="C4"/>
    <w:qFormat/>
    <w:pPr>
      <w:keepNext w:val="1"/>
      <w:numPr>
        <w:ilvl w:val="1"/>
        <w:numId w:val="7"/>
      </w:numPr>
      <w:spacing w:lineRule="atLeast" w:line="336" w:before="360" w:beforeAutospacing="0" w:afterAutospacing="0"/>
      <w:outlineLvl w:val="1"/>
    </w:pPr>
    <w:rPr>
      <w:rFonts w:asciiTheme="majorHAnsi" w:hAnsiTheme="majorHAnsi" w:eastAsiaTheme="majorEastAsia"/>
      <w:bCs w:val="1"/>
      <w:sz w:val="28"/>
      <w:szCs w:val="26"/>
    </w:rPr>
  </w:style>
  <w:style w:type="paragraph" w:styleId="P3">
    <w:name w:val="Heading 3"/>
    <w:basedOn w:val="P0"/>
    <w:next w:val="P0"/>
    <w:link w:val="C5"/>
    <w:qFormat/>
    <w:pPr>
      <w:keepNext w:val="1"/>
      <w:numPr>
        <w:ilvl w:val="2"/>
        <w:numId w:val="7"/>
      </w:numPr>
      <w:spacing w:lineRule="atLeast" w:line="288" w:before="240" w:beforeAutospacing="0" w:afterAutospacing="0"/>
      <w:outlineLvl w:val="2"/>
    </w:pPr>
    <w:rPr>
      <w:rFonts w:asciiTheme="majorHAnsi" w:hAnsiTheme="majorHAnsi" w:eastAsiaTheme="majorEastAsia"/>
      <w:bCs w:val="1"/>
    </w:rPr>
  </w:style>
  <w:style w:type="paragraph" w:styleId="P4">
    <w:name w:val="Heading 4"/>
    <w:basedOn w:val="P0"/>
    <w:next w:val="P0"/>
    <w:link w:val="C6"/>
    <w:semiHidden/>
    <w:qFormat/>
    <w:pPr>
      <w:keepNext w:val="1"/>
      <w:numPr>
        <w:ilvl w:val="3"/>
        <w:numId w:val="7"/>
      </w:numPr>
      <w:spacing w:lineRule="atLeast" w:line="300" w:before="120" w:after="0" w:beforeAutospacing="0" w:afterAutospacing="0"/>
      <w:outlineLvl w:val="3"/>
    </w:pPr>
    <w:rPr>
      <w:bCs w:val="1"/>
      <w:iCs w:val="1"/>
    </w:rPr>
  </w:style>
  <w:style w:type="paragraph" w:styleId="P5">
    <w:name w:val="Heading 5"/>
    <w:basedOn w:val="P0"/>
    <w:next w:val="P0"/>
    <w:link w:val="C7"/>
    <w:semiHidden/>
    <w:qFormat/>
    <w:pPr>
      <w:keepNext w:val="1"/>
      <w:numPr>
        <w:ilvl w:val="4"/>
        <w:numId w:val="7"/>
      </w:numPr>
      <w:spacing w:lineRule="atLeast" w:line="300" w:before="120" w:after="0" w:beforeAutospacing="0" w:afterAutospacing="0"/>
      <w:outlineLvl w:val="4"/>
    </w:pPr>
    <w:rPr/>
  </w:style>
  <w:style w:type="paragraph" w:styleId="P6">
    <w:name w:val="Heading 6"/>
    <w:basedOn w:val="P0"/>
    <w:next w:val="P0"/>
    <w:link w:val="C8"/>
    <w:semiHidden/>
    <w:qFormat/>
    <w:pPr>
      <w:keepNext w:val="1"/>
      <w:numPr>
        <w:ilvl w:val="5"/>
        <w:numId w:val="7"/>
      </w:numPr>
      <w:spacing w:lineRule="atLeast" w:line="300" w:before="120" w:after="0" w:beforeAutospacing="0" w:afterAutospacing="0"/>
      <w:outlineLvl w:val="5"/>
    </w:pPr>
    <w:rPr>
      <w:iCs w:val="1"/>
    </w:rPr>
  </w:style>
  <w:style w:type="paragraph" w:styleId="P7">
    <w:name w:val="Heading 7"/>
    <w:basedOn w:val="P0"/>
    <w:next w:val="P0"/>
    <w:link w:val="C11"/>
    <w:semiHidden/>
    <w:qFormat/>
    <w:pPr>
      <w:keepNext w:val="1"/>
      <w:numPr>
        <w:ilvl w:val="6"/>
        <w:numId w:val="7"/>
      </w:numPr>
      <w:spacing w:lineRule="atLeast" w:line="300" w:before="120" w:after="0" w:beforeAutospacing="0" w:afterAutospacing="0"/>
      <w:outlineLvl w:val="6"/>
    </w:pPr>
    <w:rPr>
      <w:rFonts w:eastAsiaTheme="majorEastAsia"/>
      <w:iCs w:val="1"/>
    </w:rPr>
  </w:style>
  <w:style w:type="paragraph" w:styleId="P8">
    <w:name w:val="Heading 8"/>
    <w:basedOn w:val="P0"/>
    <w:next w:val="P0"/>
    <w:link w:val="C12"/>
    <w:semiHidden/>
    <w:qFormat/>
    <w:pPr>
      <w:keepNext w:val="1"/>
      <w:keepLines w:val="1"/>
      <w:numPr>
        <w:ilvl w:val="7"/>
        <w:numId w:val="7"/>
      </w:numPr>
      <w:spacing w:before="200" w:after="0" w:beforeAutospacing="0" w:afterAutospacing="0"/>
      <w:outlineLvl w:val="7"/>
    </w:pPr>
    <w:rPr>
      <w:rFonts w:asciiTheme="majorHAnsi" w:hAnsiTheme="majorHAnsi" w:cstheme="majorBidi" w:eastAsiaTheme="majorEastAsia"/>
      <w:color w:val="404040" w:themeColor="text1" w:themeTint="BF"/>
    </w:rPr>
  </w:style>
  <w:style w:type="paragraph" w:styleId="P9">
    <w:name w:val="Heading 9"/>
    <w:basedOn w:val="P0"/>
    <w:next w:val="P0"/>
    <w:link w:val="C19"/>
    <w:semiHidden/>
    <w:qFormat/>
    <w:pPr>
      <w:keepNext w:val="1"/>
      <w:keepLines w:val="1"/>
      <w:numPr>
        <w:ilvl w:val="8"/>
        <w:numId w:val="7"/>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Header"/>
    <w:basedOn w:val="P0"/>
    <w:link w:val="C9"/>
    <w:pPr>
      <w:tabs>
        <w:tab w:val="center" w:pos="4536" w:leader="none"/>
        <w:tab w:val="right" w:pos="9072" w:leader="none"/>
      </w:tabs>
      <w:spacing w:lineRule="atLeast" w:line="192" w:after="0" w:beforeAutospacing="0" w:afterAutospacing="0"/>
    </w:pPr>
    <w:rPr>
      <w:rFonts w:asciiTheme="majorHAnsi" w:hAnsiTheme="majorHAnsi"/>
      <w:sz w:val="16"/>
    </w:rPr>
  </w:style>
  <w:style w:type="paragraph" w:styleId="P11">
    <w:name w:val="Footer"/>
    <w:basedOn w:val="P0"/>
    <w:link w:val="C10"/>
    <w:pPr>
      <w:tabs>
        <w:tab w:val="center" w:pos="4536" w:leader="none"/>
        <w:tab w:val="right" w:pos="9072" w:leader="none"/>
      </w:tabs>
      <w:spacing w:lineRule="atLeast" w:line="192" w:after="0" w:beforeAutospacing="0" w:afterAutospacing="0"/>
    </w:pPr>
    <w:rPr>
      <w:rFonts w:asciiTheme="majorHAnsi" w:hAnsiTheme="majorHAnsi"/>
      <w:sz w:val="20"/>
      <w:szCs w:val="28"/>
    </w:rPr>
  </w:style>
  <w:style w:type="paragraph" w:styleId="P12">
    <w:name w:val="TOC 1"/>
    <w:basedOn w:val="P0"/>
    <w:next w:val="P0"/>
    <w:pPr>
      <w:tabs>
        <w:tab w:val="left" w:pos="680" w:leader="none"/>
        <w:tab w:val="right" w:pos="9071" w:leader="none"/>
      </w:tabs>
      <w:spacing w:lineRule="atLeast" w:line="280" w:after="0" w:beforeAutospacing="0" w:afterAutospacing="0"/>
    </w:pPr>
    <w:rPr>
      <w:rFonts w:asciiTheme="majorHAnsi" w:hAnsiTheme="majorHAnsi"/>
    </w:rPr>
  </w:style>
  <w:style w:type="paragraph" w:styleId="P13">
    <w:name w:val="TOC 2"/>
    <w:basedOn w:val="P0"/>
    <w:next w:val="P0"/>
    <w:pPr>
      <w:tabs>
        <w:tab w:val="left" w:pos="680" w:leader="none"/>
        <w:tab w:val="right" w:pos="9071" w:leader="none"/>
      </w:tabs>
      <w:spacing w:lineRule="atLeast" w:line="280" w:after="0" w:beforeAutospacing="0" w:afterAutospacing="0"/>
    </w:pPr>
    <w:rPr>
      <w:rFonts w:asciiTheme="majorHAnsi" w:hAnsiTheme="majorHAnsi"/>
    </w:rPr>
  </w:style>
  <w:style w:type="paragraph" w:styleId="P14">
    <w:name w:val="TOC 3"/>
    <w:basedOn w:val="P0"/>
    <w:next w:val="P0"/>
    <w:pPr>
      <w:tabs>
        <w:tab w:val="left" w:pos="680" w:leader="none"/>
        <w:tab w:val="right" w:pos="9071" w:leader="none"/>
      </w:tabs>
      <w:spacing w:lineRule="atLeast" w:line="280" w:after="0" w:beforeAutospacing="0" w:afterAutospacing="0"/>
    </w:pPr>
    <w:rPr>
      <w:rFonts w:asciiTheme="majorHAnsi" w:hAnsiTheme="majorHAnsi"/>
    </w:rPr>
  </w:style>
  <w:style w:type="paragraph" w:styleId="P15">
    <w:name w:val="TOC 4"/>
    <w:basedOn w:val="P0"/>
    <w:next w:val="P0"/>
    <w:pPr>
      <w:spacing w:after="0" w:beforeAutospacing="0" w:afterAutospacing="0"/>
      <w:ind w:left="660"/>
    </w:pPr>
    <w:rPr/>
  </w:style>
  <w:style w:type="paragraph" w:styleId="P16">
    <w:name w:val="List Paragraph"/>
    <w:basedOn w:val="P0"/>
    <w:qFormat/>
    <w:pPr>
      <w:ind w:left="720"/>
      <w:contextualSpacing w:val="1"/>
    </w:pPr>
    <w:rPr/>
  </w:style>
  <w:style w:type="paragraph" w:styleId="P17">
    <w:name w:val="Profile"/>
    <w:basedOn w:val="P0"/>
    <w:semiHidden/>
    <w:pPr>
      <w:spacing w:after="0" w:beforeAutospacing="0" w:afterAutospacing="0"/>
    </w:pPr>
    <w:rPr/>
  </w:style>
  <w:style w:type="paragraph" w:styleId="P18">
    <w:name w:val="Tillägg"/>
    <w:basedOn w:val="P11"/>
    <w:semiHidden/>
    <w:pPr/>
    <w:rPr/>
  </w:style>
  <w:style w:type="paragraph" w:styleId="P19">
    <w:name w:val="Normal utan avstånd"/>
    <w:basedOn w:val="P0"/>
    <w:semiHidden/>
    <w:pPr>
      <w:spacing w:after="0" w:beforeAutospacing="0" w:afterAutospacing="0"/>
    </w:pPr>
    <w:rPr/>
  </w:style>
  <w:style w:type="paragraph" w:styleId="P20">
    <w:name w:val="Sidhuvud förstasida"/>
    <w:basedOn w:val="P10"/>
    <w:semiHidden/>
    <w:pPr/>
    <w:rPr/>
  </w:style>
  <w:style w:type="paragraph" w:styleId="P21">
    <w:name w:val="Dold rad"/>
    <w:basedOn w:val="P20"/>
    <w:pPr>
      <w:spacing w:lineRule="auto" w:line="240" w:beforeAutospacing="0" w:afterAutospacing="0"/>
    </w:pPr>
    <w:rPr>
      <w:sz w:val="2"/>
    </w:rPr>
  </w:style>
  <w:style w:type="paragraph" w:styleId="P22">
    <w:name w:val="Dokumentinfo huvud"/>
    <w:basedOn w:val="P0"/>
    <w:semiHidden/>
    <w:pPr>
      <w:spacing w:lineRule="atLeast" w:line="190" w:beforeAutospacing="0" w:afterAutospacing="0"/>
      <w:ind w:left="-765"/>
    </w:pPr>
    <w:rPr>
      <w:rFonts w:ascii="Verdana" w:hAnsi="Verdana"/>
      <w:sz w:val="12"/>
    </w:rPr>
  </w:style>
  <w:style w:type="paragraph" w:styleId="P23">
    <w:name w:val="Balloon Text"/>
    <w:basedOn w:val="P0"/>
    <w:link w:val="C13"/>
    <w:semiHidden/>
    <w:pPr/>
    <w:rPr>
      <w:rFonts w:ascii="Tahoma" w:hAnsi="Tahoma" w:cs="Tahoma"/>
      <w:sz w:val="16"/>
      <w:szCs w:val="16"/>
    </w:rPr>
  </w:style>
  <w:style w:type="paragraph" w:styleId="P24">
    <w:name w:val="Default"/>
    <w:pPr/>
    <w:rPr>
      <w:rFonts w:cs="Arial"/>
      <w:color w:val="000000"/>
      <w:sz w:val="24"/>
      <w:szCs w:val="24"/>
      <w:lang w:val="sv-SE"/>
    </w:rPr>
  </w:style>
  <w:style w:type="paragraph" w:styleId="P25">
    <w:name w:val="Heading_1 No"/>
    <w:basedOn w:val="P0"/>
    <w:next w:val="P0"/>
    <w:link w:val="C14"/>
    <w:pPr>
      <w:keepNext w:val="1"/>
      <w:numPr>
        <w:numId w:val="2"/>
      </w:numPr>
      <w:spacing w:lineRule="atLeast" w:line="384" w:before="360" w:beforeAutospacing="0" w:afterAutospacing="0"/>
      <w:outlineLvl w:val="0"/>
    </w:pPr>
    <w:rPr>
      <w:rFonts w:asciiTheme="majorHAnsi" w:hAnsiTheme="majorHAnsi" w:cs="Arial"/>
      <w:sz w:val="32"/>
      <w:szCs w:val="36"/>
    </w:rPr>
  </w:style>
  <w:style w:type="paragraph" w:styleId="P26">
    <w:name w:val="Heading_2 No"/>
    <w:basedOn w:val="P0"/>
    <w:next w:val="P0"/>
    <w:link w:val="C15"/>
    <w:pPr>
      <w:keepNext w:val="1"/>
      <w:numPr>
        <w:ilvl w:val="1"/>
        <w:numId w:val="2"/>
      </w:numPr>
      <w:spacing w:lineRule="atLeast" w:line="336" w:before="360" w:after="100" w:beforeAutospacing="0" w:afterAutospacing="0"/>
      <w:outlineLvl w:val="1"/>
    </w:pPr>
    <w:rPr>
      <w:rFonts w:asciiTheme="majorHAnsi" w:hAnsiTheme="majorHAnsi" w:cs="Arial"/>
      <w:sz w:val="28"/>
      <w:szCs w:val="26"/>
    </w:rPr>
  </w:style>
  <w:style w:type="paragraph" w:styleId="P27">
    <w:name w:val="Heading_3 No"/>
    <w:basedOn w:val="P3"/>
    <w:next w:val="P0"/>
    <w:link w:val="C16"/>
    <w:pPr>
      <w:numPr>
        <w:numId w:val="2"/>
      </w:numPr>
    </w:pPr>
    <w:rPr/>
  </w:style>
  <w:style w:type="paragraph" w:styleId="P28">
    <w:name w:val="Heading_4 No"/>
    <w:basedOn w:val="P0"/>
    <w:next w:val="P0"/>
    <w:link w:val="C17"/>
    <w:semiHidden/>
    <w:pPr>
      <w:keepNext w:val="1"/>
      <w:numPr>
        <w:ilvl w:val="3"/>
        <w:numId w:val="2"/>
      </w:numPr>
      <w:spacing w:before="360" w:beforeAutospacing="0" w:afterAutospacing="0"/>
      <w:outlineLvl w:val="3"/>
    </w:pPr>
    <w:rPr>
      <w:b w:val="1"/>
    </w:rPr>
  </w:style>
  <w:style w:type="paragraph" w:styleId="P29">
    <w:name w:val="Heading_5 No"/>
    <w:basedOn w:val="P0"/>
    <w:next w:val="P0"/>
    <w:link w:val="C18"/>
    <w:semiHidden/>
    <w:pPr>
      <w:keepNext w:val="1"/>
      <w:numPr>
        <w:ilvl w:val="4"/>
        <w:numId w:val="2"/>
      </w:numPr>
      <w:spacing w:before="360" w:beforeAutospacing="0" w:afterAutospacing="0"/>
      <w:outlineLvl w:val="4"/>
    </w:pPr>
    <w:rPr>
      <w:i w:val="1"/>
      <w:lang w:val="en-GB"/>
    </w:rPr>
  </w:style>
  <w:style w:type="paragraph" w:styleId="P30">
    <w:name w:val="Etikett"/>
    <w:semiHidden/>
    <w:pPr>
      <w:spacing w:lineRule="atLeast" w:line="168" w:after="0" w:beforeAutospacing="0" w:afterAutospacing="0"/>
    </w:pPr>
    <w:rPr>
      <w:rFonts w:asciiTheme="majorHAnsi" w:hAnsiTheme="majorHAnsi"/>
      <w:sz w:val="14"/>
      <w:lang w:val="sv-SE"/>
    </w:rPr>
  </w:style>
  <w:style w:type="paragraph" w:styleId="P31">
    <w:name w:val="Logotyp"/>
    <w:semiHidden/>
    <w:pPr/>
    <w:rPr/>
  </w:style>
  <w:style w:type="paragraph" w:styleId="P32">
    <w:name w:val="Rubrik 11"/>
    <w:basedOn w:val="P0"/>
    <w:semiHidden/>
    <w:pPr>
      <w:numPr>
        <w:numId w:val="1"/>
      </w:numPr>
    </w:pPr>
    <w:rPr/>
  </w:style>
  <w:style w:type="paragraph" w:styleId="P33">
    <w:name w:val="Rubrik 21"/>
    <w:basedOn w:val="P0"/>
    <w:semiHidden/>
    <w:pPr>
      <w:numPr>
        <w:ilvl w:val="1"/>
        <w:numId w:val="1"/>
      </w:numPr>
    </w:pPr>
    <w:rPr/>
  </w:style>
  <w:style w:type="paragraph" w:styleId="P34">
    <w:name w:val="Rubrik 31"/>
    <w:basedOn w:val="P0"/>
    <w:semiHidden/>
    <w:pPr>
      <w:numPr>
        <w:ilvl w:val="2"/>
        <w:numId w:val="1"/>
      </w:numPr>
    </w:pPr>
    <w:rPr/>
  </w:style>
  <w:style w:type="paragraph" w:styleId="P35">
    <w:name w:val="Rubrik 41"/>
    <w:basedOn w:val="P0"/>
    <w:semiHidden/>
    <w:pPr>
      <w:numPr>
        <w:ilvl w:val="3"/>
        <w:numId w:val="1"/>
      </w:numPr>
    </w:pPr>
    <w:rPr/>
  </w:style>
  <w:style w:type="paragraph" w:styleId="P36">
    <w:name w:val="Rubrik 51"/>
    <w:basedOn w:val="P0"/>
    <w:semiHidden/>
    <w:pPr>
      <w:numPr>
        <w:ilvl w:val="4"/>
        <w:numId w:val="1"/>
      </w:numPr>
    </w:pPr>
    <w:rPr/>
  </w:style>
  <w:style w:type="paragraph" w:styleId="P37">
    <w:name w:val="Rubrik 61"/>
    <w:basedOn w:val="P0"/>
    <w:semiHidden/>
    <w:pPr>
      <w:numPr>
        <w:ilvl w:val="5"/>
        <w:numId w:val="1"/>
      </w:numPr>
    </w:pPr>
    <w:rPr/>
  </w:style>
  <w:style w:type="paragraph" w:styleId="P38">
    <w:name w:val="Rubrik 71"/>
    <w:basedOn w:val="P0"/>
    <w:semiHidden/>
    <w:pPr>
      <w:numPr>
        <w:ilvl w:val="6"/>
        <w:numId w:val="1"/>
      </w:numPr>
    </w:pPr>
    <w:rPr/>
  </w:style>
  <w:style w:type="paragraph" w:styleId="P39">
    <w:name w:val="Rubrik 81"/>
    <w:basedOn w:val="P0"/>
    <w:semiHidden/>
    <w:pPr>
      <w:numPr>
        <w:ilvl w:val="7"/>
        <w:numId w:val="1"/>
      </w:numPr>
    </w:pPr>
    <w:rPr/>
  </w:style>
  <w:style w:type="paragraph" w:styleId="P40">
    <w:name w:val="Rubrik 91"/>
    <w:basedOn w:val="P0"/>
    <w:semiHidden/>
    <w:pPr>
      <w:numPr>
        <w:ilvl w:val="8"/>
        <w:numId w:val="1"/>
      </w:numPr>
    </w:pPr>
    <w:rPr/>
  </w:style>
  <w:style w:type="paragraph" w:styleId="P41">
    <w:name w:val="TOC Heading"/>
    <w:basedOn w:val="P1"/>
    <w:next w:val="P0"/>
    <w:qFormat/>
    <w:pPr>
      <w:keepLines w:val="1"/>
      <w:spacing w:after="360" w:beforeAutospacing="0" w:afterAutospacing="0"/>
      <w:outlineLvl w:val="9"/>
    </w:pPr>
    <w:rPr>
      <w:rFonts w:cstheme="majorBidi"/>
      <w:sz w:val="36"/>
      <w:szCs w:val="32"/>
      <w:lang w:val="en-GB" w:eastAsia="ja-JP"/>
    </w:rPr>
  </w:style>
  <w:style w:type="paragraph" w:styleId="P42">
    <w:name w:val="Label"/>
    <w:basedOn w:val="P10"/>
    <w:semiHidden/>
    <w:pPr/>
    <w:rPr>
      <w:color w:val="000000" w:themeColor="text1"/>
    </w:rPr>
  </w:style>
  <w:style w:type="paragraph" w:styleId="P43">
    <w:name w:val="Dokumenthuvud"/>
    <w:basedOn w:val="P0"/>
    <w:semiHidden/>
    <w:pPr>
      <w:tabs>
        <w:tab w:val="left" w:pos="4253" w:leader="none"/>
      </w:tabs>
      <w:spacing w:lineRule="atLeast" w:line="216" w:after="0" w:beforeAutospacing="0" w:afterAutospacing="0"/>
    </w:pPr>
    <w:rPr>
      <w:rFonts w:asciiTheme="majorHAnsi" w:hAnsiTheme="majorHAnsi"/>
      <w:sz w:val="18"/>
    </w:rPr>
  </w:style>
  <w:style w:type="paragraph" w:styleId="P44">
    <w:name w:val="Datering"/>
    <w:basedOn w:val="P0"/>
    <w:next w:val="P0"/>
    <w:semiHidden/>
    <w:pPr>
      <w:spacing w:lineRule="atLeast" w:line="192" w:after="1080" w:beforeAutospacing="0" w:afterAutospacing="0"/>
    </w:pPr>
    <w:rPr>
      <w:rFonts w:asciiTheme="majorHAnsi" w:hAnsiTheme="majorHAnsi"/>
      <w:sz w:val="16"/>
    </w:rPr>
  </w:style>
  <w:style w:type="paragraph" w:styleId="P45">
    <w:name w:val="Dokumenttyp"/>
    <w:basedOn w:val="P43"/>
    <w:next w:val="P43"/>
    <w:semiHidden/>
    <w:pPr>
      <w:spacing w:lineRule="atLeast" w:line="260" w:beforeAutospacing="0" w:afterAutospacing="0"/>
    </w:pPr>
    <w:rPr>
      <w:b w:val="1"/>
      <w:sz w:val="20"/>
    </w:rPr>
  </w:style>
  <w:style w:type="paragraph" w:styleId="P46">
    <w:name w:val="Hjälptext"/>
    <w:basedOn w:val="P0"/>
    <w:semiHidden/>
    <w:pPr/>
    <w:rPr>
      <w:color w:val="F8CB00" w:themeColor="accent4"/>
    </w:rPr>
  </w:style>
  <w:style w:type="paragraph" w:styleId="P47">
    <w:name w:val="TOC 5"/>
    <w:basedOn w:val="P0"/>
    <w:next w:val="P0"/>
    <w:pPr>
      <w:spacing w:after="100" w:beforeAutospacing="0" w:afterAutospacing="0"/>
      <w:ind w:left="800"/>
    </w:pPr>
    <w:rPr/>
  </w:style>
  <w:style w:type="paragraph" w:styleId="P48">
    <w:name w:val="Framsida - Huvudrubrik"/>
    <w:basedOn w:val="P42"/>
    <w:next w:val="P49"/>
    <w:qFormat/>
    <w:pPr>
      <w:spacing w:after="120" w:beforeAutospacing="0" w:afterAutospacing="0"/>
    </w:pPr>
    <w:rPr>
      <w:sz w:val="48"/>
      <w:szCs w:val="72"/>
    </w:rPr>
  </w:style>
  <w:style w:type="paragraph" w:styleId="P49">
    <w:name w:val="Framsida - Underrubrik"/>
    <w:basedOn w:val="P42"/>
    <w:next w:val="P0"/>
    <w:qFormat/>
    <w:pPr/>
    <w:rPr>
      <w:sz w:val="28"/>
      <w:szCs w:val="40"/>
    </w:rPr>
  </w:style>
  <w:style w:type="paragraph" w:styleId="P50">
    <w:name w:val="Caption"/>
    <w:basedOn w:val="P0"/>
    <w:next w:val="P0"/>
    <w:qFormat/>
    <w:pPr>
      <w:spacing w:lineRule="auto" w:line="240" w:after="200" w:beforeAutospacing="0" w:afterAutospacing="0"/>
      <w:ind w:left="782"/>
    </w:pPr>
    <w:rPr>
      <w:rFonts w:ascii="Times New Roman" w:hAnsi="Times New Roman"/>
      <w:b w:val="1"/>
      <w:bCs w:val="1"/>
      <w:color w:val="75B325" w:themeColor="accent1"/>
      <w:sz w:val="18"/>
      <w:szCs w:val="18"/>
      <w:lang w:eastAsia="sv-SE"/>
    </w:rPr>
  </w:style>
  <w:style w:type="paragraph" w:styleId="P51">
    <w:name w:val="Body Text"/>
    <w:basedOn w:val="P0"/>
    <w:link w:val="C21"/>
    <w:pPr>
      <w:spacing w:lineRule="auto" w:line="240" w:beforeAutospacing="0" w:afterAutospacing="0"/>
    </w:pPr>
    <w:rPr>
      <w:rFonts w:ascii="Times New Roman" w:hAnsi="Times New Roman"/>
      <w:szCs w:val="20"/>
      <w:lang w:eastAsia="sv-SE"/>
    </w:rPr>
  </w:style>
  <w:style w:type="paragraph" w:styleId="P52">
    <w:name w:val="annotation text"/>
    <w:basedOn w:val="P0"/>
    <w:link w:val="C24"/>
    <w:pPr>
      <w:spacing w:lineRule="auto" w:line="240" w:beforeAutospacing="0" w:afterAutospacing="0"/>
    </w:pPr>
    <w:rPr>
      <w:sz w:val="20"/>
      <w:szCs w:val="20"/>
    </w:rPr>
  </w:style>
  <w:style w:type="paragraph" w:styleId="P53">
    <w:name w:val="annotation subject"/>
    <w:basedOn w:val="P52"/>
    <w:next w:val="P52"/>
    <w:link w:val="C25"/>
    <w:semiHidden/>
    <w:pPr/>
    <w:rPr>
      <w:b w:val="1"/>
      <w:bCs w:val="1"/>
    </w:rPr>
  </w:style>
  <w:style w:type="paragraph" w:styleId="P54">
    <w:name w:val="paragraph"/>
    <w:basedOn w:val="P0"/>
    <w:pPr>
      <w:spacing w:lineRule="auto" w:line="240" w:before="100" w:after="100" w:beforeAutospacing="1" w:afterAutospacing="1"/>
    </w:pPr>
    <w:rPr>
      <w:rFonts w:ascii="Times New Roman" w:hAnsi="Times New Roman"/>
      <w:szCs w:val="24"/>
      <w:lang w:eastAsia="sv-SE"/>
    </w:rPr>
  </w:style>
  <w:style w:type="paragraph" w:styleId="P55">
    <w:name w:val="TOC 6"/>
    <w:basedOn w:val="P0"/>
    <w:next w:val="P0"/>
    <w:pPr>
      <w:spacing w:lineRule="auto" w:line="259" w:after="100" w:beforeAutospacing="0" w:afterAutospacing="0"/>
      <w:ind w:left="1100"/>
    </w:pPr>
    <w:rPr>
      <w:rFonts w:cstheme="minorBidi" w:eastAsiaTheme="minorEastAsia"/>
      <w:sz w:val="22"/>
      <w:lang w:eastAsia="sv-SE"/>
    </w:rPr>
  </w:style>
  <w:style w:type="paragraph" w:styleId="P56">
    <w:name w:val="TOC 7"/>
    <w:basedOn w:val="P0"/>
    <w:next w:val="P0"/>
    <w:pPr>
      <w:spacing w:lineRule="auto" w:line="259" w:after="100" w:beforeAutospacing="0" w:afterAutospacing="0"/>
      <w:ind w:left="1320"/>
    </w:pPr>
    <w:rPr>
      <w:rFonts w:cstheme="minorBidi" w:eastAsiaTheme="minorEastAsia"/>
      <w:sz w:val="22"/>
      <w:lang w:eastAsia="sv-SE"/>
    </w:rPr>
  </w:style>
  <w:style w:type="paragraph" w:styleId="P57">
    <w:name w:val="TOC 8"/>
    <w:basedOn w:val="P0"/>
    <w:next w:val="P0"/>
    <w:pPr>
      <w:spacing w:lineRule="auto" w:line="259" w:after="100" w:beforeAutospacing="0" w:afterAutospacing="0"/>
      <w:ind w:left="1540"/>
    </w:pPr>
    <w:rPr>
      <w:rFonts w:cstheme="minorBidi" w:eastAsiaTheme="minorEastAsia"/>
      <w:sz w:val="22"/>
      <w:lang w:eastAsia="sv-SE"/>
    </w:rPr>
  </w:style>
  <w:style w:type="paragraph" w:styleId="P58">
    <w:name w:val="TOC 9"/>
    <w:basedOn w:val="P0"/>
    <w:next w:val="P0"/>
    <w:pPr>
      <w:spacing w:lineRule="auto" w:line="259" w:after="100" w:beforeAutospacing="0" w:afterAutospacing="0"/>
      <w:ind w:left="1760"/>
    </w:pPr>
    <w:rPr>
      <w:rFonts w:cstheme="minorBidi" w:eastAsiaTheme="minorEastAsia"/>
      <w:sz w:val="22"/>
      <w:lang w:eastAsia="sv-SE"/>
    </w:rPr>
  </w:style>
  <w:style w:type="paragraph" w:styleId="P59">
    <w:name w:val="Footnote Text"/>
    <w:basedOn w:val="P0"/>
    <w:link w:val="C29"/>
    <w:semiHidden/>
    <w:pPr>
      <w:spacing w:lineRule="auto" w:line="240" w:after="0" w:beforeAutospacing="0" w:afterAutospacing="0"/>
    </w:pPr>
    <w:rPr>
      <w:sz w:val="20"/>
      <w:szCs w:val="20"/>
    </w:rPr>
  </w:style>
  <w:style w:type="paragraph" w:styleId="P60">
    <w:name w:val="Revision"/>
    <w:hidden/>
    <w:semiHidden/>
    <w:pPr>
      <w:spacing w:lineRule="auto" w:line="240" w:after="0" w:beforeAutospacing="0" w:afterAutospacing="0"/>
    </w:pPr>
    <w:rPr>
      <w:sz w:val="24"/>
      <w:lang w:val="sv-SE"/>
    </w:rPr>
  </w:style>
  <w:style w:type="paragraph" w:styleId="P61">
    <w:name w:val="List Bullet"/>
    <w:basedOn w:val="P0"/>
    <w:semiHidden/>
    <w:pPr>
      <w:numPr>
        <w:numId w:val="13"/>
      </w:numPr>
      <w:contextualSpacing w:val="1"/>
    </w:pPr>
    <w:rPr/>
  </w:style>
  <w:style w:type="paragraph" w:styleId="P62">
    <w:name w:val="List Number"/>
    <w:basedOn w:val="P0"/>
    <w:pPr>
      <w:numPr>
        <w:numId w:val="14"/>
      </w:numPr>
      <w:contextualSpacing w:val="1"/>
    </w:pPr>
    <w:rPr/>
  </w:style>
  <w:style w:type="paragraph" w:styleId="P63">
    <w:name w:val="Normal (Web)"/>
    <w:basedOn w:val="P0"/>
    <w:pPr>
      <w:spacing w:lineRule="auto" w:line="240" w:before="100" w:after="100" w:beforeAutospacing="1" w:afterAutospacing="1"/>
    </w:pPr>
    <w:rPr>
      <w:rFonts w:ascii="Times New Roman" w:hAnsi="Times New Roman"/>
      <w:szCs w:val="24"/>
      <w:lang w:eastAsia="sv-SE"/>
    </w:rPr>
  </w:style>
  <w:style w:type="paragraph" w:styleId="P64">
    <w:name w:val="Endnote Text"/>
    <w:link w:val="C33"/>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00" w:themeColor="hyperlink"/>
      <w:u w:val="single"/>
    </w:rPr>
  </w:style>
  <w:style w:type="character" w:styleId="C3">
    <w:name w:val="Rubrik 1 Char"/>
    <w:link w:val="P1"/>
    <w:rPr>
      <w:rFonts w:asciiTheme="majorHAnsi" w:hAnsiTheme="majorHAnsi" w:eastAsiaTheme="majorEastAsia"/>
      <w:bCs w:val="1"/>
      <w:sz w:val="32"/>
      <w:szCs w:val="28"/>
      <w:lang w:val="sv-SE"/>
    </w:rPr>
  </w:style>
  <w:style w:type="character" w:styleId="C4">
    <w:name w:val="Rubrik 2 Char"/>
    <w:link w:val="P2"/>
    <w:rPr>
      <w:rFonts w:asciiTheme="majorHAnsi" w:hAnsiTheme="majorHAnsi" w:eastAsiaTheme="majorEastAsia"/>
      <w:bCs w:val="1"/>
      <w:sz w:val="28"/>
      <w:szCs w:val="26"/>
      <w:lang w:val="sv-SE"/>
    </w:rPr>
  </w:style>
  <w:style w:type="character" w:styleId="C5">
    <w:name w:val="Rubrik 3 Char"/>
    <w:link w:val="P3"/>
    <w:rPr>
      <w:rFonts w:asciiTheme="majorHAnsi" w:hAnsiTheme="majorHAnsi" w:eastAsiaTheme="majorEastAsia"/>
      <w:bCs w:val="1"/>
      <w:sz w:val="24"/>
      <w:lang w:val="sv-SE"/>
    </w:rPr>
  </w:style>
  <w:style w:type="character" w:styleId="C6">
    <w:name w:val="Rubrik 4 Char"/>
    <w:link w:val="P4"/>
    <w:semiHidden/>
    <w:rPr>
      <w:bCs w:val="1"/>
      <w:iCs w:val="1"/>
      <w:sz w:val="24"/>
      <w:lang w:val="sv-SE"/>
    </w:rPr>
  </w:style>
  <w:style w:type="character" w:styleId="C7">
    <w:name w:val="Rubrik 5 Char"/>
    <w:link w:val="P5"/>
    <w:semiHidden/>
    <w:rPr>
      <w:sz w:val="24"/>
      <w:lang w:val="sv-SE"/>
    </w:rPr>
  </w:style>
  <w:style w:type="character" w:styleId="C8">
    <w:name w:val="Rubrik 6 Char"/>
    <w:link w:val="P6"/>
    <w:semiHidden/>
    <w:rPr>
      <w:iCs w:val="1"/>
      <w:sz w:val="24"/>
      <w:lang w:val="sv-SE"/>
    </w:rPr>
  </w:style>
  <w:style w:type="character" w:styleId="C9">
    <w:name w:val="Sidhuvud Char"/>
    <w:link w:val="P10"/>
    <w:rPr>
      <w:rFonts w:asciiTheme="majorHAnsi" w:hAnsiTheme="majorHAnsi"/>
      <w:sz w:val="16"/>
      <w:lang w:val="sv-SE"/>
    </w:rPr>
  </w:style>
  <w:style w:type="character" w:styleId="C10">
    <w:name w:val="Sidfot Char"/>
    <w:link w:val="P11"/>
    <w:rPr>
      <w:rFonts w:asciiTheme="majorHAnsi" w:hAnsiTheme="majorHAnsi"/>
      <w:sz w:val="20"/>
      <w:szCs w:val="28"/>
      <w:lang w:val="sv-SE"/>
    </w:rPr>
  </w:style>
  <w:style w:type="character" w:styleId="C11">
    <w:name w:val="Rubrik 7 Char"/>
    <w:basedOn w:val="C0"/>
    <w:link w:val="P7"/>
    <w:semiHidden/>
    <w:rPr>
      <w:rFonts w:eastAsiaTheme="majorEastAsia"/>
      <w:iCs w:val="1"/>
      <w:sz w:val="24"/>
      <w:lang w:val="sv-SE"/>
    </w:rPr>
  </w:style>
  <w:style w:type="character" w:styleId="C12">
    <w:name w:val="Rubrik 8 Char"/>
    <w:basedOn w:val="C0"/>
    <w:link w:val="P8"/>
    <w:semiHidden/>
    <w:rPr>
      <w:rFonts w:asciiTheme="majorHAnsi" w:hAnsiTheme="majorHAnsi" w:cstheme="majorBidi" w:eastAsiaTheme="majorEastAsia"/>
      <w:color w:val="404040" w:themeColor="text1" w:themeTint="BF"/>
      <w:sz w:val="24"/>
      <w:lang w:val="sv-SE"/>
    </w:rPr>
  </w:style>
  <w:style w:type="character" w:styleId="C13">
    <w:name w:val="Ballongtext Char"/>
    <w:basedOn w:val="C0"/>
    <w:link w:val="P23"/>
    <w:semiHidden/>
    <w:rPr>
      <w:rFonts w:ascii="Tahoma" w:hAnsi="Tahoma" w:cs="Tahoma"/>
      <w:sz w:val="16"/>
      <w:szCs w:val="16"/>
    </w:rPr>
  </w:style>
  <w:style w:type="character" w:styleId="C14">
    <w:name w:val="Heading_1 No Char"/>
    <w:basedOn w:val="C0"/>
    <w:link w:val="P25"/>
    <w:rPr>
      <w:rFonts w:asciiTheme="majorHAnsi" w:hAnsiTheme="majorHAnsi" w:cs="Arial"/>
      <w:sz w:val="32"/>
      <w:szCs w:val="36"/>
      <w:lang w:val="sv-SE"/>
    </w:rPr>
  </w:style>
  <w:style w:type="character" w:styleId="C15">
    <w:name w:val="Heading_2 No Char"/>
    <w:basedOn w:val="C0"/>
    <w:link w:val="P26"/>
    <w:rPr>
      <w:rFonts w:asciiTheme="majorHAnsi" w:hAnsiTheme="majorHAnsi" w:cs="Arial"/>
      <w:sz w:val="28"/>
      <w:szCs w:val="26"/>
      <w:lang w:val="sv-SE"/>
    </w:rPr>
  </w:style>
  <w:style w:type="character" w:styleId="C16">
    <w:name w:val="Heading_3 No Char"/>
    <w:basedOn w:val="C0"/>
    <w:link w:val="P27"/>
    <w:rPr>
      <w:rFonts w:asciiTheme="majorHAnsi" w:hAnsiTheme="majorHAnsi" w:eastAsiaTheme="majorEastAsia"/>
      <w:bCs w:val="1"/>
      <w:sz w:val="24"/>
      <w:lang w:val="sv-SE"/>
    </w:rPr>
  </w:style>
  <w:style w:type="character" w:styleId="C17">
    <w:name w:val="Heading_4 No Char"/>
    <w:basedOn w:val="C0"/>
    <w:link w:val="P28"/>
    <w:semiHidden/>
    <w:rPr>
      <w:b w:val="1"/>
      <w:sz w:val="24"/>
      <w:lang w:val="sv-SE"/>
    </w:rPr>
  </w:style>
  <w:style w:type="character" w:styleId="C18">
    <w:name w:val="Heading_5 No Char"/>
    <w:basedOn w:val="C0"/>
    <w:link w:val="P29"/>
    <w:semiHidden/>
    <w:rPr>
      <w:i w:val="1"/>
      <w:sz w:val="24"/>
      <w:lang w:val="en-GB"/>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lang w:val="sv-SE"/>
    </w:rPr>
  </w:style>
  <w:style w:type="character" w:styleId="C20">
    <w:name w:val="A1"/>
    <w:rPr>
      <w:color w:val="000000"/>
      <w:sz w:val="22"/>
      <w:szCs w:val="22"/>
    </w:rPr>
  </w:style>
  <w:style w:type="character" w:styleId="C21">
    <w:name w:val="Brödtext Char"/>
    <w:basedOn w:val="C0"/>
    <w:link w:val="P51"/>
    <w:rPr>
      <w:rFonts w:ascii="Times New Roman" w:hAnsi="Times New Roman"/>
      <w:sz w:val="24"/>
      <w:szCs w:val="20"/>
      <w:lang w:val="sv-SE" w:eastAsia="sv-SE"/>
    </w:rPr>
  </w:style>
  <w:style w:type="character" w:styleId="C22">
    <w:name w:val="A6"/>
    <w:rPr>
      <w:rFonts w:cs="Adobe Caslon Pro"/>
      <w:color w:val="000000"/>
      <w:sz w:val="22"/>
      <w:szCs w:val="22"/>
    </w:rPr>
  </w:style>
  <w:style w:type="character" w:styleId="C23">
    <w:name w:val="annotation reference"/>
    <w:basedOn w:val="C0"/>
    <w:semiHidden/>
    <w:rPr>
      <w:sz w:val="16"/>
      <w:szCs w:val="16"/>
    </w:rPr>
  </w:style>
  <w:style w:type="character" w:styleId="C24">
    <w:name w:val="Kommentarer Char"/>
    <w:basedOn w:val="C0"/>
    <w:link w:val="P52"/>
    <w:rPr>
      <w:sz w:val="20"/>
      <w:szCs w:val="20"/>
      <w:lang w:val="sv-SE"/>
    </w:rPr>
  </w:style>
  <w:style w:type="character" w:styleId="C25">
    <w:name w:val="Kommentarsämne Char"/>
    <w:basedOn w:val="C24"/>
    <w:link w:val="P53"/>
    <w:semiHidden/>
    <w:rPr>
      <w:b w:val="1"/>
      <w:bCs w:val="1"/>
      <w:sz w:val="20"/>
      <w:szCs w:val="20"/>
      <w:lang w:val="sv-SE"/>
    </w:rPr>
  </w:style>
  <w:style w:type="character" w:styleId="C26">
    <w:name w:val="normaltextrun"/>
    <w:basedOn w:val="C0"/>
    <w:rPr/>
  </w:style>
  <w:style w:type="character" w:styleId="C27">
    <w:name w:val="eop"/>
    <w:basedOn w:val="C0"/>
    <w:rPr/>
  </w:style>
  <w:style w:type="character" w:styleId="C28">
    <w:name w:val="Unresolved Mention1"/>
    <w:basedOn w:val="C0"/>
    <w:semiHidden/>
    <w:rPr>
      <w:color w:val="605E5C"/>
      <w:shd w:val="clear" w:color="auto" w:fill="E1DFDD"/>
    </w:rPr>
  </w:style>
  <w:style w:type="character" w:styleId="C29">
    <w:name w:val="Fotnotstext Char"/>
    <w:basedOn w:val="C0"/>
    <w:link w:val="P59"/>
    <w:semiHidden/>
    <w:rPr>
      <w:sz w:val="20"/>
      <w:szCs w:val="20"/>
      <w:lang w:val="sv-SE"/>
    </w:rPr>
  </w:style>
  <w:style w:type="character" w:styleId="C30">
    <w:name w:val="Footnote Reference"/>
    <w:basedOn w:val="C0"/>
    <w:semiHidden/>
    <w:rPr>
      <w:vertAlign w:val="superscript"/>
    </w:rPr>
  </w:style>
  <w:style w:type="character" w:styleId="C31">
    <w:name w:val="Footnote Text Char"/>
    <w:semiHidden/>
    <w:rPr>
      <w:sz w:val="20"/>
      <w:szCs w:val="20"/>
    </w:rPr>
  </w:style>
  <w:style w:type="character" w:styleId="C32">
    <w:name w:val="Endnote Reference"/>
    <w:semiHidden/>
    <w:rPr>
      <w:vertAlign w:val="superscript"/>
    </w:rPr>
  </w:style>
  <w:style w:type="character" w:styleId="C33">
    <w:name w:val="Endnote Text Char"/>
    <w:link w:val="P64"/>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000000" w:themeColor="text1"/>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000000" w:themeColor="text1"/>
        <w:insideV w:val="single" w:sz="4" w:space="0" w:shadow="0" w:frame="0" w:color="000000" w:themeColor="text1"/>
      </w:tblBorders>
    </w:tblPr>
    <w:trPr/>
    <w:tcPr/>
  </w:style>
  <w:style w:type="table" w:styleId="T3">
    <w:name w:val="Boden 1"/>
    <w:basedOn w:val="T0"/>
    <w:pPr>
      <w:spacing w:before="40" w:after="40" w:beforeAutospacing="0" w:afterAutospacing="0"/>
    </w:pPr>
    <w:rPr>
      <w:rFonts w:asciiTheme="majorHAnsi" w:hAnsiTheme="majorHAnsi"/>
      <w:sz w:val="18"/>
    </w:rPr>
    <w:tblPr>
      <w:tblStyleRowBandSize w:val="1"/>
      <w:tblBorders>
        <w:top w:val="single" w:sz="4" w:space="0" w:shadow="0" w:frame="0" w:color="75B325" w:themeColor="accent1"/>
        <w:left w:val="single" w:sz="4" w:space="0" w:shadow="0" w:frame="0" w:color="75B325" w:themeColor="accent1"/>
        <w:bottom w:val="single" w:sz="4"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blBorders>
    </w:tblPr>
    <w:trPr/>
    <w:tcPr/>
    <w:tblStylePr w:type="band1Horz">
      <w:tblPr/>
      <w:trPr/>
      <w:tcPr>
        <w:shd w:val="clear" w:color="auto" w:fill="E6F6D1" w:themeFill="accent1" w:themeFillTint="30"/>
      </w:tcPr>
    </w:tblStylePr>
    <w:tblStylePr w:type="firstRow">
      <w:pPr>
        <w:spacing w:beforeAutospacing="0" w:afterAutospacing="0"/>
      </w:pPr>
      <w:rPr>
        <w:b w:val="1"/>
        <w:caps w:val="1"/>
        <w:smallCaps w:val="0"/>
      </w:rPr>
      <w:tblPr/>
      <w:trPr/>
      <w:tcPr>
        <w:shd w:val="clear" w:color="auto" w:fill="75B325" w:themeFill="accent1"/>
      </w:tcPr>
    </w:tblStylePr>
  </w:style>
  <w:style w:type="table" w:styleId="T4">
    <w:name w:val="Boden 2"/>
    <w:basedOn w:val="T0"/>
    <w:pPr>
      <w:spacing w:before="40" w:after="40" w:beforeAutospacing="0" w:afterAutospacing="0"/>
    </w:pPr>
    <w:rPr>
      <w:rFonts w:asciiTheme="majorHAnsi" w:hAnsiTheme="majorHAnsi"/>
      <w:sz w:val="18"/>
    </w:rPr>
    <w:tblPr>
      <w:tblStyleRowBandSize w:val="1"/>
      <w:tblBorders>
        <w:top w:val="single" w:sz="4" w:space="0" w:shadow="0" w:frame="0" w:color="75B325" w:themeColor="accent1"/>
        <w:left w:val="single" w:sz="4" w:space="0" w:shadow="0" w:frame="0" w:color="75B325" w:themeColor="accent1"/>
        <w:bottom w:val="single" w:sz="4"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blBorders>
    </w:tblPr>
    <w:trPr/>
    <w:tcPr/>
    <w:tblStylePr w:type="band1Horz">
      <w:tblPr/>
      <w:trPr/>
      <w:tcPr>
        <w:shd w:val="clear" w:color="auto" w:fill="E6F6D1" w:themeFill="accent1" w:themeFillTint="30"/>
      </w:tcPr>
    </w:tblStylePr>
    <w:tblStylePr w:type="firstRow">
      <w:pPr>
        <w:spacing w:beforeAutospacing="0" w:afterAutospacing="0"/>
      </w:pPr>
      <w:rPr>
        <w:b w:val="1"/>
        <w:caps w:val="1"/>
        <w:smallCaps w:val="0"/>
        <w:color w:val="75B325" w:themeColor="accent1"/>
      </w:rPr>
      <w:tblPr/>
      <w:trPr/>
      <w:tcPr>
        <w:tcBorders>
          <w:top w:val="nil"/>
          <w:left w:val="nil"/>
          <w:bottom w:val="single" w:sz="12" w:space="0" w:shadow="0" w:frame="0" w:color="75B325" w:themeColor="accent1"/>
          <w:right w:val="nil"/>
          <w:insideH w:val="nil"/>
          <w:insideV w:val="nil"/>
          <w:tl2br w:val="nil"/>
          <w:tr2bl w:val="nil"/>
        </w:tcBorders>
      </w:tcPr>
    </w:tblStylePr>
  </w:style>
  <w:style w:type="table" w:styleId="T5">
    <w:name w:val="Boden 3"/>
    <w:basedOn w:val="T0"/>
    <w:pPr>
      <w:spacing w:before="40" w:after="40" w:beforeAutospacing="0" w:afterAutospacing="0"/>
    </w:pPr>
    <w:rPr>
      <w:rFonts w:asciiTheme="majorHAnsi" w:hAnsiTheme="majorHAnsi"/>
      <w:sz w:val="18"/>
    </w:rPr>
    <w:tblPr>
      <w:tblStyleRowBandSize w:val="1"/>
      <w:tblBorders>
        <w:top w:val="single" w:sz="4" w:space="0" w:shadow="0" w:frame="0" w:color="75B325" w:themeColor="accent1"/>
        <w:left w:val="single" w:sz="4" w:space="0" w:shadow="0" w:frame="0" w:color="75B325" w:themeColor="accent1"/>
        <w:bottom w:val="single" w:sz="4"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blBorders>
    </w:tblPr>
    <w:trPr/>
    <w:tcPr/>
    <w:tblStylePr w:type="firstRow">
      <w:pPr>
        <w:spacing w:beforeAutospacing="0" w:afterAutospacing="0"/>
      </w:pPr>
      <w:rPr>
        <w:b w:val="1"/>
        <w:caps w:val="1"/>
        <w:smallCaps w:val="0"/>
        <w:color w:val="auto"/>
      </w:rPr>
      <w:tblPr/>
      <w:trPr/>
      <w:tcPr>
        <w:tcBorders>
          <w:top w:val="single" w:sz="4" w:space="0" w:shadow="0" w:frame="0" w:color="75B325" w:themeColor="accent1"/>
          <w:left w:val="single" w:sz="4" w:space="0" w:shadow="0" w:frame="0" w:color="75B325" w:themeColor="accent1"/>
          <w:bottom w:val="single" w:sz="12"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l2br w:val="nil"/>
          <w:tr2bl w:val="nil"/>
        </w:tcBorders>
      </w:tcPr>
    </w:tblStylePr>
  </w:style>
  <w:style w:type="numbering" w:styleId="N0">
    <w:name w:val="No List"/>
  </w:style>
  <w:style w:type="numbering" w:styleId="N1">
    <w:name w:val="Company_List"/>
    <w:pPr>
      <w:numPr>
        <w:numId w:val="4"/>
      </w:numPr>
    </w:pPr>
  </w:style>
  <w:style w:type="numbering" w:styleId="N2">
    <w:name w:val="Company_ListBullet"/>
    <w:pPr>
      <w:numPr>
        <w:numId w:val="3"/>
      </w:numPr>
    </w:pPr>
  </w:style>
  <w:style w:type="numbering" w:styleId="N3">
    <w:name w:val="Aktuell lista1"/>
    <w:pPr>
      <w:numPr>
        <w:numId w:val="15"/>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png" /><Relationship Id="Relimage32" Type="http://schemas.openxmlformats.org/officeDocument/2006/relationships/image" Target="/media/image32.png" /><Relationship Id="Relimage33" Type="http://schemas.openxmlformats.org/officeDocument/2006/relationships/image" Target="/media/image33.png" /><Relationship Id="Relimage34" Type="http://schemas.openxmlformats.org/officeDocument/2006/relationships/image" Target="/media/image34.jpg" /><Relationship Id="Relimage35" Type="http://schemas.openxmlformats.org/officeDocument/2006/relationships/image" Target="/media/image35.png" /><Relationship Id="Relimage36" Type="http://schemas.openxmlformats.org/officeDocument/2006/relationships/image" Target="/media/image36.png" /><Relationship Id="Relimage37" Type="http://schemas.openxmlformats.org/officeDocument/2006/relationships/image" Target="/media/image37.png" /><Relationship Id="Relimage38" Type="http://schemas.openxmlformats.org/officeDocument/2006/relationships/image" Target="/media/image38.png" /><Relationship Id="Relimage39" Type="http://schemas.openxmlformats.org/officeDocument/2006/relationships/image" Target="/media/image39.png" /><Relationship Id="Relimage40" Type="http://schemas.openxmlformats.org/officeDocument/2006/relationships/image" Target="/media/image40.jpg" /><Relationship Id="Relimage41" Type="http://schemas.openxmlformats.org/officeDocument/2006/relationships/image" Target="/media/image41.jpg" /><Relationship Id="Relimage42" Type="http://schemas.openxmlformats.org/officeDocument/2006/relationships/image" Target="/media/image42.jpg" /><Relationship Id="Relimage43" Type="http://schemas.openxmlformats.org/officeDocument/2006/relationships/image" Target="/media/image43.jpg" /><Relationship Id="Relimage44" Type="http://schemas.openxmlformats.org/officeDocument/2006/relationships/image" Target="/media/image44.png" /><Relationship Id="Relimage45" Type="http://schemas.openxmlformats.org/officeDocument/2006/relationships/image" Target="/media/image45.png" /><Relationship Id="Relimage46" Type="http://schemas.openxmlformats.org/officeDocument/2006/relationships/image" Target="/media/image46.png" /><Relationship Id="Relimage47" Type="http://schemas.openxmlformats.org/officeDocument/2006/relationships/image" Target="/media/image47.png" /><Relationship Id="Relimage48" Type="http://schemas.openxmlformats.org/officeDocument/2006/relationships/image" Target="/media/image48.png" /><Relationship Id="Relimage49" Type="http://schemas.openxmlformats.org/officeDocument/2006/relationships/image" Target="/media/image49.jpg" /><Relationship Id="Relimage50" Type="http://schemas.openxmlformats.org/officeDocument/2006/relationships/image" Target="/media/image50.jpg" /><Relationship Id="Relimage51" Type="http://schemas.openxmlformats.org/officeDocument/2006/relationships/image" Target="/media/image51.png" /><Relationship Id="Relimage52" Type="http://schemas.openxmlformats.org/officeDocument/2006/relationships/image" Target="/media/image52.png" /><Relationship Id="Relimage53" Type="http://schemas.openxmlformats.org/officeDocument/2006/relationships/image" Target="/media/image53.png" /><Relationship Id="Relimage54" Type="http://schemas.openxmlformats.org/officeDocument/2006/relationships/image" Target="/media/image54.png" /><Relationship Id="Relimage55" Type="http://schemas.openxmlformats.org/officeDocument/2006/relationships/image" Target="/media/image55.png" /><Relationship Id="Relimage56" Type="http://schemas.openxmlformats.org/officeDocument/2006/relationships/image" Target="/media/image56.png" /><Relationship Id="Relimage57" Type="http://schemas.openxmlformats.org/officeDocument/2006/relationships/image" Target="/media/image57.png" /><Relationship Id="Relimage58" Type="http://schemas.openxmlformats.org/officeDocument/2006/relationships/image" Target="/media/image58.png" /><Relationship Id="Relimage59" Type="http://schemas.openxmlformats.org/officeDocument/2006/relationships/image" Target="/media/image59.png" /><Relationship Id="Relimage60" Type="http://schemas.openxmlformats.org/officeDocument/2006/relationships/image" Target="/media/image60.png" /><Relationship Id="Relimage61" Type="http://schemas.openxmlformats.org/officeDocument/2006/relationships/image" Target="/media/image61.png" /><Relationship Id="Relimage62" Type="http://schemas.openxmlformats.org/officeDocument/2006/relationships/image" Target="/media/image62.png" /><Relationship Id="Relimage63" Type="http://schemas.openxmlformats.org/officeDocument/2006/relationships/image" Target="/media/image63.jpg" /><Relationship Id="Relimage64" Type="http://schemas.openxmlformats.org/officeDocument/2006/relationships/image" Target="/media/image64.emf" /><Relationship Id="Relimage65" Type="http://schemas.openxmlformats.org/officeDocument/2006/relationships/image" Target="/media/image65.png" /><Relationship Id="Relimage66" Type="http://schemas.openxmlformats.org/officeDocument/2006/relationships/image" Target="/media/image66.png" /><Relationship Id="Relimage67" Type="http://schemas.openxmlformats.org/officeDocument/2006/relationships/image" Target="/media/image67.png" /><Relationship Id="Relimage68" Type="http://schemas.openxmlformats.org/officeDocument/2006/relationships/image" Target="/media/image68.emf" /><Relationship Id="Relimage69" Type="http://schemas.openxmlformats.org/officeDocument/2006/relationships/image" Target="/media/image69.png" /><Relationship Id="Relimage70" Type="http://schemas.openxmlformats.org/officeDocument/2006/relationships/image" Target="/media/image70.png" /><Relationship Id="Relimage71" Type="http://schemas.openxmlformats.org/officeDocument/2006/relationships/image" Target="/media/image71.png" /><Relationship Id="Relimage72" Type="http://schemas.openxmlformats.org/officeDocument/2006/relationships/image" Target="/media/image72.png" /><Relationship Id="Relimage73" Type="http://schemas.openxmlformats.org/officeDocument/2006/relationships/image" Target="/media/image73.png" /><Relationship Id="Relimage74" Type="http://schemas.openxmlformats.org/officeDocument/2006/relationships/image" Target="/media/image74.png" /><Relationship Id="Relimage75" Type="http://schemas.openxmlformats.org/officeDocument/2006/relationships/image" Target="/media/image75.png" /><Relationship Id="Relimage76" Type="http://schemas.openxmlformats.org/officeDocument/2006/relationships/image" Target="/media/image76.png" /><Relationship Id="Relimage77" Type="http://schemas.openxmlformats.org/officeDocument/2006/relationships/image" Target="/media/image77.png" /><Relationship Id="Relimage78" Type="http://schemas.openxmlformats.org/officeDocument/2006/relationships/image" Target="/media/image78.png" /><Relationship Id="Relimage79" Type="http://schemas.openxmlformats.org/officeDocument/2006/relationships/image" Target="/media/image79.png" /><Relationship Id="Relimage80" Type="http://schemas.openxmlformats.org/officeDocument/2006/relationships/image" Target="/media/image80.png" /><Relationship Id="Relimage81" Type="http://schemas.openxmlformats.org/officeDocument/2006/relationships/image" Target="/media/image81.jp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84" Type="http://schemas.openxmlformats.org/officeDocument/2006/relationships/image" Target="/media/image84.jp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82" Type="http://schemas.openxmlformats.org/officeDocument/2006/relationships/image" Target="/media/image82.png" /></Relationships>
</file>

<file path=word/_rels/header2.xml.rels>&#65279;<?xml version="1.0" encoding="utf-8"?><Relationships xmlns="http://schemas.openxmlformats.org/package/2006/relationships"><Relationship Id="Relimage83" Type="http://schemas.openxmlformats.org/officeDocument/2006/relationships/image" Target="/media/image83.jpg" /></Relationships>
</file>

<file path=word/theme/theme1.xml><?xml version="1.0" encoding="utf-8"?>
<a:theme xmlns:a="http://schemas.openxmlformats.org/drawingml/2006/main" name="Office-tema">
  <a:themeElements>
    <a:clrScheme name="Bodens kommun">
      <a:dk1>
        <a:sysClr val="windowText" lastClr="000000"/>
      </a:dk1>
      <a:lt1>
        <a:sysClr val="window" lastClr="FFFFFF"/>
      </a:lt1>
      <a:dk2>
        <a:srgbClr val="005C69"/>
      </a:dk2>
      <a:lt2>
        <a:srgbClr val="C1C6C8"/>
      </a:lt2>
      <a:accent1>
        <a:srgbClr val="75B325"/>
      </a:accent1>
      <a:accent2>
        <a:srgbClr val="009DC8"/>
      </a:accent2>
      <a:accent3>
        <a:srgbClr val="AD2579"/>
      </a:accent3>
      <a:accent4>
        <a:srgbClr val="F8CB00"/>
      </a:accent4>
      <a:accent5>
        <a:srgbClr val="208322"/>
      </a:accent5>
      <a:accent6>
        <a:srgbClr val="F49500"/>
      </a:accent6>
      <a:hlink>
        <a:srgbClr val="000000"/>
      </a:hlink>
      <a:folHlink>
        <a:srgbClr val="000000"/>
      </a:folHlink>
    </a:clrScheme>
    <a:fontScheme name="Bodens kommu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848691A406335419CC907D68F3D5469" ma:contentTypeVersion="12" ma:contentTypeDescription="Skapa ett nytt dokument." ma:contentTypeScope="" ma:versionID="d3d24c9ca6cf288d854851ad621a3d80">
  <xsd:schema xmlns:xsd="http://www.w3.org/2001/XMLSchema" xmlns:xs="http://www.w3.org/2001/XMLSchema" xmlns:p="http://schemas.microsoft.com/office/2006/metadata/properties" xmlns:ns2="4771f2d0-3cac-483b-aebb-9ec3d70b062e" xmlns:ns3="75c9e1cd-a6aa-4c5f-89ca-1fbaa955a79c" targetNamespace="http://schemas.microsoft.com/office/2006/metadata/properties" ma:root="true" ma:fieldsID="bdda44daa9eb5c4bb598ddcbe1b2d7a1" ns2:_="" ns3:_="">
    <xsd:import namespace="4771f2d0-3cac-483b-aebb-9ec3d70b062e"/>
    <xsd:import namespace="75c9e1cd-a6aa-4c5f-89ca-1fbaa955a7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1f2d0-3cac-483b-aebb-9ec3d70b0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a49ee95e-fb69-497e-bc39-bb143edd209d"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9e1cd-a6aa-4c5f-89ca-1fbaa955a79c"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71f2d0-3cac-483b-aebb-9ec3d70b062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lanbeskrivning xmlns:lmg="http://namespace.lantmateriet.se/distribution/geometri/v2" xmlns:gml="http://www.opengis.net/gml/3.2" xmlns="http://namespace.lantmateriet.se/distribution/geodatakatalog/planbeskrivning/v2">
  <versionGiltigFran>2025-01-28T13:23:05.5185598+01:00</versionGiltigFran>
  <detaljplansreferens>99bd9fe3-f69f-45e6-aa0f-95686d425879</detaljplansreferens>
  <Objektmetadata>
    <programvara>GEOSECMA</programvara>
    <programvaruversion>20.6</programvaruversion>
  </Objektmetadata>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be_planarkitekt01</identitet>
    <Lage>
      <planomrade>true</planomrade>
    </Lage>
    <Indelning>
      <tema>Beskrivning av detaljplanen</tema>
      <grupp>Ärendeinformation</grupp>
      <undergrupp>Planarkitekt</undergrupp>
    </Indelning>
  </Omfattning>
  <Omfattning>
    <identitet>be_ärendeinformation04</identitet>
    <Lage>
      <planomrade>true</planomrade>
    </Lage>
    <Indelning>
      <tema>Beskrivning av detaljplanen</tema>
      <grupp>Ärendeinformation</grupp>
    </Indelning>
  </Omfattning>
  <Omfattning>
    <identitet>pu_utredningar01</identitet>
    <Lage>
      <planomrade>true</planomrade>
    </Lage>
    <Indelning>
      <tema>Planeringsunderlag</tema>
      <grupp>Utredningar</grupp>
    </Indelning>
  </Omfattning>
  <Omfattning>
    <identitet>pu_kommunala01</identitet>
    <Lage>
      <planomrade>true</planomrade>
    </Lage>
    <Indelning>
      <tema>Planeringsunderlag</tema>
      <grupp>Kommunala</grupp>
    </Indelning>
  </Omfattning>
  <Omfattning>
    <identitet>pu_särskiltbeslutombetydandemiljöpåver01</identitet>
    <Lage>
      <planomrade>true</planomrade>
    </Lage>
    <Indelning>
      <tema>Planeringsunderlag</tema>
      <grupp>Kommunala</grupp>
      <undergrupp>Särskilt beslut om betydande miljöpåverkan</under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be_allmänplats01</identitet>
    <Lage>
      <planomrade>true</planomrade>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be_befintligt01</identitet>
    <Lage>
      <planomrade>true</planomrade>
    </Lage>
    <Indelning>
      <tema>Beskrivning av detaljplanen</tema>
      <grupp>Befintligt</grupp>
    </Indelning>
  </Omfattning>
  <Omfattning>
    <identitet>be_kvartersmark01</identitet>
    <Lage>
      <planomrade>true</planomrade>
    </Lage>
    <Indelning>
      <tema>Beskrivning av detaljplanen</tema>
      <grupp>Kvartersmark</grupp>
    </Indelning>
  </Omfattning>
  <Omfattning>
    <identitet>pf_kommunala01</identitet>
    <Lage>
      <planomrade>true</planomrade>
    </Lage>
    <Indelning>
      <tema>Planeringsförutsättningar</tema>
      <grupp>Kommunala</grupp>
    </Indelning>
  </Omfattning>
  <Omfattning>
    <identitet>pf_översiktsplan01</identitet>
    <Lage>
      <planomrade>true</planomrade>
    </Lage>
    <Indelning>
      <tema>Planeringsförutsättningar</tema>
      <grupp>Kommunala</grupp>
      <undergrupp>Översiktsplan</undergrupp>
    </Indelning>
  </Omfattning>
  <Omfattning>
    <identitet>pf_detaljplan01</identitet>
    <Lage>
      <planomrade>true</planomrade>
    </Lage>
    <Indelning>
      <tema>Planeringsförutsättningar</tema>
      <grupp>Kommunala</grupp>
      <undergrupp>Detaljplan</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pf_rennaring01</identitet>
    <Lage>
      <planomrade>true</planomrade>
    </Lage>
    <Indelning>
      <tema>Planeringsförutsättningar</tema>
      <grupp>Hushållningsbestämmelser enligt 3 kap. miljöbalken</grupp>
      <undergrupp>Rennaring</undergrupp>
    </Indelning>
  </Omfattning>
  <Omfattning>
    <identitet>pf_riksintressen01</identitet>
    <Lage>
      <planomrade>true</planomrade>
    </Lage>
    <Indelning>
      <tema>Planeringsförutsättningar</tema>
      <grupp>Riksintressen</grupp>
    </Indelning>
  </Omfattning>
  <Omfattning>
    <identitet>pf_kulturmiljövård01</identitet>
    <Lage>
      <planomrade>true</planomrade>
    </Lage>
    <Indelning>
      <tema>Planeringsförutsättningar</tema>
      <grupp>Riksintressen</grupp>
      <undergrupp>Kulturmiljövård</undergrupp>
    </Indelning>
  </Omfattning>
  <Omfattning>
    <identitet>pf_annat01</identitet>
    <Lage>
      <planomrade>true</planomrade>
    </Lage>
    <Indelning>
      <tema>Planeringsförutsättningar</tema>
      <grupp>Annat</grupp>
    </Indelning>
  </Omfattning>
  <Omfattning>
    <identitet>pf_miljökvalitetsnormer01</identitet>
    <Lage>
      <planomrade>true</planomrade>
    </Lage>
    <Indelning>
      <tema>Planeringsförutsättningar</tema>
      <grupp>Miljökvalitetsnormer</grupp>
    </Indelning>
  </Omfattning>
  <Omfattning>
    <identitet>pf_vatten01</identitet>
    <Lage>
      <planomrade>true</planomrade>
    </Lage>
    <Indelning>
      <tema>Planeringsförutsättningar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pf_luft01</identitet>
    <Lage>
      <planomrade>true</planomrade>
    </Lage>
    <Indelning>
      <tema>Planeringsförutsättningar</tema>
      <grupp>Miljökvalitetsnormer</grupp>
      <undergrupp>Luft</undergrupp>
    </Indelning>
  </Omfattning>
  <Omfattning>
    <identitet>pf_annat02</identitet>
    <Lage>
      <planomrade>true</planomrade>
    </Lage>
    <Indelning>
      <tema>Planeringsförutsättningar</tema>
      <grupp>Annat</grupp>
    </Indelning>
  </Omfattning>
  <Omfattning>
    <identitet>pf_allmännaochenskildaintressen01</identitet>
    <Lage>
      <planomrade>true</planomrade>
    </Lage>
    <Indelning>
      <tema>Planeringsförutsättningar</tema>
      <grupp>Annat</grupp>
      <undergrupp>Allmänna och enskilda intressen</undergrupp>
    </Indelning>
  </Omfattning>
  <Omfattning>
    <identitet>pf_hälsaochsäkerhet01</identitet>
    <Lage>
      <planomrade>true</planomrade>
    </Lage>
    <Indelning>
      <tema>Planeringsförutsättningar</tema>
      <grupp>Hälsa och säkerhet</grupp>
    </Indelning>
  </Omfattning>
  <Omfattning>
    <identitet>pf_förorenadmark01</identitet>
    <Lage>
      <planomrade>true</planomrade>
    </Lage>
    <Indelning>
      <tema>Planeringsförutsättningar</tema>
      <grupp>Hälsa och säkerhet</grupp>
      <undergrupp>Förorenad mark</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pf_riskförras01</identitet>
    <Lage>
      <planomrade>true</planomrade>
    </Lage>
    <Indelning>
      <tema>Planeringsförutsättningar</tema>
      <grupp>Hälsa och säkerhet</grupp>
      <undergrupp>Risk för ras</undergrupp>
    </Indelning>
  </Omfattning>
  <Omfattning>
    <identitet>pf_riskförskred01</identitet>
    <Lage>
      <planomrade>true</planomrade>
    </Lage>
    <Indelning>
      <tema>Planeringsförutsättningar</tema>
      <grupp>Hälsa och säkerhet</grupp>
      <undergrupp>Risk för skred</undergrupp>
    </Indelning>
  </Omfattning>
  <Omfattning>
    <identitet>pf_miljö01</identitet>
    <Lage>
      <planomrade>true</planomrade>
    </Lage>
    <Indelning>
      <tema>Planeringsförutsättningar</tema>
      <grupp>Miljö</grupp>
    </Indelning>
  </Omfattning>
  <Omfattning>
    <identitet>pf_markvegetationochtopografi01</identitet>
    <Lage>
      <planomrade>true</planomrade>
    </Lage>
    <Indelning>
      <tema>Planeringsförutsättningar</tema>
      <grupp>Miljö</grupp>
      <undergrupp>Mark, vegetation och topografi</undergrupp>
    </Indelning>
  </Omfattning>
  <Omfattning>
    <identitet>pf_geotekniskaförhållanden01</identitet>
    <Lage>
      <planomrade>true</planomrade>
    </Lage>
    <Indelning>
      <tema>Planeringsförutsättningar</tema>
      <grupp>Geotekniska förhållanden</grupp>
    </Indelning>
  </Omfattning>
  <Omfattning>
    <identitet>pf_radon01</identitet>
    <Lage>
      <planomrade>true</planomrade>
    </Lage>
    <Indelning>
      <tema>Planeringsförutsättningar</tema>
      <grupp>Miljö</grupp>
      <undergrupp>Radon</undergrupp>
    </Indelning>
  </Omfattning>
  <Omfattning>
    <identitet>pf_strandskydd01</identitet>
    <Lage>
      <planomrade>true</planomrade>
    </Lage>
    <Indelning>
      <tema>Planeringsförutsättningar</tema>
      <grupp>Miljö</grupp>
      <undergrupp>Strandskydd</undergrupp>
    </Indelning>
  </Omfattning>
  <Omfattning>
    <identitet>pf_kulturmiljö01</identitet>
    <Lage>
      <planomrade>true</planomrade>
    </Lage>
    <Indelning>
      <tema>Planeringsförutsättningar</tema>
      <grupp>Kulturmiljö</grupp>
    </Indelning>
  </Omfattning>
  <Omfattning>
    <identitet>pf_alleer01</identitet>
    <Lage>
      <planomrade>true</planomrade>
    </Lage>
    <Indelning>
      <tema>Planeringsförutsättningar</tema>
      <grupp>Kulturmiljö</grupp>
      <undergrupp>Alleer</undergrupp>
    </Indelning>
  </Omfattning>
  <Omfattning>
    <identitet>pf_siktlinjer01</identitet>
    <Lage>
      <planomrade>true</planomrade>
    </Lage>
    <Indelning>
      <tema>Planeringsförutsättningar</tema>
      <grupp>Kulturmiljö</grupp>
      <undergrupp>Siktlinjer</undergrupp>
    </Indelning>
  </Omfattning>
  <Omfattning>
    <identitet>pf_kulturmiljöprogram01</identitet>
    <Lage>
      <planomrade>true</planomrade>
    </Lage>
    <Indelning>
      <tema>Planeringsförutsättningar</tema>
      <grupp>Kulturmiljö</grupp>
      <undergrupp>Kulturmiljöprogram</undergrupp>
    </Indelning>
  </Omfattning>
  <Omfattning>
    <identitet>pf_fornlämningar01</identitet>
    <Lage>
      <planomrade>true</planomrade>
    </Lage>
    <Indelning>
      <tema>Planeringsförutsättningar</tema>
      <grupp>Kulturmiljö</grupp>
      <undergrupp>Fornlämningar</undergrupp>
    </Indelning>
  </Omfattning>
  <Omfattning>
    <identitet>pf_sociala01</identitet>
    <Lage>
      <planomrade>true</planomrade>
    </Lage>
    <Indelning>
      <tema>Planeringsförutsättningar</tema>
      <grupp>Sociala</grupp>
    </Indelning>
  </Omfattning>
  <Omfattning>
    <identitet>pf_barnkonventionen01</identitet>
    <Lage>
      <planomrade>true</planomrade>
    </Lage>
    <Indelning>
      <tema>Planeringsförutsättningar</tema>
      <grupp>Sociala</grupp>
      <undergrupp>Barnkonventionen</undergrupp>
    </Indelning>
  </Omfattning>
  <Omfattning>
    <identitet>pf_trafik01</identitet>
    <Lage>
      <planomrade>true</planomrade>
    </Lage>
    <Indelning>
      <tema>Planeringsförutsättningar</tema>
      <grupp>Trafik</grupp>
    </Indelning>
  </Omfattning>
  <Omfattning>
    <identitet>pf_kollektivtrafik01</identitet>
    <Lage>
      <planomrade>true</planomrade>
    </Lage>
    <Indelning>
      <tema>Planeringsförutsättningar</tema>
      <grupp>Trafik</grupp>
      <undergrupp>Kollektivtrafik</undergrupp>
    </Indelning>
  </Omfattning>
  <Omfattning>
    <identitet>pf_parkeringochutfarter01</identitet>
    <Lage>
      <planomrade>true</planomrade>
    </Lage>
    <Indelning>
      <tema>Planeringsförutsättningar</tema>
      <grupp>Trafik</grupp>
      <undergrupp>Parkering och utfarter</undergrupp>
    </Indelning>
  </Omfattning>
  <Omfattning>
    <identitet>pf_gångochcykeltrafik01</identitet>
    <Lage>
      <planomrade>true</planomrade>
    </Lage>
    <Indelning>
      <tema>Planeringsförutsättningar</tema>
      <grupp>Trafik</grupp>
      <undergrupp>Gång- och cykeltrafik</undergrupp>
    </Indelning>
  </Omfattning>
  <Omfattning>
    <identitet>pf_fysiskmiljö01</identitet>
    <Lage>
      <planomrade>true</planomrade>
    </Lage>
    <Indelning>
      <tema>Planeringsförutsättningar</tema>
      <grupp>Fysisk miljö</grupp>
    </Indelning>
  </Omfattning>
  <Omfattning>
    <identitet>pf_offentligochkommersiellservice01</identitet>
    <Lage>
      <planomrade>true</planomrade>
    </Lage>
    <Indelning>
      <tema>Planeringsförutsättningar</tema>
      <grupp>Fysisk miljö</grupp>
      <undergrupp>Offentlig och kommersiell service</undergrupp>
    </Indelning>
  </Omfattning>
  <Omfattning>
    <identitet>pf_tillgänglighet01</identitet>
    <Lage>
      <planomrade>true</planomrade>
    </Lage>
    <Indelning>
      <tema>Planeringsförutsättningar</tema>
      <grupp>Fysisk miljö</grupp>
      <undergrupp>Tillgänglighet</undergrupp>
    </Indelning>
  </Omfattning>
  <Omfattning>
    <identitet>gf_tekniskafrågor01</identitet>
    <Lage>
      <planomrade>true</planomrade>
    </Lage>
    <Indelning>
      <tema>Genomförandefrågor</tema>
      <grupp>Tekniska frågor</grupp>
    </Indelning>
  </Omfattning>
  <Omfattning>
    <identitet>gf_vattenochavlopp01</identitet>
    <Lage>
      <planomrade>true</planomrade>
    </Lage>
    <Indelning>
      <tema>Genomförandefrågor</tema>
      <grupp>Tekniska frågor</grupp>
      <undergrupp>Vatten och avlopp</undergrupp>
    </Indelning>
  </Omfattning>
  <Omfattning>
    <identitet>gf_snöochdagvattenhantering01</identitet>
    <Lage>
      <planomrade>true</planomrade>
    </Lage>
    <Indelning>
      <tema>Genomförandefrågor</tema>
      <grupp>Tekniska frågor</grupp>
      <undergrupp>Snö- och dagvattenhantering</undergrupp>
    </Indelning>
  </Omfattning>
  <Omfattning>
    <identitet>gf_elochvärme01</identitet>
    <Lage>
      <planomrade>true</planomrade>
    </Lage>
    <Indelning>
      <tema>Genomförandefrågor</tema>
      <grupp>Tekniska frågor</grupp>
      <undergrupp>El och värme</undergrupp>
    </Indelning>
  </Omfattning>
  <Omfattning>
    <identitet>gf_fiber01</identitet>
    <Lage>
      <planomrade>true</planomrade>
    </Lage>
    <Indelning>
      <tema>Genomförandefrågor</tema>
      <grupp>Tekniska frågor</grupp>
      <undergrupp>Fiber</undergrupp>
    </Indelning>
  </Omfattning>
  <Omfattning>
    <identitet>gf_avfall01</identitet>
    <Lage>
      <planomrade>true</planomrade>
    </Lage>
    <Indelning>
      <tema>Genomförandefrågor</tema>
      <grupp>Tekniska frågor</grupp>
      <undergrupp>Avfall</undergrupp>
    </Indelning>
  </Omfattning>
  <Omfattning>
    <identitet>gf_markochutrymmesförvärv01</identitet>
    <Lage>
      <planomrade>true</planomrade>
    </Lage>
    <Indelning>
      <tema>Genomförandefrågor</tema>
      <grupp>Mark- och utrymmesförvärv</grupp>
    </Indelning>
  </Omfattning>
  <Omfattning>
    <identitet>gf_fastighetsrättsligafrågor01</identitet>
    <Lage>
      <planomrade>true</planomrade>
    </Lage>
    <Indelning>
      <tema>Genomförandefrågor</tema>
      <grupp>Fastighetsrättsliga frågor</grupp>
    </Indelning>
  </Omfattning>
  <Omfattning>
    <identitet>gf_fastighetsindelningsbestämmelser01</identitet>
    <Lage>
      <planomrade>true</planomrade>
    </Lage>
    <Indelning>
      <tema>Genomförandefrågor</tema>
      <grupp>Fastighetsrättsliga frågor</grupp>
      <undergrupp>Fastighetsindelningsbestämmelser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gf_tekniskafrågor02</identitet>
    <Lage>
      <planomrade>true</planomrade>
    </Lage>
    <Indelning>
      <tema>Genomförandefrågor</tema>
      <grupp>Tekniska frågor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gf_ekonomiskafrågor01</identitet>
    <Lage>
      <planomrade>true</planomrade>
    </Lage>
    <Indelning>
      <tema>Genomförandefrågor</tema>
      <grupp>Ekonomiska frågor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gf_gatukostnader01</identitet>
    <Lage>
      <planomrade>true</planomrade>
    </Lage>
    <Indelning>
      <tema>Genomförandefrågor</tema>
      <grupp>Ekonomiska frågor</grupp>
      <undergrupp>Gatukostnader</undergrupp>
    </Indelning>
  </Omfattning>
  <Omfattning>
    <identitet>gf_organisatoriskafrågor01</identitet>
    <Lage>
      <planomrade>true</planomrade>
    </Lage>
    <Indelning>
      <tema>Genomförandefrågor</tema>
      <grupp>Organisatoriska frågor</grupp>
    </Indelning>
  </Omfattning>
  <Omfattning>
    <identitet>gf_markanvisning01</identitet>
    <Lage>
      <planomrade>true</planomrade>
    </Lage>
    <Indelning>
      <tema>Genomförandefrågor</tema>
      <grupp>Organisatoriska frågor</grupp>
      <undergrupp>Markanvisning</undergrupp>
    </Indelning>
  </Omfattning>
  <Omfattning>
    <identitet>gf_planavtal01</identitet>
    <Lage>
      <planomrade>true</planomrade>
    </Lage>
    <Indelning>
      <tema>Genomförandefrågor</tema>
      <grupp>Organisatoriska frågor</grupp>
      <undergrupp>Planavtal</undergrupp>
    </Indelning>
  </Omfattning>
  <Omfattning>
    <identitet>gf_tidplan01</identitet>
    <Lage>
      <planomrade>true</planomrade>
    </Lage>
    <Indelning>
      <tema>Genomförandefrågor</tema>
      <grupp>Organisatoriska frågor</grupp>
      <undergrupp>Tidplan</undergrupp>
    </Indelning>
  </Omfattning>
  <Omfattning>
    <identitet>gf_genomförandetid01</identitet>
    <Lage>
      <planomrade>true</planomrade>
    </Lage>
    <Indelning>
      <tema>Genomförandefrågor</tema>
      <grupp>Organisatoriska frågor</grupp>
      <undergrupp>Genomförandetid</undergrupp>
    </Indelning>
  </Omfattning>
  <Omfattning>
    <identitet>gf_annat01</identitet>
    <Lage>
      <planomrade>true</planomrade>
    </Lage>
    <Indelning>
      <tema>Genomförandefrågor</tema>
      <grupp>Annat</grupp>
    </Indelning>
  </Omfattning>
  <Omfattning>
    <identitet>gf_upplysningar01</identitet>
    <Lage>
      <planomrade>true</planomrade>
    </Lage>
    <Indelning>
      <tema>Genomförandefrågor</tema>
      <grupp>Upplysningar</grupp>
    </Indelning>
  </Omfattning>
  <Omfattning>
    <identitet>ko_riksintresse01</identitet>
    <Lage>
      <planomrade>true</planomrade>
    </Lage>
    <Indelning>
      <tema>Konsekvenser</tema>
      <grupp>Riksintresse</grupp>
    </Indelning>
  </Omfattning>
  <Omfattning>
    <identitet>ko_totalförsvar01</identitet>
    <Lage>
      <planomrade>true</planomrade>
    </Lage>
    <Indelning>
      <tema>Konsekvenser</tema>
      <grupp>Riksintresse</grupp>
      <undergrupp>Totalförsvar</undergrupp>
    </Indelning>
  </Omfattning>
  <Omfattning>
    <identitet>ko_trafikkommunikation01</identitet>
    <Lage>
      <planomrade>true</planomrade>
    </Lage>
    <Indelning>
      <tema>Konsekvenser</tema>
      <grupp>Riksintresse</grupp>
      <undergrupp>Trafikkommunikation</undergrupp>
    </Indelning>
  </Omfattning>
  <Omfattning>
    <identitet>ko_kulturmiljövård01</identitet>
    <Lage>
      <planomrade>true</planomrade>
    </Lage>
    <Indelning>
      <tema>Konsekvenser</tema>
      <grupp>Riksintresse</grupp>
      <undergrupp>Kulturmiljövård</undergrupp>
    </Indelning>
  </Omfattning>
  <Omfattning>
    <identitet>ko_hälsaochsäkerhet01</identitet>
    <Lage>
      <planomrade>true</planomrade>
    </Lage>
    <Indelning>
      <tema>Konsekvenser</tema>
      <grupp>Hälsa och säkerhet</grupp>
    </Indelning>
  </Omfattning>
  <Omfattning>
    <identitet>ko_förorenadmark01</identitet>
    <Lage>
      <planomrade>true</planomrade>
    </Lage>
    <Indelning>
      <tema>Konsekvenser</tema>
      <grupp>Hälsa och säkerhet</grupp>
      <undergrupp>Förorenad mark</undergrupp>
    </Indelning>
  </Omfattning>
  <Omfattning>
    <identitet>ko_ras01</identitet>
    <Lage>
      <planomrade>true</planomrade>
    </Lage>
    <Indelning>
      <tema>Konsekvenser</tema>
      <grupp>Hälsa och säkerhet</grupp>
      <undergrupp>Ras</undergrupp>
    </Indelning>
  </Omfattning>
  <Omfattning>
    <identitet>ko_skred01</identitet>
    <Lage>
      <planomrade>true</planomrade>
    </Lage>
    <Indelning>
      <tema>Konsekvenser</tema>
      <grupp>Hälsa och säkerhet</grupp>
      <undergrupp>Skred</undergrupp>
    </Indelning>
  </Omfattning>
  <Omfattning>
    <identitet>ko_erosion01</identitet>
    <Lage>
      <planomrade>true</planomrade>
    </Lage>
    <Indelning>
      <tema>Konsekvenser</tema>
      <grupp>Hälsa och säkerhet</grupp>
      <undergrupp>Erosion</undergrupp>
    </Indelning>
  </Omfattning>
  <Omfattning>
    <identitet>ko_miljö01</identitet>
    <Lage>
      <planomrade>true</planomrade>
    </Lage>
    <Indelning>
      <tema>Konsekvenser</tema>
      <grupp>Miljö</grupp>
    </Indelning>
  </Omfattning>
  <Omfattning>
    <identitet>ko_geoteknik01</identitet>
    <Lage>
      <planomrade>true</planomrade>
    </Lage>
    <Indelning>
      <tema>Konsekvenser</tema>
      <grupp>Miljö</grupp>
      <undergrupp>Geoteknik</undergrupp>
    </Indelning>
  </Omfattning>
  <Omfattning>
    <identitet>ko_strandskydd01</identitet>
    <Lage>
      <planomrade>true</planomrade>
    </Lage>
    <Indelning>
      <tema>Konsekvenser</tema>
      <grupp>Miljö</grupp>
      <undergrupp>Strandskydd</undergrupp>
    </Indelning>
  </Omfattning>
  <Omfattning>
    <identitet>ko_kulturmiljöochgestaltning01</identitet>
    <Lage>
      <planomrade>true</planomrade>
    </Lage>
    <Indelning>
      <tema>Konsekvenser</tema>
      <grupp>Miljö</grupp>
      <undergrupp>Kulturmiljö och gestaltning</undergrupp>
    </Indelning>
  </Omfattning>
  <Omfattning>
    <identitet>ko_sociala01</identitet>
    <Lage>
      <planomrade>true</planomrade>
    </Lage>
    <Indelning>
      <tema>Konsekvenser</tema>
      <grupp>Sociala</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ko_trafik01</identitet>
    <Lage>
      <planomrade>true</planomrade>
    </Lage>
    <Indelning>
      <tema>Konsekvenser</tema>
      <grupp>Trafik</grupp>
    </Indelning>
  </Omfattning>
  <Omfattning>
    <identitet>gf_tekniskafrågor03</identitet>
    <Lage>
      <planomrade>true</planomrade>
    </Lage>
    <Indelning>
      <tema>Genomförandefrågor</tema>
      <grupp>Tekniska frågor</grupp>
    </Indelning>
  </Omfattning>
  <Omfattning>
    <identitet>gf_snöochdagvattenhantering02</identitet>
    <Lage>
      <planomrade>true</planomrade>
    </Lage>
    <Indelning>
      <tema>Genomförandefrågor</tema>
      <grupp>Tekniska frågor</grupp>
      <undergrupp>Snö- och dagvattenhantering</undergrupp>
    </Indelning>
  </Omfattning>
  <Omfattning>
    <identitet>gf_ekonomiskafrågor02</identitet>
    <Lage>
      <planomrade>true</planomrade>
    </Lage>
    <Indelning>
      <tema>Genomförandefrågor</tema>
      <grupp>Ekonomiska frågor</grupp>
    </Indelning>
  </Omfattning>
  <Omfattning>
    <identitet>be_ärendeinformation07</identitet>
    <Lage>
      <planomrade>true</planomrade>
    </Lage>
    <Indelning>
      <tema>Beskrivning av detaljplanen</tema>
      <grupp>Ärendeinformation</grupp>
    </Indelning>
  </Omfattning>
  <Omfattning>
    <identitet>be_planarkitekt02</identitet>
    <Lage>
      <planomrade>true</planomrade>
    </Lage>
    <Indelning>
      <tema>Beskrivning av detaljplanen</tema>
      <grupp>Ärendeinformation</grupp>
      <undergrupp>Planarkitekt</undergrupp>
    </Indelning>
  </Omfattning>
  <Omfattning>
    <identitet>sy_syfte01</identitet>
    <Lage>
      <planomrade>true</planomrade>
    </Lage>
    <Indelning>
      <tema>Detaljplanens syfte</tema>
      <grupp>Syfte</grupp>
    </Indelning>
  </Omfattning>
  <Omfattning>
    <identitet>sy_detaljplanensbakgrund01</identitet>
    <Lage>
      <planomrade>true</planomrade>
    </Lage>
    <Indelning>
      <tema>Detaljplanens syfte</tema>
      <grupp>Syfte</grupp>
      <undergrupp>Detaljplanens bakgrund</undergrupp>
    </Indelning>
  </Omfattning>
  <Omfattning>
    <identitet>sy_detaljplanenslokalisering01</identitet>
    <Lage>
      <planomrade>true</planomrade>
    </Lage>
    <Indelning>
      <tema>Detaljplanens syfte</tema>
      <grupp>Syfte</grupp>
      <undergrupp>Detaljplanens lokalisering</undergrupp>
    </Indelning>
  </Omfattning>
  <Omfattning>
    <identitet>mo_motivtillreglering05</identitet>
    <Lage>
      <lmg:Yta>
        <lmg:absolutLagesosakerhetPlan>0.1</lmg:absolutLagesosakerhetPlan>
        <lmg:absolutLagesosakerhetHojd>0</lmg:absolutLagesosakerhetHojd>
        <lmg:hojdsystem>RH 2000</lmg:hojdsystem>
        <gml:Polygon gml:id="ID_d3a2693c-5434-4ade-aef5-dee8094473b1" srsName="EPSG:3017" srsDimension="2">
          <gml:exterior>
            <gml:LinearRing gml:id="ID_f838ea46-3256-4fde-88ff-43f70ee9c7a4">
              <gml:posList>7302190.328 146638.176 7302158.362 146673.985 7302169.6 146684.151 7302151.228 146708.168 7302125.228 146689.183 7302157.486 146640.268 7302173.001 146622.183 7302199.135 146591.722 7302212.07 146588.164 7302231.366 146601.059 7302234.299 146602.552 7302225.217 146616.679 7302209.272 146616.953 7302190.328 146638.176</gml:posList>
            </gml:LinearRing>
          </gml:exterior>
        </gml:Polygon>
      </lmg:Yta>
      <planbestammelsereferens>dfedcb77-3613-49d6-88ac-2449518d4495</planbestammelsereferens>
    </Lage>
    <Lage>
      <lmg:Yta>
        <lmg:absolutLagesosakerhetPlan>0.1</lmg:absolutLagesosakerhetPlan>
        <lmg:absolutLagesosakerhetHojd>0</lmg:absolutLagesosakerhetHojd>
        <lmg:hojdsystem>RH 2000</lmg:hojdsystem>
        <gml:Polygon gml:id="ID_6ddecfa2-8411-4154-ae8b-e14f1b510d9a" srsName="EPSG:3017" srsDimension="2">
          <gml:exterior>
            <gml:LinearRing gml:id="ID_a7740e3c-3a08-42e2-ab72-299d53823164">
              <gml:posList>7302382.59 146764.918 7302375.05 146777.465 7302384.819 146795.964 7302392.011 146800.09 7302375.504 146828.587 7302323.396 146810.214 7302339.589 146779.229 7302367.218 146736.645 7302389.624 146702.11 7302428.156 146671.988 7302434.439 146674.509 7302439.816 146660.307 7302448.865 146663.941 7302448.869 146663.943 7302480.209 146679.102 7302446.286 146736.091 7302431.948 146746.399 7302431.903 146746.431 7302411.083 146761.398 7302382.59 146764.918</gml:posList>
            </gml:LinearRing>
          </gml:exterior>
        </gml:Polygon>
      </lmg:Yta>
      <planbestammelsereferens>55b46036-ebd6-4c2a-b5ea-14d242b100d6</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271e05a9-552a-4eb4-a4ec-7906e9b879b1" srsName="EPSG:3017" srsDimension="2">
          <gml:exterior>
            <gml:LinearRing gml:id="ID_63fe572b-2992-4378-8a0c-479ed64ce7ac">
              <gml:posList>7302382.59 146764.918 7302375.05 146777.465 7302384.819 146795.964 7302392.011 146800.09 7302375.504 146828.587 7302323.396 146810.214 7302339.589 146779.229 7302367.218 146736.645 7302392.178 146738.727 7302431.903 146746.431 7302411.083 146761.398 7302382.59 146764.918</gml:posList>
            </gml:LinearRing>
          </gml:exterior>
        </gml:Polygon>
      </lmg:Yta>
      <planbestammelsereferens>c578cfd4-646f-49c6-8d6d-785a2007b98c</planbestammelsereferens>
    </Lage>
    <Lage>
      <lmg:Yta>
        <lmg:absolutLagesosakerhetPlan>0</lmg:absolutLagesosakerhetPlan>
        <lmg:absolutLagesosakerhetHojd>0</lmg:absolutLagesosakerhetHojd>
        <lmg:hojdsystem>RH 2000</lmg:hojdsystem>
        <gml:Polygon gml:id="ID_ef101660-f70a-4ce3-9cbc-0961811f2326" srsName="EPSG:3017" srsDimension="2">
          <gml:exterior>
            <gml:LinearRing gml:id="ID_7b61aaae-e3c2-4092-b6b5-8ab07a4dda20">
              <gml:posList>7302190.328 146638.176 7302158.362 146673.985 7302169.6 146684.151 7302151.228 146708.168 7302125.228 146689.183 7302157.486 146640.268 7302173.001 146622.183 7302190.328 146638.176</gml:posList>
            </gml:LinearRing>
          </gml:exterior>
        </gml:Polygon>
      </lmg:Yta>
      <planbestammelsereferens>05517c2d-3548-4de2-992b-360808446b0a</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19f53e7d-abb6-4c7d-ace4-b1910da471a0" srsName="EPSG:3017" srsDimension="2">
          <gml:exterior>
            <gml:LinearRing gml:id="ID_264eab32-6973-4fbb-a621-b4125f45389e">
              <gml:posList>7302338.852 146720.969 7302285.951 146706.031 7302301.823 146667.344 7302302.169 146664.498 7302379.395 146671.941 7302348.852 146700.969 7302338.852 146720.969</gml:posList>
            </gml:LinearRing>
          </gml:exterior>
        </gml:Polygon>
      </lmg:Yta>
      <planbestammelsereferens>6371b7a5-54c1-4a13-b2e6-affe19dc8ba4</planbestammelsereferens>
    </Lage>
    <Lage>
      <lmg:Yta>
        <lmg:absolutLagesosakerhetPlan>0</lmg:absolutLagesosakerhetPlan>
        <lmg:absolutLagesosakerhetHojd>0</lmg:absolutLagesosakerhetHojd>
        <lmg:hojdsystem>RH 2000</lmg:hojdsystem>
        <gml:Polygon gml:id="ID_2ab90a6b-5f96-447b-8940-eb9c114c1a14" srsName="EPSG:3017" srsDimension="2">
          <gml:exterior>
            <gml:LinearRing gml:id="ID_9711d2dc-fe26-479b-b2ac-a7897643d475">
              <gml:posList>7302210.852 146676.969 7302198.852 146667.969 7302209.435 146655.658 7302228.105 146633.94 7302257.395 146652.941 7302286.307 146661.096 7302286.232 146661.669 7302271.489 146701.948 7302255.784 146697.514 7302253.852 146696.969 7302210.852 146676.969</gml:posList>
            </gml:LinearRing>
          </gml:exterior>
        </gml:Polygon>
      </lmg:Yta>
      <planbestammelsereferens>3f2317d8-8eef-4c93-acf0-e6ef4eb61ef7</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6d96e19f-7ed0-4f18-b7e9-3f515675ea1f" srsName="EPSG:3017" srsDimension="2">
          <gml:exterior>
            <gml:LinearRing gml:id="ID_8e49fee0-542d-40b9-8b47-13e7ff6bfbf8">
              <gml:posList>7302211.33 146717.859 7302162.585 146673.759 7302192.532 146640.211 7302210.636 146619.93 7302226.873 146619.651 7302235.356 146606.456 7302246.747 146612.253 7302228.105 146633.94 7302209.435 146655.658 7302198.852 146667.969 7302210.852 146676.969 7302253.852 146696.969 7302255.784 146697.514 7302271.489 146701.948 7302268.688 146709.168 7302262.672 146724.679 7302258.646 146739.284 7302211.33 146717.859</gml:posList>
            </gml:LinearRing>
          </gml:exterior>
        </gml:Polygon>
      </lmg:Yta>
      <planbestammelsereferens>2cf5bda3-3d35-4dbf-ad8e-ffb807fb2516</planbestammelsereferens>
    </Lage>
    <Lage>
      <lmg:Yta>
        <lmg:absolutLagesosakerhetPlan>0</lmg:absolutLagesosakerhetPlan>
        <lmg:absolutLagesosakerhetHojd>0</lmg:absolutLagesosakerhetHojd>
        <lmg:hojdsystem>RH 2000</lmg:hojdsystem>
        <gml:Polygon gml:id="ID_7fedec06-bbea-4b90-bd54-5e208cd68079" srsName="EPSG:3017" srsDimension="2">
          <gml:exterior>
            <gml:LinearRing gml:id="ID_9683ba87-ca1a-41c9-a580-5d759f62e2c6">
              <gml:posList>7302338.283 146775.345 7302272.986 146745.777 7302277.754 146728.494 7302280.808 146720.112 7302285.951 146706.031 7302338.852 146720.969 7302348.852 146700.969 7302379.395 146671.941 7302403.532 146649.222 7302407.053 146650.385 7302429.783 146659.512 7302426.162 146668.836 7302378.993 146698.704 7302359.195 146735.976 7302338.283 146775.345</gml:posList>
            </gml:LinearRing>
          </gml:exterior>
        </gml:Polygon>
      </lmg:Yta>
      <planbestammelsereferens>459bc548-da11-4459-a156-309b052f8745</planbestammelsereferens>
    </Lage>
    <Lage>
      <lmg:Yta>
        <lmg:absolutLagesosakerhetPlan>0</lmg:absolutLagesosakerhetPlan>
        <lmg:absolutLagesosakerhetHojd>0</lmg:absolutLagesosakerhetHojd>
        <lmg:hojdsystem>RH 2000</lmg:hojdsystem>
        <gml:Polygon gml:id="ID_1ddefd2b-7e0e-4f5f-8dc2-806e496c9b31" srsName="EPSG:3017" srsDimension="2">
          <gml:exterior>
            <gml:LinearRing gml:id="ID_dc16c415-85c7-48ac-a150-29f37b0abdec">
              <gml:posList>7302338.852 146720.969 7302285.951 146706.031 7302301.823 146667.344 7302302.169 146664.498 7302379.395 146671.941 7302348.852 146700.969 7302338.852 146720.969</gml:posList>
            </gml:LinearRing>
          </gml:exterior>
        </gml:Polygon>
      </lmg:Yta>
      <planbestammelsereferens>e9b76bd1-ab18-4473-a7e5-5cedd5ea26d9</planbestammelsereferens>
    </Lage>
    <Lage>
      <lmg:Yta>
        <lmg:absolutLagesosakerhetPlan>0</lmg:absolutLagesosakerhetPlan>
        <lmg:absolutLagesosakerhetHojd>0</lmg:absolutLagesosakerhetHojd>
        <lmg:hojdsystem>RH 2000</lmg:hojdsystem>
        <gml:Polygon gml:id="ID_b3a63e54-8a67-49ae-9033-95b1bbca9646" srsName="EPSG:3017" srsDimension="2">
          <gml:exterior>
            <gml:LinearRing gml:id="ID_f8a9b0aa-0b2c-4702-bc19-51aace56e0d4">
              <gml:posList>7302210.852 146676.969 7302198.852 146667.969 7302209.435 146655.658 7302228.105 146633.94 7302257.395 146652.941 7302286.307 146661.096 7302286.232 146661.669 7302271.489 146701.948 7302255.784 146697.514 7302253.852 146696.969 7302210.852 146676.969</gml:posList>
            </gml:LinearRing>
          </gml:exterior>
        </gml:Polygon>
      </lmg:Yta>
      <planbestammelsereferens>5243b680-47b5-4784-ba9a-e3834c788ec6</planbestammelsereferens>
    </Lage>
    <Lage>
      <lmg:Yta>
        <lmg:absolutLagesosakerhetPlan>0</lmg:absolutLagesosakerhetPlan>
        <lmg:absolutLagesosakerhetHojd>0</lmg:absolutLagesosakerhetHojd>
        <lmg:hojdsystem>RH 2000</lmg:hojdsystem>
        <gml:Polygon gml:id="ID_1ec5a03f-7f33-4351-82b6-2ac3ad93bab9" srsName="EPSG:3017" srsDimension="2">
          <gml:exterior>
            <gml:LinearRing gml:id="ID_e4e163b5-e035-4bef-80fd-20b2755f9617">
              <gml:posList>7302379.395 146671.941 7302302.169 146664.498 7302306.435 146628.395 7302325.953 146629.917 7302359.032 146634.509 7302403.532 146649.222 7302379.395 146671.941</gml:posList>
            </gml:LinearRing>
          </gml:exterior>
        </gml:Polygon>
      </lmg:Yta>
      <planbestammelsereferens>3bcfb833-88b1-4598-ad50-62d5889e32fb</planbestammelsereferens>
    </Lage>
    <Lage>
      <lmg:Yta>
        <lmg:absolutLagesosakerhetPlan>0</lmg:absolutLagesosakerhetPlan>
        <lmg:absolutLagesosakerhetHojd>0</lmg:absolutLagesosakerhetHojd>
        <lmg:hojdsystem>RH 2000</lmg:hojdsystem>
        <gml:Polygon gml:id="ID_3d8ec961-331c-43f8-a5de-b3dbdbbd9785" srsName="EPSG:3017" srsDimension="2">
          <gml:exterior>
            <gml:LinearRing gml:id="ID_b425ee9e-d0fe-4d0f-9a54-d3df94d612f2">
              <gml:posList>7302257.395 146652.941 7302228.105 146633.94 7302246.747 146612.253 7302262.644 146620.312 7302285.04 146626.727 7302290.77 146627.174 7302286.307 146661.096 7302257.395 146652.941</gml:posList>
            </gml:LinearRing>
          </gml:exterior>
        </gml:Polygon>
      </lmg:Yta>
      <planbestammelsereferens>4cbd30e7-657c-4f68-9917-f35df4aea5ab</planbestammelsereferens>
    </Lage>
    <Lage>
      <lmg:Yta>
        <lmg:absolutLagesosakerhetPlan>0</lmg:absolutLagesosakerhetPlan>
        <lmg:absolutLagesosakerhetHojd>0</lmg:absolutLagesosakerhetHojd>
        <lmg:hojdsystem>RH 2000</lmg:hojdsystem>
        <gml:Polygon gml:id="ID_55447d0f-3910-4f6e-8726-ad3f9ef349f0" srsName="EPSG:3017" srsDimension="2">
          <gml:exterior>
            <gml:LinearRing gml:id="ID_5bfb5673-673c-406d-9d8b-754a55cb7599">
              <gml:posList>7302384.819 146795.964 7302375.05 146777.465 7302382.59 146764.918 7302411.083 146761.398 7302431.903 146746.431 7302431.948 146746.399 7302398.935 146804.063 7302392.011 146800.09 7302384.819 146795.964</gml:posList>
            </gml:LinearRing>
          </gml:exterior>
        </gml:Polygon>
      </lmg:Yta>
      <planbestammelsereferens>dd83d890-63ae-470a-9d9b-834e3c891a43</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22d9bd41-d8ce-4228-a680-8caedc7b1ab1" srsName="EPSG:3017" srsDimension="2">
          <gml:exterior>
            <gml:LinearRing gml:id="ID_c32d505c-063a-452b-b90a-e56c0667a1f0">
              <gml:posList>7302434.439 146674.509 7302428.156 146671.988 7302433.653 146657.833 7302439.816 146660.307 7302434.439 146674.509</gml:posList>
            </gml:LinearRing>
          </gml:exterior>
        </gml:Polygon>
      </lmg:Yta>
      <planbestammelsereferens>a3b7c34f-ae74-41ce-8380-9fde5d1a8753</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7c21747f-3f30-4bd0-9150-9b682c1c351e" srsName="EPSG:3017" srsDimension="2">
          <gml:exterior>
            <gml:LinearRing gml:id="ID_2db0ef79-e57f-487e-bfc7-95cfabe48f49">
              <gml:posList>7302407.164 146808.784 7302398.935 146804.063 7302431.948 146746.399 7302446.286 146736.091 7302480.209 146679.102 7302482.737 146680.325 7302407.164 146808.784</gml:posList>
            </gml:LinearRing>
          </gml:exterior>
        </gml:Polygon>
      </lmg:Yta>
      <planbestammelsereferens>5a421021-e1a3-46bd-abab-0badcb6e7229</planbestammelsereferens>
    </Lage>
    <Indelning>
      <tema>Motiv till detaljplanens regleringar</tema>
      <grupp>Motiv till reglering</grupp>
    </Indelning>
  </Omfattning>
  <Omfattning>
    <identitet>mo_motivtillreglering24</identitet>
    <Lage>
      <lmg:Yta>
        <lmg:absolutLagesosakerhetPlan>0</lmg:absolutLagesosakerhetPlan>
        <lmg:absolutLagesosakerhetHojd>0</lmg:absolutLagesosakerhetHojd>
        <lmg:hojdsystem>RH 2000</lmg:hojdsystem>
        <gml:Polygon gml:id="ID_a1d9c6cc-9c0d-473b-b393-8b3547911e3c" srsName="EPSG:3017" srsDimension="2">
          <gml:exterior>
            <gml:LinearRing gml:id="ID_0398d97d-c182-4b1f-bc8f-c870766c3424">
              <gml:posList>7302339.589 146779.229 7302269.412 146747.452 7302274.894 146727.58 7302278.406 146717.943 7302280.808 146720.112 7302285.803 146723.597 7302297.951 146729.831 7302314.862 146736.457 7302324.306 146738.79 7302345.292 146736.379 7302358.353 146735.906 7302359.195 146735.976 7302367.218 146736.645 7302339.589 146779.229</gml:posList>
            </gml:LinearRing>
          </gml:exterior>
        </gml:Polygon>
      </lmg:Yta>
      <planbestammelsereferens>43fa3a00-baef-4840-adfb-d59e6c496b3e</planbestammelsereferens>
    </Lage>
    <Lage>
      <lmg:Yta>
        <lmg:absolutLagesosakerhetPlan>0</lmg:absolutLagesosakerhetPlan>
        <lmg:absolutLagesosakerhetHojd>0</lmg:absolutLagesosakerhetHojd>
        <lmg:hojdsystem>RH 2000</lmg:hojdsystem>
        <gml:Polygon gml:id="ID_097dcfee-ef10-4656-b502-a1371c5467d8" srsName="EPSG:3017" srsDimension="2">
          <gml:exterior>
            <gml:LinearRing gml:id="ID_fa1b5b6b-5f27-4e0a-afc1-d8cd143277ad">
              <gml:posList>7302169.6 146684.151 7302158.362 146673.985 7302190.328 146638.176 7302192.532 146640.211 7302209.435 146655.658 7302255.784 146697.514 7302268.688 146709.168 7302271.072 146711.32 7302265.524 146725.623 7302260.606 146743.465 7302209.665 146720.398 7302169.6 146684.151</gml:posList>
            </gml:LinearRing>
          </gml:exterior>
        </gml:Polygon>
      </lmg:Yta>
      <planbestammelsereferens>3c894dfa-470d-4b97-9a7f-c993a5b507fd</planbestammelsereferens>
    </Lage>
    <Lage>
      <lmg:Yta>
        <lmg:absolutLagesosakerhetPlan>0</lmg:absolutLagesosakerhetPlan>
        <lmg:absolutLagesosakerhetHojd>0</lmg:absolutLagesosakerhetHojd>
        <lmg:hojdsystem>RH 2000</lmg:hojdsystem>
        <gml:Polygon gml:id="ID_20226e4f-9162-4edc-ac3d-0d369b5e0ecb" srsName="EPSG:3017" srsDimension="2">
          <gml:exterior>
            <gml:LinearRing gml:id="ID_06b9eaf2-cea7-4cdd-a141-89aec496d227">
              <gml:posList>7302384.819 146795.964 7302375.05 146777.465 7302382.59 146764.918 7302411.083 146761.398 7302431.903 146746.431 7302431.948 146746.399 7302398.935 146804.063 7302392.011 146800.09 7302384.819 146795.964</gml:posList>
            </gml:LinearRing>
          </gml:exterior>
        </gml:Polygon>
      </lmg:Yta>
      <planbestammelsereferens>adf66c35-c65b-4ef3-9b1b-950ca6ff7d7c</planbestammelsereferens>
    </Lage>
    <Lage>
      <lmg:Yta>
        <lmg:absolutLagesosakerhetPlan>0</lmg:absolutLagesosakerhetPlan>
        <lmg:absolutLagesosakerhetHojd>0</lmg:absolutLagesosakerhetHojd>
        <lmg:hojdsystem>RH 2000</lmg:hojdsystem>
        <gml:Polygon gml:id="ID_20f80605-b145-4ac1-b9b7-03785aa172ef" srsName="EPSG:3017" srsDimension="2">
          <gml:exterior>
            <gml:LinearRing gml:id="ID_e992eb31-d958-4b20-90f3-c29e379b8dc0">
              <gml:posList>7302339.589 146779.229 7302269.412 146747.452 7302274.894 146727.58 7302278.406 146717.943 7302280.808 146720.112 7302285.803 146723.597 7302297.951 146729.831 7302314.862 146736.457 7302324.306 146738.79 7302345.292 146736.379 7302358.353 146735.906 7302359.195 146735.976 7302367.218 146736.645 7302339.589 146779.229</gml:posList>
            </gml:LinearRing>
          </gml:exterior>
        </gml:Polygon>
      </lmg:Yta>
      <planbestammelsereferens>43fa3a00-baef-4840-adfb-d59e6c496b3e</planbestammelsereferens>
    </Lage>
    <Lage>
      <lmg:Yta>
        <lmg:absolutLagesosakerhetPlan>0</lmg:absolutLagesosakerhetPlan>
        <lmg:absolutLagesosakerhetHojd>0</lmg:absolutLagesosakerhetHojd>
        <lmg:hojdsystem>RH 2000</lmg:hojdsystem>
        <gml:Polygon gml:id="ID_a91ea4ce-8430-46f3-b6b6-04e31308f2d2" srsName="EPSG:3017" srsDimension="2">
          <gml:exterior>
            <gml:LinearRing gml:id="ID_14f3a41b-69a2-4406-8245-4d05e3ce033a">
              <gml:posList>7302169.6 146684.151 7302158.362 146673.985 7302190.328 146638.176 7302192.532 146640.211 7302209.435 146655.658 7302255.784 146697.514 7302268.688 146709.168 7302271.072 146711.32 7302265.524 146725.623 7302260.606 146743.465 7302209.665 146720.398 7302169.6 146684.151</gml:posList>
            </gml:LinearRing>
          </gml:exterior>
        </gml:Polygon>
      </lmg:Yta>
      <planbestammelsereferens>3c894dfa-470d-4b97-9a7f-c993a5b507fd</planbestammelsereferens>
    </Lage>
    <Lage>
      <lmg:Yta>
        <lmg:absolutLagesosakerhetPlan>0</lmg:absolutLagesosakerhetPlan>
        <lmg:absolutLagesosakerhetHojd>0</lmg:absolutLagesosakerhetHojd>
        <lmg:hojdsystem>RH 2000</lmg:hojdsystem>
        <gml:Polygon gml:id="ID_16eff091-5a9c-44ce-83d8-5568ed09fbaf" srsName="EPSG:3017" srsDimension="2">
          <gml:exterior>
            <gml:LinearRing gml:id="ID_f30f5601-e765-463b-884c-67addc8bfa15">
              <gml:posList>7302384.819 146795.964 7302375.05 146777.465 7302382.59 146764.918 7302411.083 146761.398 7302431.903 146746.431 7302431.948 146746.399 7302398.935 146804.063 7302392.011 146800.09 7302384.819 146795.964</gml:posList>
            </gml:LinearRing>
          </gml:exterior>
        </gml:Polygon>
      </lmg:Yta>
      <planbestammelsereferens>adf66c35-c65b-4ef3-9b1b-950ca6ff7d7c</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29679929-bf08-4321-8631-a9a9ddbcabb6" srsName="EPSG:3017" srsDimension="2">
          <gml:exterior>
            <gml:LinearRing gml:id="ID_0686a072-725f-413d-b7b8-0e74efd7d2ea">
              <gml:posList>7302338.283 146775.345 7302272.986 146745.777 7302277.754 146728.494 7302280.808 146720.112 7302285.951 146706.031 7302338.852 146720.969 7302348.852 146700.969 7302379.395 146671.941 7302403.532 146649.222 7302407.053 146650.385 7302429.783 146659.512 7302426.162 146668.836 7302378.993 146698.704 7302359.195 146735.976 7302338.283 146775.345</gml:posList>
            </gml:LinearRing>
          </gml:exterior>
        </gml:Polygon>
      </lmg:Yta>
      <planbestammelsereferens>6771aae4-c6df-4aac-ba8b-71bdc8c8e2ea</planbestammelsereferens>
    </Lage>
    <Lage>
      <lmg:Yta>
        <lmg:absolutLagesosakerhetPlan>0</lmg:absolutLagesosakerhetPlan>
        <lmg:absolutLagesosakerhetHojd>0</lmg:absolutLagesosakerhetHojd>
        <lmg:hojdsystem>RH 2000</lmg:hojdsystem>
        <gml:Polygon gml:id="ID_b935839b-3a79-4b42-bf48-9eb79ef0c5f1" srsName="EPSG:3017" srsDimension="2">
          <gml:exterior>
            <gml:LinearRing gml:id="ID_79b7a876-e833-47f1-a670-a83825928d07">
              <gml:posList>7302338.852 146720.969 7302285.951 146706.031 7302301.823 146667.344 7302302.169 146664.498 7302379.395 146671.941 7302348.852 146700.969 7302338.852 146720.969</gml:posList>
            </gml:LinearRing>
          </gml:exterior>
        </gml:Polygon>
      </lmg:Yta>
      <planbestammelsereferens>fa8e39b1-fd71-4b04-9f1c-1fe5f7960743</planbestammelsereferens>
    </Lage>
    <Lage>
      <lmg:Yta>
        <lmg:absolutLagesosakerhetPlan>0</lmg:absolutLagesosakerhetPlan>
        <lmg:absolutLagesosakerhetHojd>0</lmg:absolutLagesosakerhetHojd>
        <lmg:hojdsystem>RH 2000</lmg:hojdsystem>
        <gml:Polygon gml:id="ID_430e052a-5aae-4e39-af39-b2db12a1c4be" srsName="EPSG:3017" srsDimension="2">
          <gml:exterior>
            <gml:LinearRing gml:id="ID_e1ab8127-e527-471c-b175-10a63e3a9bdb">
              <gml:posList>7302379.395 146671.941 7302302.169 146664.498 7302306.435 146628.395 7302325.953 146629.917 7302359.032 146634.509 7302403.532 146649.222 7302379.395 146671.941</gml:posList>
            </gml:LinearRing>
          </gml:exterior>
        </gml:Polygon>
      </lmg:Yta>
      <planbestammelsereferens>5b08e41a-3408-4f2b-9bee-e72b078e0c7d</planbestammelsereferens>
    </Lage>
    <Lage>
      <lmg:Yta>
        <lmg:absolutLagesosakerhetPlan>0</lmg:absolutLagesosakerhetPlan>
        <lmg:absolutLagesosakerhetHojd>0</lmg:absolutLagesosakerhetHojd>
        <lmg:hojdsystem>RH 2000</lmg:hojdsystem>
        <gml:Polygon gml:id="ID_d16bec20-2546-4305-9e84-52b3137e6725" srsName="EPSG:3017" srsDimension="2">
          <gml:exterior>
            <gml:LinearRing gml:id="ID_e771869b-b076-43e6-b750-38980c60ec7c">
              <gml:posList>7302257.395 146652.941 7302228.105 146633.94 7302246.747 146612.253 7302262.644 146620.312 7302285.04 146626.727 7302290.77 146627.174 7302286.307 146661.096 7302257.395 146652.941</gml:posList>
            </gml:LinearRing>
          </gml:exterior>
        </gml:Polygon>
      </lmg:Yta>
      <planbestammelsereferens>d4393073-8d2b-4878-8bbe-b5785ebfbef5</planbestammelsereferens>
    </Lage>
    <Lage>
      <lmg:Yta>
        <lmg:absolutLagesosakerhetPlan>0</lmg:absolutLagesosakerhetPlan>
        <lmg:absolutLagesosakerhetHojd>0</lmg:absolutLagesosakerhetHojd>
        <lmg:hojdsystem>RH 2000</lmg:hojdsystem>
        <gml:Polygon gml:id="ID_6526e0a2-cfc3-498d-8397-8b0ec3cb9e7c" srsName="EPSG:3017" srsDimension="2">
          <gml:exterior>
            <gml:LinearRing gml:id="ID_8462d92c-fe94-408b-b2d4-983959c7b932">
              <gml:posList>7302210.852 146676.969 7302198.852 146667.969 7302209.435 146655.658 7302228.105 146633.94 7302257.395 146652.941 7302286.307 146661.096 7302286.232 146661.669 7302271.489 146701.948 7302255.784 146697.514 7302253.852 146696.969 7302210.852 146676.969</gml:posList>
            </gml:LinearRing>
          </gml:exterior>
        </gml:Polygon>
      </lmg:Yta>
      <planbestammelsereferens>59437512-334a-49f3-b07e-89804e0a38d2</planbestammelsereferens>
    </Lage>
    <Lage>
      <lmg:Yta>
        <lmg:absolutLagesosakerhetPlan>0</lmg:absolutLagesosakerhetPlan>
        <lmg:absolutLagesosakerhetHojd>0</lmg:absolutLagesosakerhetHojd>
        <lmg:hojdsystem>RH 2000</lmg:hojdsystem>
        <gml:Polygon gml:id="ID_1420a780-43da-4fc1-a5b1-8e05f13bd3ae" srsName="EPSG:3017" srsDimension="2">
          <gml:exterior>
            <gml:LinearRing gml:id="ID_c2076673-7180-4efc-a268-ee82f6b0b2a3">
              <gml:posList>7302211.33 146717.859 7302162.585 146673.759 7302192.532 146640.211 7302210.636 146619.93 7302226.873 146619.651 7302235.356 146606.456 7302246.747 146612.253 7302228.105 146633.94 7302209.435 146655.658 7302198.852 146667.969 7302210.852 146676.969 7302253.852 146696.969 7302255.784 146697.514 7302271.489 146701.948 7302268.688 146709.168 7302262.672 146724.679 7302258.646 146739.284 7302211.33 146717.859</gml:posList>
            </gml:LinearRing>
          </gml:exterior>
        </gml:Polygon>
      </lmg:Yta>
      <planbestammelsereferens>b71f532d-afb5-4c21-bf39-930dc50fbb09</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71e3a112-103f-498e-8c84-1c96c6b62e7c" srsName="EPSG:3017" srsDimension="2">
          <gml:exterior>
            <gml:LinearRing gml:id="ID_46418f48-095d-4bd2-8c49-9fd577ab030f">
              <gml:posList>7302384.819 146795.964 7302375.05 146777.465 7302382.59 146764.918 7302411.083 146761.398 7302431.903 146746.431 7302431.948 146746.399 7302446.286 146736.091 7302480.209 146679.102 7302482.737 146680.325 7302407.164 146808.784 7302398.935 146804.063 7302392.011 146800.09 7302384.819 146795.964</gml:posList>
            </gml:LinearRing>
          </gml:exterior>
        </gml:Polygon>
      </lmg:Yta>
      <planbestammelsereferens>91db74cf-2392-4a1d-9122-8a87b5cf23a2</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41aae5c8-dd69-458f-9209-dc9aab6cfd89" srsName="EPSG:3017" srsDimension="2">
          <gml:exterior>
            <gml:LinearRing gml:id="ID_351da6ae-a5f3-44a6-a1be-2bf83dad8f8f">
              <gml:posList>7302379.395 146671.941 7302302.169 146664.498 7302306.435 146628.395 7302325.953 146629.917 7302359.032 146634.509 7302403.532 146649.222 7302379.395 146671.941</gml:posList>
            </gml:LinearRing>
          </gml:exterior>
        </gml:Polygon>
      </lmg:Yta>
      <planbestammelsereferens>adb34632-2bb8-4d54-8e59-343a4ecaae6d</planbestammelsereferens>
    </Lage>
    <Lage>
      <lmg:Yta>
        <lmg:absolutLagesosakerhetPlan>0</lmg:absolutLagesosakerhetPlan>
        <lmg:absolutLagesosakerhetHojd>0</lmg:absolutLagesosakerhetHojd>
        <lmg:hojdsystem>RH 2000</lmg:hojdsystem>
        <gml:Polygon gml:id="ID_4a677064-e358-40b4-a5a8-f16e711e569f" srsName="EPSG:3017" srsDimension="2">
          <gml:exterior>
            <gml:LinearRing gml:id="ID_1bcd45c3-758d-4e0f-a94f-995f94da192d">
              <gml:posList>7302257.395 146652.941 7302228.105 146633.94 7302246.747 146612.253 7302262.644 146620.312 7302285.04 146626.727 7302290.77 146627.174 7302286.307 146661.096 7302257.395 146652.941</gml:posList>
            </gml:LinearRing>
          </gml:exterior>
        </gml:Polygon>
      </lmg:Yta>
      <planbestammelsereferens>955ac395-fcdc-4134-86d4-0f519020296e</planbestammelsereferens>
    </Lage>
    <Indelning>
      <tema>Motiv till detaljplanens regleringar</tema>
      <grupp>Motiv till reglering</grupp>
    </Indelning>
  </Omfattning>
  <Omfattning>
    <identitet>mo_motivtillreglering21</identitet>
    <Lage>
      <lmg:Yta>
        <lmg:absolutLagesosakerhetPlan>0</lmg:absolutLagesosakerhetPlan>
        <lmg:absolutLagesosakerhetHojd>0</lmg:absolutLagesosakerhetHojd>
        <lmg:hojdsystem>RH 2000</lmg:hojdsystem>
        <gml:Polygon gml:id="ID_3929212a-e393-481a-8dd9-7a8c326d2a38" srsName="EPSG:3017" srsDimension="2">
          <gml:exterior>
            <gml:LinearRing gml:id="ID_01858cee-7ad3-4171-b055-630c8e8a17e5">
              <gml:posList>7302384.819 146795.964 7302375.05 146777.465 7302382.59 146764.918 7302411.083 146761.398 7302431.903 146746.431 7302431.948 146746.399 7302398.935 146804.063 7302392.011 146800.09 7302384.819 146795.964</gml:posList>
            </gml:LinearRing>
          </gml:exterior>
        </gml:Polygon>
      </lmg:Yta>
      <planbestammelsereferens>03a3e379-77f7-41ff-9d5f-eb6a5213ea2a</planbestammelsereferens>
    </Lage>
    <Lage>
      <lmg:Yta>
        <lmg:absolutLagesosakerhetPlan>0</lmg:absolutLagesosakerhetPlan>
        <lmg:absolutLagesosakerhetHojd>0</lmg:absolutLagesosakerhetHojd>
        <lmg:hojdsystem>RH 2000</lmg:hojdsystem>
        <gml:Polygon gml:id="ID_67cb0231-f261-4805-bd19-434b80ce4756" srsName="EPSG:3017" srsDimension="2">
          <gml:exterior>
            <gml:LinearRing gml:id="ID_1a964090-cf4a-4efa-a5d1-0273eb283d8f">
              <gml:posList>7302384.819 146795.964 7302375.05 146777.465 7302382.59 146764.918 7302411.083 146761.398 7302431.903 146746.431 7302431.948 146746.399 7302398.935 146804.063 7302392.011 146800.09 7302384.819 146795.964</gml:posList>
            </gml:LinearRing>
          </gml:exterior>
        </gml:Polygon>
      </lmg:Yta>
      <planbestammelsereferens>03a3e379-77f7-41ff-9d5f-eb6a5213ea2a</planbestammelsereferens>
    </Lage>
    <Indelning>
      <tema>Motiv till detaljplanens regleringar</tema>
      <grupp>Motiv till reglering</grupp>
    </Indelning>
  </Omfattning>
  <Omfattning>
    <identitet>mo_motivtillreglering20</identitet>
    <Lage>
      <lmg:Yta>
        <lmg:absolutLagesosakerhetPlan>0</lmg:absolutLagesosakerhetPlan>
        <lmg:absolutLagesosakerhetHojd>0</lmg:absolutLagesosakerhetHojd>
        <lmg:hojdsystem>RH 2000</lmg:hojdsystem>
        <gml:Polygon gml:id="ID_18f8301f-0ca3-405a-ada5-bb219f572994" srsName="EPSG:3017" srsDimension="2">
          <gml:exterior>
            <gml:LinearRing gml:id="ID_698e7841-96a7-45fe-b630-74d2a14a93f7">
              <gml:posList>7302379.395 146671.941 7302302.169 146664.498 7302306.435 146628.395 7302325.953 146629.917 7302359.032 146634.509 7302403.532 146649.222 7302379.395 146671.941</gml:posList>
            </gml:LinearRing>
          </gml:exterior>
        </gml:Polygon>
      </lmg:Yta>
      <planbestammelsereferens>83c90b2c-945c-44df-8fa9-0e63958d88bd</planbestammelsereferens>
    </Lage>
    <Lage>
      <lmg:Yta>
        <lmg:absolutLagesosakerhetPlan>0</lmg:absolutLagesosakerhetPlan>
        <lmg:absolutLagesosakerhetHojd>0</lmg:absolutLagesosakerhetHojd>
        <lmg:hojdsystem>RH 2000</lmg:hojdsystem>
        <gml:Polygon gml:id="ID_b54857c5-1e15-4c4e-9aec-6ffdc06124ac" srsName="EPSG:3017" srsDimension="2">
          <gml:exterior>
            <gml:LinearRing gml:id="ID_5d6bd416-023c-4089-b4cb-9e5c8522fd87">
              <gml:posList>7302257.395 146652.941 7302228.105 146633.94 7302246.747 146612.253 7302262.644 146620.312 7302285.04 146626.727 7302290.77 146627.174 7302286.307 146661.096 7302257.395 146652.941</gml:posList>
            </gml:LinearRing>
          </gml:exterior>
        </gml:Polygon>
      </lmg:Yta>
      <planbestammelsereferens>8a76cb68-73af-4591-9a20-fc57c6297d7e</planbestammelsereferens>
    </Lage>
    <Lage>
      <lmg:Yta>
        <lmg:absolutLagesosakerhetPlan>0</lmg:absolutLagesosakerhetPlan>
        <lmg:absolutLagesosakerhetHojd>0</lmg:absolutLagesosakerhetHojd>
        <lmg:hojdsystem>RH 2000</lmg:hojdsystem>
        <gml:Polygon gml:id="ID_f1a5e447-f5fe-4a2f-a6ac-1c288159d10b" srsName="EPSG:3017" srsDimension="2">
          <gml:exterior>
            <gml:LinearRing gml:id="ID_c6d561be-941a-48ab-ba5a-7885d53e6494">
              <gml:posList>7302338.852 146720.969 7302285.951 146706.031 7302301.823 146667.344 7302302.169 146664.498 7302379.395 146671.941 7302348.852 146700.969 7302338.852 146720.969</gml:posList>
            </gml:LinearRing>
          </gml:exterior>
        </gml:Polygon>
      </lmg:Yta>
      <planbestammelsereferens>26a6c8e5-6a78-4fc1-8ae8-0d793fbbabeb</planbestammelsereferens>
    </Lage>
    <Lage>
      <lmg:Yta>
        <lmg:absolutLagesosakerhetPlan>0</lmg:absolutLagesosakerhetPlan>
        <lmg:absolutLagesosakerhetHojd>0</lmg:absolutLagesosakerhetHojd>
        <lmg:hojdsystem>RH 2000</lmg:hojdsystem>
        <gml:Polygon gml:id="ID_00b87d11-3204-4e86-a8e7-f6a5be40a62d" srsName="EPSG:3017" srsDimension="2">
          <gml:exterior>
            <gml:LinearRing gml:id="ID_538a63ed-cda7-4b24-883a-b2f8bf026d96">
              <gml:posList>7302210.852 146676.969 7302198.852 146667.969 7302209.435 146655.658 7302228.105 146633.94 7302257.395 146652.941 7302286.307 146661.096 7302286.232 146661.669 7302271.489 146701.948 7302255.784 146697.514 7302253.852 146696.969 7302210.852 146676.969</gml:posList>
            </gml:LinearRing>
          </gml:exterior>
        </gml:Polygon>
      </lmg:Yta>
      <planbestammelsereferens>09d048c5-07f7-4a53-b663-109dbfb06d90</planbestammelsereferens>
    </Lage>
    <Lage>
      <lmg:Yta>
        <lmg:absolutLagesosakerhetPlan>0</lmg:absolutLagesosakerhetPlan>
        <lmg:absolutLagesosakerhetHojd>0</lmg:absolutLagesosakerhetHojd>
        <lmg:hojdsystem>RH 2000</lmg:hojdsystem>
        <gml:Polygon gml:id="ID_fde68fd0-6252-4ca8-aa63-1cfa3d44ab3f" srsName="EPSG:3017" srsDimension="2">
          <gml:exterior>
            <gml:LinearRing gml:id="ID_c789abb2-a30c-440e-bc55-701a1711a952">
              <gml:posList>7302338.283 146775.345 7302272.986 146745.777 7302277.754 146728.494 7302280.808 146720.112 7302285.951 146706.031 7302338.852 146720.969 7302348.852 146700.969 7302379.395 146671.941 7302403.532 146649.222 7302407.053 146650.385 7302429.783 146659.512 7302426.162 146668.836 7302378.993 146698.704 7302359.195 146735.976 7302338.283 146775.345</gml:posList>
            </gml:LinearRing>
          </gml:exterior>
        </gml:Polygon>
      </lmg:Yta>
      <planbestammelsereferens>dd71cfa4-5b49-48ad-9d94-e158d8c341c9</planbestammelsereferens>
    </Lage>
    <Lage>
      <lmg:Yta>
        <lmg:absolutLagesosakerhetPlan>0</lmg:absolutLagesosakerhetPlan>
        <lmg:absolutLagesosakerhetHojd>0</lmg:absolutLagesosakerhetHojd>
        <lmg:hojdsystem>RH 2000</lmg:hojdsystem>
        <gml:Polygon gml:id="ID_0130ede4-6ac4-46fa-b92c-78b516959522" srsName="EPSG:3017" srsDimension="2">
          <gml:exterior>
            <gml:LinearRing gml:id="ID_bb4cb825-1564-4050-8717-44e4ed2cecb6">
              <gml:posList>7302211.33 146717.859 7302162.585 146673.759 7302192.532 146640.211 7302210.636 146619.93 7302226.873 146619.651 7302235.356 146606.456 7302246.747 146612.253 7302228.105 146633.94 7302209.435 146655.658 7302198.852 146667.969 7302210.852 146676.969 7302253.852 146696.969 7302255.784 146697.514 7302271.489 146701.948 7302268.688 146709.168 7302262.672 146724.679 7302258.646 146739.284 7302211.33 146717.859</gml:posList>
            </gml:LinearRing>
          </gml:exterior>
        </gml:Polygon>
      </lmg:Yta>
      <planbestammelsereferens>3050276e-4b75-41fe-9016-9f437d5ec234</planbestammelsereferens>
    </Lage>
    <Indelning>
      <tema>Motiv till detaljplanens regleringar</tema>
      <grupp>Motiv till reglering</grupp>
    </Indelning>
  </Omfattning>
  <Omfattning>
    <identitet>mo_motivtillreglering10</identitet>
    <Lage>
      <lmg:Yta>
        <lmg:absolutLagesosakerhetPlan>0.1</lmg:absolutLagesosakerhetPlan>
        <lmg:absolutLagesosakerhetHojd>0</lmg:absolutLagesosakerhetHojd>
        <lmg:hojdsystem>RH 2000</lmg:hojdsystem>
        <gml:Polygon gml:id="ID_14a15bb5-e150-40e9-980c-1045dfb9ba55" srsName="EPSG:3017" srsDimension="2">
          <gml:exterior>
            <gml:LinearRing gml:id="ID_88941c47-769e-4fb6-be33-9df757040bc7">
              <gml:posList>7302407.164 146808.784 7302398.935 146804.063 7302431.948 146746.399 7302446.286 146736.091 7302480.209 146679.102 7302482.737 146680.325 7302407.164 146808.784</gml:posList>
            </gml:LinearRing>
          </gml:exterior>
        </gml:Polygon>
      </lmg:Yta>
      <planbestammelsereferens>8472fae9-122e-4200-bad1-94e9699761f0</planbestammelsereferens>
    </Lage>
    <Indelning>
      <tema>Motiv till detaljplanens regleringar</tema>
      <grupp>Motiv till reglering</grupp>
    </Indelning>
  </Omfattning>
  <Omfattning>
    <identitet>mo_motivtillreglering23</identitet>
    <Lage>
      <lmg:Yta>
        <lmg:absolutLagesosakerhetPlan>0</lmg:absolutLagesosakerhetPlan>
        <lmg:absolutLagesosakerhetHojd>0</lmg:absolutLagesosakerhetHojd>
        <lmg:hojdsystem>RH 2000</lmg:hojdsystem>
        <gml:Polygon gml:id="ID_0aa4e67b-257d-48b5-bd10-5ac9989e66c6" srsName="EPSG:3017" srsDimension="2">
          <gml:exterior>
            <gml:LinearRing gml:id="ID_97f02445-4670-4362-95a2-67b0c5c88f13">
              <gml:posList>7302338.852 146720.969 7302285.951 146706.031 7302301.823 146667.344 7302302.169 146664.498 7302379.395 146671.941 7302348.852 146700.969 7302338.852 146720.969</gml:posList>
            </gml:LinearRing>
          </gml:exterior>
        </gml:Polygon>
      </lmg:Yta>
      <planbestammelsereferens>be041c0b-94b7-4ba7-9e2c-5897cbe7b459</planbestammelsereferens>
    </Lage>
    <Lage>
      <lmg:Yta>
        <lmg:absolutLagesosakerhetPlan>0</lmg:absolutLagesosakerhetPlan>
        <lmg:absolutLagesosakerhetHojd>0</lmg:absolutLagesosakerhetHojd>
        <lmg:hojdsystem>RH 2000</lmg:hojdsystem>
        <gml:Polygon gml:id="ID_b50ae768-20d8-4967-b5db-2b11ba1ee1a6" srsName="EPSG:3017" srsDimension="2">
          <gml:exterior>
            <gml:LinearRing gml:id="ID_c1063a6e-8ae1-4b2c-8aa1-0e65e3c96437">
              <gml:posList>7302210.852 146676.969 7302198.852 146667.969 7302209.435 146655.658 7302228.105 146633.94 7302257.395 146652.941 7302286.307 146661.096 7302286.232 146661.669 7302271.489 146701.948 7302255.784 146697.514 7302253.852 146696.969 7302210.852 146676.969</gml:posList>
            </gml:LinearRing>
          </gml:exterior>
        </gml:Polygon>
      </lmg:Yta>
      <planbestammelsereferens>6b98ab35-da96-4dee-834b-3208aaccef79</planbestammelsereferens>
    </Lage>
    <Indelning>
      <tema>Motiv till detaljplanens regleringar</tema>
      <grupp>Motiv till reglering</grupp>
    </Indelning>
  </Omfattning>
  <Omfattning>
    <identitet>mo_motivtillreglering07</identitet>
    <Lage>
      <lmg:Yta>
        <lmg:absolutLagesosakerhetPlan>0.1</lmg:absolutLagesosakerhetPlan>
        <lmg:absolutLagesosakerhetHojd>0</lmg:absolutLagesosakerhetHojd>
        <lmg:hojdsystem>RH 2000</lmg:hojdsystem>
        <gml:Polygon gml:id="ID_c93e08ad-8a64-46dd-8322-37c184ed34c4" srsName="EPSG:3017" srsDimension="2">
          <gml:exterior>
            <gml:LinearRing gml:id="ID_6ab9b179-8f19-4cfd-8e8d-e96ab59aec1d">
              <gml:posList>7302190.328 146638.176 7302158.362 146673.985 7302169.6 146684.151 7302151.228 146708.168 7302125.228 146689.183 7302157.486 146640.268 7302173.001 146622.183 7302190.328 146638.176</gml:posList>
            </gml:LinearRing>
          </gml:exterior>
        </gml:Polygon>
      </lmg:Yta>
      <planbestammelsereferens>138ae52d-04c6-44e2-bdf6-b6a397500612</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d69abead-baf9-44da-9fd9-117bbd660e90" srsName="EPSG:3017" srsDimension="2">
          <gml:exterior>
            <gml:LinearRing gml:id="ID_cb000638-5bce-4168-bcbb-292d48e76a78">
              <gml:posList>7302382.59 146764.918 7302375.05 146777.465 7302384.819 146795.964 7302392.011 146800.09 7302375.504 146828.587 7302323.396 146810.214 7302339.589 146779.229 7302367.218 146736.645 7302392.178 146738.727 7302431.903 146746.431 7302411.083 146761.398 7302382.59 146764.918</gml:posList>
            </gml:LinearRing>
          </gml:exterior>
        </gml:Polygon>
      </lmg:Yta>
      <planbestammelsereferens>8f6b6d22-285c-41d9-a698-532676fa2eff</planbestammelsereferens>
    </Lage>
    <Lage>
      <lmg:Yta>
        <lmg:absolutLagesosakerhetPlan>0</lmg:absolutLagesosakerhetPlan>
        <lmg:absolutLagesosakerhetHojd>0</lmg:absolutLagesosakerhetHojd>
        <lmg:hojdsystem>RH 2000</lmg:hojdsystem>
        <gml:Polygon gml:id="ID_8ec0766a-9b86-4f9b-b15d-b4058f49c5b1" srsName="EPSG:3017" srsDimension="2">
          <gml:exterior>
            <gml:LinearRing gml:id="ID_122f0a5d-f323-44e7-bf17-32d48761be12">
              <gml:posList>7302382.59 146764.918 7302375.05 146777.465 7302384.819 146795.964 7302392.011 146800.09 7302375.504 146828.587 7302323.396 146810.214 7302339.589 146779.229 7302367.218 146736.645 7302392.178 146738.727 7302431.903 146746.431 7302411.083 146761.398 7302382.59 146764.918</gml:posList>
            </gml:LinearRing>
          </gml:exterior>
        </gml:Polygon>
      </lmg:Yta>
      <planbestammelsereferens>8f6b6d22-285c-41d9-a698-532676fa2eff</planbestammelsereferens>
    </Lage>
    <Indelning>
      <tema>Motiv till detaljplanens regleringar</tema>
      <grupp>Motiv till reglering</grupp>
    </Indelning>
  </Omfattning>
  <Omfattning>
    <identitet>mo_motivtillreglering01</identitet>
    <Lage>
      <lmg:Yta>
        <lmg:absolutLagesosakerhetPlan>0</lmg:absolutLagesosakerhetPlan>
        <lmg:absolutLagesosakerhetHojd>0</lmg:absolutLagesosakerhetHojd>
        <lmg:hojdsystem>RH 2000</lmg:hojdsystem>
        <gml:Polygon gml:id="ID_d7b88926-eab4-421f-9233-9aea8328acae" srsName="EPSG:3017" srsDimension="2">
          <gml:exterior>
            <gml:LinearRing gml:id="ID_22a31b42-9d16-4899-92d0-26c5725d319f">
              <gml:posList>7302382.59 146764.918 7302375.05 146777.465 7302384.819 146795.964 7302392.011 146800.09 7302398.935 146804.063 7302407.164 146808.784 7302397.296 146825.556 7302392.018 146834.529 7302392.419 146834.709 7302393.934 146835.9 7302396.045 146836.882 7302398.649 146837.567 7302401.243 146837.947 7302406.435 146838.303 7302410.047 146838.474 7302411.335 146838.596 7302413.035 146838.757 7302418.344 146839.618 7302420.944 146840.295 7302422.245 146840.583 7302426.548 146841.051 7302429.619 146841.446 7302430.029 146842.225 7302425.552 146846.054 7302398.075 146840.749 7302360.944 146835.115 7302337.39 146837.22 7302324.999 146838.356 7302318.119 146838.369 7302299.782 146835.696 7302283.541 146830.94 7302270.988 146826.304 7302246.667 146816.339 7302227.563 146804.278 7302214.561 146794.73 7302196.014 146777.802 7302148.323 146734.281 7302114.436 146704.748 7302125.228 146689.183 7302157.486 146640.268 7302173.001 146622.183 7302199.135 146591.722 7302212.07 146588.164 7302231.366 146601.059 7302234.299 146602.552 7302225.217 146616.679 7302209.272 146616.953 7302190.328 146638.176 7302158.362 146673.985 7302169.6 146684.151 7302209.665 146720.398 7302260.606 146743.465 7302265.524 146725.623 7302271.072 146711.32 7302289.163 146662.389 7302294.157 146624.429 7302303.794 146625.18 7302303.442 146628.162 7302298.894 146666.58 7302283.045 146705.21 7302278.406 146717.943 7302274.894 146727.58 7302269.412 146747.452 7302339.589 146779.229 7302367.218 146736.645 7302389.624 146702.11 7302428.156 146671.988 7302434.439 146674.509 7302439.816 146660.307 7302448.865 146663.941 7302448.869 146663.943 7302480.209 146679.102 7302446.286 146736.091 7302431.948 146746.399 7302431.903 146746.431 7302411.083 146761.398 7302382.59 146764.918</gml:posList>
            </gml:LinearRing>
          </gml:exterior>
        </gml:Polygon>
      </lmg:Yta>
      <planbestammelsereferens>fd3bc5b9-f102-4d67-aed7-a2533d3d90b7</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1eb1bfa2-c085-49b7-9b6b-da7c88bb9829" srsName="EPSG:3017" srsDimension="2">
          <gml:exterior>
            <gml:LinearRing gml:id="ID_b24888af-8422-4de2-b34d-1aaf087cca8a">
              <gml:posList>7302434.439 146674.509 7302428.156 146671.988 7302433.653 146657.833 7302439.816 146660.307 7302434.439 146674.509</gml:posList>
            </gml:LinearRing>
          </gml:exterior>
        </gml:Polygon>
      </lmg:Yta>
      <planbestammelsereferens>9f949c58-da52-40d0-be90-bec7eeb21bc0</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7da970ee-e701-438f-8270-951ff50e4877" srsName="EPSG:3017" srsDimension="2">
          <gml:exterior>
            <gml:LinearRing gml:id="ID_6100df1f-ac05-41b8-878d-3d8b172bc735">
              <gml:posList>7302339.589 146779.229 7302269.412 146747.452 7302274.894 146727.58 7302278.406 146717.943 7302283.045 146705.21 7302298.894 146666.58 7302303.442 146628.162 7302303.794 146625.18 7302326.273 146626.933 7302326.277 146626.933 7302359.712 146631.574 7302359.716 146631.575 7302408.075 146647.564 7302408.079 146647.565 7302433.653 146657.833 7302428.156 146671.988 7302389.624 146702.11 7302367.218 146736.645 7302339.589 146779.229</gml:posList>
            </gml:LinearRing>
          </gml:exterior>
        </gml:Polygon>
      </lmg:Yta>
      <planbestammelsereferens>0e404c31-9b99-4699-8cf4-c8c15f1b18f1</planbestammelsereferens>
    </Lage>
    <Lage>
      <lmg:Yta>
        <lmg:absolutLagesosakerhetPlan>0</lmg:absolutLagesosakerhetPlan>
        <lmg:absolutLagesosakerhetHojd>0</lmg:absolutLagesosakerhetHojd>
        <lmg:hojdsystem>RH 2000</lmg:hojdsystem>
        <gml:Polygon gml:id="ID_dd2c7786-5596-4eca-9cc8-550908d3df78" srsName="EPSG:3017" srsDimension="2">
          <gml:exterior>
            <gml:LinearRing gml:id="ID_5d4f2689-2f6f-4938-bc5e-7f33527445e9">
              <gml:posList>7302169.6 146684.151 7302158.362 146673.985 7302190.328 146638.176 7302209.272 146616.953 7302225.217 146616.679 7302234.299 146602.552 7302263.74 146617.535 7302285.52 146623.755 7302294.157 146624.429 7302289.163 146662.389 7302271.072 146711.32 7302265.524 146725.623 7302260.606 146743.465 7302209.665 146720.398 7302169.6 146684.151</gml:posList>
            </gml:LinearRing>
          </gml:exterior>
        </gml:Polygon>
      </lmg:Yta>
      <planbestammelsereferens>3d6d303f-204e-48a1-80dd-774d9cfe90dd</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c90c9534-ef75-4c7d-8a8e-c18590c62ee8" srsName="EPSG:3017" srsDimension="2">
          <gml:exterior>
            <gml:LinearRing gml:id="ID_156d6366-d190-4327-bed9-e6271da2c428">
              <gml:posList>7302382.59 146764.918 7302375.05 146777.465 7302384.819 146795.964 7302392.011 146800.09 7302375.504 146828.587 7302323.396 146810.214 7302339.589 146779.229 7302367.218 146736.645 7302392.178 146738.727 7302431.903 146746.431 7302411.083 146761.398 7302382.59 146764.918</gml:posList>
            </gml:LinearRing>
          </gml:exterior>
        </gml:Polygon>
      </lmg:Yta>
      <planbestammelsereferens>0de93aa8-c234-4ee2-8cc2-34a83a7144a5</planbestammelsereferens>
    </Lage>
    <Indelning>
      <tema>Motiv till detaljplanens regleringar</tema>
      <grupp>Motiv till reglering</grupp>
    </Indelning>
  </Omfattning>
  <Omfattning>
    <identitet>mo_motivtillreglering11</identitet>
    <Lage>
      <lmg:Yta>
        <lmg:absolutLagesosakerhetPlan>0.1</lmg:absolutLagesosakerhetPlan>
        <lmg:absolutLagesosakerhetHojd>0</lmg:absolutLagesosakerhetHojd>
        <lmg:hojdsystem>RH 2000</lmg:hojdsystem>
        <gml:Polygon gml:id="ID_79460cbf-c039-4b5e-ae74-8f0b3fd998bb" srsName="EPSG:3017" srsDimension="2">
          <gml:exterior>
            <gml:LinearRing gml:id="ID_239b0d54-0e06-4ae8-8309-2909e1f64c04">
              <gml:posList>7302384.819 146795.964 7302375.05 146777.465 7302382.59 146764.918 7302411.083 146761.398 7302431.903 146746.431 7302431.948 146746.399 7302398.935 146804.063 7302392.011 146800.09 7302384.819 146795.964</gml:posList>
            </gml:LinearRing>
          </gml:exterior>
        </gml:Polygon>
      </lmg:Yta>
      <planbestammelsereferens>f0ee522a-3644-4795-9d4d-92a144fbd688</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1c121706-33e7-4905-ad52-467989185b86" srsName="EPSG:3017" srsDimension="2">
          <gml:exterior>
            <gml:LinearRing gml:id="ID_2e50bdfc-0243-468f-b322-a7467c2511e1">
              <gml:posList>7302211.33 146717.859 7302162.585 146673.759 7302192.532 146640.211 7302210.636 146619.93 7302226.873 146619.651 7302235.356 146606.456 7302246.747 146612.253 7302228.105 146633.94 7302209.435 146655.658 7302198.852 146667.969 7302210.852 146676.969 7302253.852 146696.969 7302255.784 146697.514 7302271.489 146701.948 7302268.688 146709.168 7302262.672 146724.679 7302258.646 146739.284 7302211.33 146717.859</gml:posList>
            </gml:LinearRing>
          </gml:exterior>
        </gml:Polygon>
      </lmg:Yta>
      <planbestammelsereferens>524538c2-54ce-48bf-9716-92a269c48d87</planbestammelsereferens>
    </Lage>
    <Lage>
      <lmg:Yta>
        <lmg:absolutLagesosakerhetPlan>0</lmg:absolutLagesosakerhetPlan>
        <lmg:absolutLagesosakerhetHojd>0</lmg:absolutLagesosakerhetHojd>
        <lmg:hojdsystem>RH 2000</lmg:hojdsystem>
        <gml:Polygon gml:id="ID_f3ac9523-e80c-4c0a-b12c-ca1d8c14e898" srsName="EPSG:3017" srsDimension="2">
          <gml:exterior>
            <gml:LinearRing gml:id="ID_0e80ee5e-48bc-4344-a440-1bb9189e45e7">
              <gml:posList>7302338.283 146775.345 7302272.986 146745.777 7302277.754 146728.494 7302280.808 146720.112 7302285.951 146706.031 7302338.852 146720.969 7302348.852 146700.969 7302379.395 146671.941 7302403.532 146649.222 7302407.053 146650.385 7302429.783 146659.512 7302426.162 146668.836 7302378.993 146698.704 7302359.195 146735.976 7302338.283 146775.345</gml:posList>
            </gml:LinearRing>
          </gml:exterior>
        </gml:Polygon>
      </lmg:Yta>
      <planbestammelsereferens>9a245205-6c0b-4e6b-bab6-f96f671d935a</planbestammelsereferens>
    </Lage>
    <Indelning>
      <tema>Motiv till detaljplanens regleringar</tema>
      <grupp>Motiv till reglering</grupp>
    </Indelning>
  </Omfattning>
  <Omfattning>
    <identitet>mo_motivtillreglering19</identitet>
    <Lage>
      <lmg:Yta>
        <lmg:absolutLagesosakerhetPlan>0</lmg:absolutLagesosakerhetPlan>
        <lmg:absolutLagesosakerhetHojd>0</lmg:absolutLagesosakerhetHojd>
        <lmg:hojdsystem>RH 2000</lmg:hojdsystem>
        <gml:Polygon gml:id="ID_dbce9009-fe16-4ca6-899a-30131fe67818" srsName="EPSG:3017" srsDimension="2">
          <gml:exterior>
            <gml:LinearRing gml:id="ID_b2a16852-18fb-4342-8944-84977a4f67e8">
              <gml:posList>7302338.283 146775.345 7302272.986 146745.777 7302277.754 146728.494 7302280.808 146720.112 7302285.951 146706.031 7302338.852 146720.969 7302348.852 146700.969 7302379.395 146671.941 7302403.532 146649.222 7302407.053 146650.385 7302429.783 146659.512 7302426.162 146668.836 7302378.993 146698.704 7302359.195 146735.976 7302338.283 146775.345</gml:posList>
            </gml:LinearRing>
          </gml:exterior>
        </gml:Polygon>
      </lmg:Yta>
      <planbestammelsereferens>ab5dbbc9-13ba-4391-ac72-57b3074409a5</planbestammelsereferens>
    </Lage>
    <Lage>
      <lmg:Yta>
        <lmg:absolutLagesosakerhetPlan>0</lmg:absolutLagesosakerhetPlan>
        <lmg:absolutLagesosakerhetHojd>0</lmg:absolutLagesosakerhetHojd>
        <lmg:hojdsystem>RH 2000</lmg:hojdsystem>
        <gml:Polygon gml:id="ID_c6e7e229-d06a-42fe-9a1c-6b18a416b67e" srsName="EPSG:3017" srsDimension="2">
          <gml:exterior>
            <gml:LinearRing gml:id="ID_8eb04bfe-19c2-471f-b358-bff57c4efbe5">
              <gml:posList>7302211.33 146717.859 7302162.585 146673.759 7302192.532 146640.211 7302210.636 146619.93 7302226.873 146619.651 7302235.356 146606.456 7302246.747 146612.253 7302228.105 146633.94 7302209.435 146655.658 7302198.852 146667.969 7302210.852 146676.969 7302253.852 146696.969 7302255.784 146697.514 7302271.489 146701.948 7302268.688 146709.168 7302262.672 146724.679 7302258.646 146739.284 7302211.33 146717.859</gml:posList>
            </gml:LinearRing>
          </gml:exterior>
        </gml:Polygon>
      </lmg:Yta>
      <planbestammelsereferens>47f54b82-6f93-4c13-b36c-03cace750395</planbestammelsereferens>
    </Lage>
    <Indelning>
      <tema>Motiv till detaljplanens regleringar</tema>
      <grupp>Motiv till reglering</grupp>
    </Indelning>
  </Omfattning>
  <Omfattning>
    <identitet>mo_motivtillreglering22</identitet>
    <Lage>
      <lmg:Yta>
        <lmg:absolutLagesosakerhetPlan>0</lmg:absolutLagesosakerhetPlan>
        <lmg:absolutLagesosakerhetHojd>0</lmg:absolutLagesosakerhetHojd>
        <lmg:hojdsystem>RH 2000</lmg:hojdsystem>
        <gml:Polygon gml:id="ID_90fc8eba-f531-4823-a28b-e7a86f30a0f7" srsName="EPSG:3017" srsDimension="2">
          <gml:exterior>
            <gml:LinearRing gml:id="ID_c97d2ea3-814c-413e-9d90-1a6a9ae48085">
              <gml:posList>7302379.395 146671.941 7302302.169 146664.498 7302306.435 146628.395 7302325.953 146629.917 7302359.032 146634.509 7302403.532 146649.222 7302379.395 146671.941</gml:posList>
            </gml:LinearRing>
          </gml:exterior>
        </gml:Polygon>
      </lmg:Yta>
      <planbestammelsereferens>e5efb5e4-cf91-47be-8d51-13bc5bbfb011</planbestammelsereferens>
    </Lage>
    <Lage>
      <lmg:Yta>
        <lmg:absolutLagesosakerhetPlan>0</lmg:absolutLagesosakerhetPlan>
        <lmg:absolutLagesosakerhetHojd>0</lmg:absolutLagesosakerhetHojd>
        <lmg:hojdsystem>RH 2000</lmg:hojdsystem>
        <gml:Polygon gml:id="ID_862da047-1685-49e2-85c4-141821dfbf24" srsName="EPSG:3017" srsDimension="2">
          <gml:exterior>
            <gml:LinearRing gml:id="ID_48ee48c5-1af0-4915-900b-6b6e3229ed0d">
              <gml:posList>7302257.395 146652.941 7302228.105 146633.94 7302246.747 146612.253 7302262.644 146620.312 7302285.04 146626.727 7302290.77 146627.174 7302286.307 146661.096 7302257.395 146652.941</gml:posList>
            </gml:LinearRing>
          </gml:exterior>
        </gml:Polygon>
      </lmg:Yta>
      <planbestammelsereferens>be9809e7-6a80-4edd-9f42-f10e6c59e3e3</planbestammelsereferens>
    </Lage>
    <Indelning>
      <tema>Motiv till detaljplanens regleringar</tema>
      <grupp>Motiv till reglering</grupp>
    </Indelning>
  </Omfattning>
  <Omfattning>
    <identitet>mo_motivtillreglering25</identitet>
    <Lage>
      <lmg:Yta>
        <lmg:absolutLagesosakerhetPlan>0</lmg:absolutLagesosakerhetPlan>
        <lmg:absolutLagesosakerhetHojd>0</lmg:absolutLagesosakerhetHojd>
        <lmg:hojdsystem>RH 2000</lmg:hojdsystem>
        <gml:Polygon gml:id="ID_7c71bb98-2049-46a7-a220-56031b9db5c2" srsName="EPSG:3017" srsDimension="2">
          <gml:exterior>
            <gml:LinearRing gml:id="ID_11b19c24-b686-48a3-9f39-2cfbd41cbfd0">
              <gml:posList>7302379.395 146671.941 7302302.169 146664.498 7302306.435 146628.395 7302325.953 146629.917 7302359.032 146634.509 7302403.532 146649.222 7302379.395 146671.941</gml:posList>
            </gml:LinearRing>
          </gml:exterior>
        </gml:Polygon>
      </lmg:Yta>
      <planbestammelsereferens>710f4191-577e-47bf-af57-c9741ccb24d5</planbestammelsereferens>
    </Lage>
    <Lage>
      <lmg:Yta>
        <lmg:absolutLagesosakerhetPlan>0</lmg:absolutLagesosakerhetPlan>
        <lmg:absolutLagesosakerhetHojd>0</lmg:absolutLagesosakerhetHojd>
        <lmg:hojdsystem>RH 2000</lmg:hojdsystem>
        <gml:Polygon gml:id="ID_7116e66b-5d83-4c1d-a18b-20272042c93e" srsName="EPSG:3017" srsDimension="2">
          <gml:exterior>
            <gml:LinearRing gml:id="ID_914e85ae-875e-4f32-a0e7-a57af744a53e">
              <gml:posList>7302257.395 146652.941 7302228.105 146633.94 7302246.747 146612.253 7302262.644 146620.312 7302285.04 146626.727 7302290.77 146627.174 7302286.307 146661.096 7302257.395 146652.941</gml:posList>
            </gml:LinearRing>
          </gml:exterior>
        </gml:Polygon>
      </lmg:Yta>
      <planbestammelsereferens>8d3282d7-a95f-4921-a8e3-5b418136c702</planbestammelsereferens>
    </Lage>
    <Lage>
      <lmg:Yta>
        <lmg:absolutLagesosakerhetPlan>0</lmg:absolutLagesosakerhetPlan>
        <lmg:absolutLagesosakerhetHojd>0</lmg:absolutLagesosakerhetHojd>
        <lmg:hojdsystem>RH 2000</lmg:hojdsystem>
        <gml:Polygon gml:id="ID_9115743c-2384-425e-952f-5a5398607758" srsName="EPSG:3017" srsDimension="2">
          <gml:exterior>
            <gml:LinearRing gml:id="ID_a5976270-03de-46ce-89a2-41f6300fe714">
              <gml:posList>7302338.852 146720.969 7302285.951 146706.031 7302301.823 146667.344 7302302.169 146664.498 7302379.395 146671.941 7302348.852 146700.969 7302338.852 146720.969</gml:posList>
            </gml:LinearRing>
          </gml:exterior>
        </gml:Polygon>
      </lmg:Yta>
      <planbestammelsereferens>61b0c134-c075-4e4e-98d4-274465983465</planbestammelsereferens>
    </Lage>
    <Lage>
      <lmg:Yta>
        <lmg:absolutLagesosakerhetPlan>0</lmg:absolutLagesosakerhetPlan>
        <lmg:absolutLagesosakerhetHojd>0</lmg:absolutLagesosakerhetHojd>
        <lmg:hojdsystem>RH 2000</lmg:hojdsystem>
        <gml:Polygon gml:id="ID_f440d6f6-639e-4daf-853a-e1c3efd88f62" srsName="EPSG:3017" srsDimension="2">
          <gml:exterior>
            <gml:LinearRing gml:id="ID_c07b5910-cb2e-4e25-a735-d22df908f729">
              <gml:posList>7302210.852 146676.969 7302198.852 146667.969 7302209.435 146655.658 7302228.105 146633.94 7302257.395 146652.941 7302286.307 146661.096 7302286.232 146661.669 7302271.489 146701.948 7302255.784 146697.514 7302253.852 146696.969 7302210.852 146676.969</gml:posList>
            </gml:LinearRing>
          </gml:exterior>
        </gml:Polygon>
      </lmg:Yta>
      <planbestammelsereferens>1876e996-f6c4-460b-a724-f64a1aef49ab</planbestammelsereferens>
    </Lage>
    <Lage>
      <lmg:Yta>
        <lmg:absolutLagesosakerhetPlan>0</lmg:absolutLagesosakerhetPlan>
        <lmg:absolutLagesosakerhetHojd>0</lmg:absolutLagesosakerhetHojd>
        <lmg:hojdsystem>RH 2000</lmg:hojdsystem>
        <gml:Polygon gml:id="ID_7998c63e-685f-4b3b-956a-2afaa0cac36e" srsName="EPSG:3017" srsDimension="2">
          <gml:exterior>
            <gml:LinearRing gml:id="ID_22aa23f2-5e4d-47eb-8a97-f67b2f71ed75">
              <gml:posList>7302338.283 146775.345 7302272.986 146745.777 7302277.754 146728.494 7302280.808 146720.112 7302285.951 146706.031 7302338.852 146720.969 7302348.852 146700.969 7302379.395 146671.941 7302403.532 146649.222 7302407.053 146650.385 7302429.783 146659.512 7302426.162 146668.836 7302378.993 146698.704 7302359.195 146735.976 7302338.283 146775.345</gml:posList>
            </gml:LinearRing>
          </gml:exterior>
        </gml:Polygon>
      </lmg:Yta>
      <planbestammelsereferens>9e97c4f7-9099-466b-b337-eac7fb0b1d1d</planbestammelsereferens>
    </Lage>
    <Lage>
      <lmg:Yta>
        <lmg:absolutLagesosakerhetPlan>0</lmg:absolutLagesosakerhetPlan>
        <lmg:absolutLagesosakerhetHojd>0</lmg:absolutLagesosakerhetHojd>
        <lmg:hojdsystem>RH 2000</lmg:hojdsystem>
        <gml:Polygon gml:id="ID_9f4a45d0-20b1-4411-aae4-06afa1673c9e" srsName="EPSG:3017" srsDimension="2">
          <gml:exterior>
            <gml:LinearRing gml:id="ID_b210abeb-e168-4c6d-b725-ede02af8e5e0">
              <gml:posList>7302211.33 146717.859 7302162.585 146673.759 7302192.532 146640.211 7302210.636 146619.93 7302226.873 146619.651 7302235.356 146606.456 7302246.747 146612.253 7302228.105 146633.94 7302209.435 146655.658 7302198.852 146667.969 7302210.852 146676.969 7302253.852 146696.969 7302255.784 146697.514 7302271.489 146701.948 7302268.688 146709.168 7302262.672 146724.679 7302258.646 146739.284 7302211.33 146717.859</gml:posList>
            </gml:LinearRing>
          </gml:exterior>
        </gml:Polygon>
      </lmg:Yta>
      <planbestammelsereferens>e75d341b-dea9-434d-9fee-f0275b2e3c18</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35546b4a-2fc8-4aea-b82f-5cc113104221}">
  <ds:schemaRefs>
    <ds:schemaRef ds:uri="http://schemas.microsoft.com/vsto/samples"/>
  </ds:schemaRefs>
</ds:datastoreItem>
</file>

<file path=customXml/itemProps2.xml><?xml version="1.0" encoding="utf-8"?>
<ds:datastoreItem xmlns:ds="http://schemas.openxmlformats.org/officeDocument/2006/customXml" ds:itemID="{f88d6056-b033-41f2-b472-2a61a0183a35}">
  <ds:schemaRefs>
    <ds:schemaRef ds:uri="http://schemas.microsoft.com/vsto/samples"/>
  </ds:schemaRefs>
</ds:datastoreItem>
</file>

<file path=customXml/itemProps3.xml><?xml version="1.0" encoding="utf-8"?>
<ds:datastoreItem xmlns:ds="http://schemas.openxmlformats.org/officeDocument/2006/customXml" ds:itemID="{d361892a-8c14-473a-907b-a8d4020a87eb}">
  <ds:schemaRefs>
    <ds:schemaRef ds:uri="http://schemas.microsoft.com/vsto/samples"/>
  </ds:schemaRefs>
</ds:datastoreItem>
</file>

<file path=customXml/itemProps4.xml><?xml version="1.0" encoding="utf-8"?>
<ds:datastoreItem xmlns:ds="http://schemas.openxmlformats.org/officeDocument/2006/customXml" ds:itemID="{8894ff20-1ef9-447e-b595-7a47d7eabb5f}">
  <ds:schemaRefs>
    <ds:schemaRef ds:uri="http://schemas.microsoft.com/vsto/samples"/>
  </ds:schemaRefs>
</ds:datastoreItem>
</file>

<file path=customXml/itemProps5.xml><?xml version="1.0" encoding="utf-8"?>
<ds:datastoreItem xmlns:ds="http://schemas.openxmlformats.org/officeDocument/2006/customXml" ds:itemID="f2d8b6ae-6ec9-4ccc-b620-d02d393dd986">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idaahl01</dc:creator>
  <dcterms:created xsi:type="dcterms:W3CDTF">2024-09-23T12:20:00Z</dcterms:created>
  <cp:lastModifiedBy>Ida Ahlbäck</cp:lastModifiedBy>
  <cp:lastPrinted>2022-01-27T13:28:00Z</cp:lastPrinted>
  <dcterms:modified xsi:type="dcterms:W3CDTF">2025-01-28T12:23:20Z</dcterms:modified>
  <cp:revision>162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0x010100F848691A406335419CC907D68F3D5469</vt:lpwstr>
  </property>
  <property fmtid="{D5CDD505-2E9C-101B-9397-08002B2CF9AE}" pid="3" name="MSIP_Label_43f08ec5-d6d9-4227-8387-ccbfcb3632c4_Enabled">
    <vt:lpwstr>true</vt:lpwstr>
  </property>
  <property fmtid="{D5CDD505-2E9C-101B-9397-08002B2CF9AE}" pid="4" name="MSIP_Label_43f08ec5-d6d9-4227-8387-ccbfcb3632c4_SetDate">
    <vt:lpwstr>2023-10-04T14:01:25Z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5a36d449-5b95-40d5-9f4b-79377dcfbb85</vt:lpwstr>
  </property>
  <property fmtid="{D5CDD505-2E9C-101B-9397-08002B2CF9AE}" pid="9" name="MSIP_Label_43f08ec5-d6d9-4227-8387-ccbfcb3632c4_ContentBits">
    <vt:lpwstr>0</vt:lpwstr>
  </property>
  <property fmtid="{D5CDD505-2E9C-101B-9397-08002B2CF9AE}" pid="10" name="_DocHome">
    <vt:i4>1628476668</vt:i4>
  </property>
  <property fmtid="{D5CDD505-2E9C-101B-9397-08002B2CF9AE}" pid="11" name="MediaServiceImageTags">
    <vt:lpwstr/>
  </property>
</Properties>
</file>