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Default Extension="emf" ContentType="application/x-msmetafile"/>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app.xml" ContentType="application/vnd.openxmlformats-officedocument.extended-properti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Types>
</file>

<file path=_rels/.rels>&#65279;<?xml version="1.0" encoding="utf-8"?><Relationships xmlns="http://schemas.openxmlformats.org/package/2006/relationships"><Relationship Id="R1" Type="http://schemas.openxmlformats.org/officeDocument/2006/relationships/officeDocument" Target="/word/document.xml" /><Relationship Id="coreR1" Type="http://schemas.openxmlformats.org/package/2006/relationships/metadata/core-properties" Target="/docProps/core.xml" /><Relationship Id="appR1" Type="http://schemas.openxmlformats.org/officeDocument/2006/relationships/extended-properties" Target="/docProps/app.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body>
    <w:tbl>
      <w:tblPr>
        <w:tblStyle w:val="T5"/>
        <w:tblW w:w="0" w:type="auto"/>
        <w:tblLook w:val="04A0"/>
        <w:tblCaption w:val="Dokumentinformation"/>
      </w:tblPr>
      <w:tblGrid/>
      <w:tr>
        <w:trPr>
          <w:trHeight w:hRule="exact" w:val="794"/>
          <w:tblHeader/>
        </w:trPr>
        <w:tc>
          <w:tcPr>
            <w:tcW w:w="9866" w:type="dxa"/>
            <w:tcBorders>
              <w:top w:val="single" w:sz="4" w:space="0" w:shadow="0" w:frame="0" w:color="FFFFFF" w:themeColor="background1"/>
              <w:left w:val="single" w:sz="4" w:space="0" w:shadow="0" w:frame="0" w:color="FFFFFF" w:themeColor="background1"/>
              <w:right w:val="single" w:sz="4" w:space="0" w:shadow="0" w:frame="0" w:color="FFFFFF" w:themeColor="background1"/>
            </w:tcBorders>
          </w:tcPr>
          <w:p/>
        </w:tc>
      </w:tr>
      <w:tr>
        <w:trPr>
          <w:trHeight w:hRule="atLeast" w:val="567"/>
          <w:tblHeader/>
        </w:trPr>
        <w:tc>
          <w:tcPr>
            <w:tcW w:w="9866" w:type="dxa"/>
          </w:tcPr>
          <w:p>
            <w:pPr>
              <w:pStyle w:val="P44"/>
            </w:pPr>
            <w:r>
              <w:t>Planbeskrivning</w:t>
            </w:r>
          </w:p>
          <w:p>
            <w:pPr>
              <w:pStyle w:val="P43"/>
            </w:pPr>
            <w:r>
              <w:t>Detaljplan för Fridtjuv Berg 5 m.fl., ny skola, i Ödeshög</w:t>
            </w:r>
          </w:p>
        </w:tc>
      </w:tr>
    </w:tbl>
    <w:p>
      <w:r>
        <w:br w:type="page"/>
      </w:r>
    </w:p>
    <w:tbl>
      <w:tblPr>
        <w:tblStyle w:val="T5"/>
        <w:tblW w:w="0" w:type="auto"/>
        <w:tblLook w:val="04A0"/>
        <w:tblCaption w:val="Dokumentinformation"/>
      </w:tblPr>
      <w:tblGrid/>
      <w:tr>
        <w:trPr>
          <w:tblHeader/>
        </w:trPr>
        <w:tc>
          <w:tcPr>
            <w:tcW w:w="3288" w:type="dxa"/>
            <w:tcBorders>
              <w:top w:val="single" w:sz="6" w:space="0" w:shadow="0" w:frame="0" w:color="F9B000" w:themeColor="accent1"/>
            </w:tcBorders>
          </w:tcPr>
          <w:p>
            <w:pPr>
              <w:rPr>
                <w:sz w:val="24"/>
                <w:szCs w:val="24"/>
              </w:rPr>
            </w:pPr>
            <w:bookmarkStart w:id="0" w:name="be_ärendeinformation05" w:colFirst="0" w:colLast="1"/>
            <w:r>
              <w:rPr>
                <w:sz w:val="24"/>
                <w:szCs w:val="24"/>
              </w:rPr>
              <w:t>Antagen av:</w:t>
            </w:r>
          </w:p>
        </w:tc>
        <w:tc>
          <w:tcPr>
            <w:tcW w:w="4082" w:type="dxa"/>
            <w:tcBorders>
              <w:top w:val="single" w:sz="6" w:space="0" w:shadow="0" w:frame="0" w:color="F9B000" w:themeColor="accent1"/>
            </w:tcBorders>
          </w:tcPr>
          <w:p>
            <w:pPr>
              <w:rPr>
                <w:sz w:val="24"/>
                <w:szCs w:val="24"/>
              </w:rPr>
            </w:pPr>
            <w:r>
              <w:rPr>
                <w:sz w:val="24"/>
                <w:szCs w:val="24"/>
              </w:rPr>
              <w:t>Samhällsbyggnadsnämnden</w:t>
            </w:r>
          </w:p>
        </w:tc>
      </w:tr>
      <w:tr>
        <w:tc>
          <w:tcPr>
            <w:tcW w:w="3288" w:type="dxa"/>
          </w:tcPr>
          <w:p>
            <w:pPr>
              <w:rPr>
                <w:sz w:val="24"/>
                <w:szCs w:val="24"/>
              </w:rPr>
            </w:pPr>
            <w:bookmarkEnd w:id="0"/>
            <w:bookmarkStart w:id="1" w:name="be_ärendeinformation04" w:colFirst="0" w:colLast="1"/>
            <w:r>
              <w:rPr>
                <w:sz w:val="24"/>
                <w:szCs w:val="24"/>
              </w:rPr>
              <w:t>Datum:</w:t>
            </w:r>
          </w:p>
        </w:tc>
        <w:tc>
          <w:tcPr>
            <w:tcW w:w="4082" w:type="dxa"/>
          </w:tcPr>
          <w:p>
            <w:pPr>
              <w:rPr>
                <w:sz w:val="24"/>
                <w:szCs w:val="24"/>
              </w:rPr>
            </w:pPr>
            <w:r>
              <w:rPr>
                <w:sz w:val="24"/>
                <w:szCs w:val="24"/>
              </w:rPr>
              <w:t>2025-03-20</w:t>
            </w:r>
          </w:p>
        </w:tc>
      </w:tr>
      <w:tr>
        <w:tc>
          <w:tcPr>
            <w:tcW w:w="3288" w:type="dxa"/>
          </w:tcPr>
          <w:p>
            <w:pPr>
              <w:rPr>
                <w:sz w:val="24"/>
                <w:szCs w:val="24"/>
              </w:rPr>
            </w:pPr>
            <w:bookmarkEnd w:id="1"/>
            <w:bookmarkStart w:id="2" w:name="be_ärendeinformation03" w:colFirst="0" w:colLast="1"/>
            <w:r>
              <w:rPr>
                <w:sz w:val="24"/>
                <w:szCs w:val="24"/>
              </w:rPr>
              <w:t>Diarienummer:</w:t>
            </w:r>
          </w:p>
        </w:tc>
        <w:tc>
          <w:tcPr>
            <w:tcW w:w="4082" w:type="dxa"/>
          </w:tcPr>
          <w:p>
            <w:pPr>
              <w:rPr>
                <w:sz w:val="24"/>
                <w:szCs w:val="24"/>
              </w:rPr>
            </w:pPr>
            <w:r>
              <w:rPr>
                <w:sz w:val="24"/>
                <w:szCs w:val="24"/>
              </w:rPr>
              <w:t>SBN 2023/69</w:t>
            </w:r>
          </w:p>
        </w:tc>
      </w:tr>
      <w:tr>
        <w:tc>
          <w:tcPr>
            <w:tcW w:w="3288" w:type="dxa"/>
          </w:tcPr>
          <w:p>
            <w:pPr>
              <w:rPr>
                <w:sz w:val="24"/>
                <w:szCs w:val="24"/>
              </w:rPr>
            </w:pPr>
            <w:bookmarkEnd w:id="2"/>
            <w:bookmarkStart w:id="3" w:name="be_ärendeinformation02" w:colFirst="0" w:colLast="1"/>
            <w:r>
              <w:rPr>
                <w:sz w:val="24"/>
                <w:szCs w:val="24"/>
              </w:rPr>
              <w:t>Dokumentansvarig:</w:t>
            </w:r>
          </w:p>
        </w:tc>
        <w:tc>
          <w:tcPr>
            <w:tcW w:w="4082" w:type="dxa"/>
          </w:tcPr>
          <w:p>
            <w:pPr>
              <w:rPr>
                <w:sz w:val="24"/>
                <w:szCs w:val="24"/>
              </w:rPr>
            </w:pPr>
            <w:r>
              <w:rPr>
                <w:sz w:val="24"/>
                <w:szCs w:val="24"/>
              </w:rPr>
              <w:t>Samhällsbyggnadsförvaltningen</w:t>
            </w:r>
          </w:p>
        </w:tc>
      </w:tr>
      <w:tr>
        <w:tc>
          <w:tcPr>
            <w:tcW w:w="3288" w:type="dxa"/>
            <w:tcBorders>
              <w:bottom w:val="single" w:sz="6" w:space="0" w:shadow="0" w:frame="0" w:color="F9B000" w:themeColor="accent1"/>
            </w:tcBorders>
          </w:tcPr>
          <w:p>
            <w:pPr>
              <w:rPr>
                <w:sz w:val="24"/>
                <w:szCs w:val="24"/>
              </w:rPr>
            </w:pPr>
            <w:bookmarkEnd w:id="3"/>
            <w:bookmarkStart w:id="4" w:name="be_ärendeinformation01" w:colFirst="0" w:colLast="1"/>
            <w:r>
              <w:rPr>
                <w:sz w:val="24"/>
                <w:szCs w:val="24"/>
              </w:rPr>
              <w:t>Version:</w:t>
            </w:r>
          </w:p>
        </w:tc>
        <w:tc>
          <w:tcPr>
            <w:tcW w:w="4082" w:type="dxa"/>
            <w:tcBorders>
              <w:bottom w:val="single" w:sz="6" w:space="0" w:shadow="0" w:frame="0" w:color="F9B000" w:themeColor="accent1"/>
            </w:tcBorders>
          </w:tcPr>
          <w:p>
            <w:pPr>
              <w:rPr>
                <w:sz w:val="24"/>
                <w:szCs w:val="24"/>
              </w:rPr>
            </w:pPr>
            <w:r>
              <w:rPr>
                <w:sz w:val="24"/>
                <w:szCs w:val="24"/>
              </w:rPr>
              <w:t>Antagandehandling</w:t>
            </w:r>
          </w:p>
        </w:tc>
      </w:tr>
    </w:tbl>
    <w:p>
      <w:bookmarkEnd w:id="4"/>
      <w:r>
        <w:br w:type="page"/>
      </w:r>
    </w:p>
    <w:p>
      <w:pPr>
        <w:pStyle w:val="P14"/>
      </w:pPr>
      <w:r>
        <w:t>Innehåll</w:t>
      </w:r>
    </w:p>
    <w:p>
      <w:pPr>
        <w:pStyle w:val="P20"/>
        <w:rPr>
          <w:rFonts w:asciiTheme="minorHAnsi" w:hAnsiTheme="minorHAnsi" w:cstheme="minorBidi"/>
          <w:b w:val="0"/>
          <w:noProof w:val="1"/>
          <w:lang w:eastAsia="sv-SE"/>
        </w:rPr>
      </w:pPr>
      <w:r>
        <w:fldChar w:fldCharType="begin"/>
      </w:r>
      <w:r>
        <w:instrText xml:space="preserve"> TOC \o "1-3" \h \z \u </w:instrText>
      </w:r>
      <w:r>
        <w:fldChar w:fldCharType="separate"/>
      </w:r>
      <w:hyperlink w:anchor="_Toc191546049">
        <w:r>
          <w:rPr>
            <w:rStyle w:val="C2"/>
            <w:noProof w:val="1"/>
          </w:rPr>
          <w:t>Ärendeinformation</w:t>
        </w:r>
        <w:r>
          <w:rPr>
            <w:noProof w:val="1"/>
          </w:rPr>
          <w:tab/>
        </w:r>
        <w:r>
          <w:rPr>
            <w:noProof w:val="1"/>
          </w:rPr>
          <w:fldChar w:fldCharType="begin"/>
        </w:r>
        <w:r>
          <w:rPr>
            <w:noProof w:val="1"/>
          </w:rPr>
          <w:instrText xml:space="preserve"> PAGEREF _Toc191546049 \h </w:instrText>
        </w:r>
        <w:r>
          <w:rPr>
            <w:noProof w:val="1"/>
          </w:rPr>
          <w:fldChar w:fldCharType="separate"/>
        </w:r>
        <w:r>
          <w:rPr>
            <w:noProof w:val="1"/>
          </w:rPr>
          <w:t>5</w:t>
        </w:r>
        <w:r>
          <w:rPr>
            <w:noProof w:val="1"/>
          </w:rPr>
          <w:fldChar w:fldCharType="end"/>
        </w:r>
      </w:hyperlink>
    </w:p>
    <w:p>
      <w:pPr>
        <w:pStyle w:val="P21"/>
        <w:rPr>
          <w:rFonts w:asciiTheme="minorHAnsi" w:hAnsiTheme="minorHAnsi" w:cstheme="minorBidi"/>
          <w:noProof w:val="1"/>
          <w:lang w:eastAsia="sv-SE"/>
        </w:rPr>
      </w:pPr>
      <w:hyperlink w:anchor="_Toc191546050">
        <w:r>
          <w:rPr>
            <w:rStyle w:val="C2"/>
            <w:noProof w:val="1"/>
          </w:rPr>
          <w:t>Planprocessen</w:t>
        </w:r>
        <w:r>
          <w:rPr>
            <w:noProof w:val="1"/>
          </w:rPr>
          <w:tab/>
        </w:r>
        <w:r>
          <w:rPr>
            <w:noProof w:val="1"/>
          </w:rPr>
          <w:fldChar w:fldCharType="begin"/>
        </w:r>
        <w:r>
          <w:rPr>
            <w:noProof w:val="1"/>
          </w:rPr>
          <w:instrText xml:space="preserve"> PAGEREF _Toc191546050 \h </w:instrText>
        </w:r>
        <w:r>
          <w:rPr>
            <w:noProof w:val="1"/>
          </w:rPr>
          <w:fldChar w:fldCharType="separate"/>
        </w:r>
        <w:r>
          <w:rPr>
            <w:noProof w:val="1"/>
          </w:rPr>
          <w:t>5</w:t>
        </w:r>
        <w:r>
          <w:rPr>
            <w:noProof w:val="1"/>
          </w:rPr>
          <w:fldChar w:fldCharType="end"/>
        </w:r>
      </w:hyperlink>
    </w:p>
    <w:p>
      <w:pPr>
        <w:pStyle w:val="P22"/>
        <w:rPr>
          <w:rFonts w:asciiTheme="minorHAnsi" w:hAnsiTheme="minorHAnsi" w:cstheme="minorBidi"/>
          <w:noProof w:val="1"/>
          <w:lang w:eastAsia="sv-SE"/>
        </w:rPr>
      </w:pPr>
      <w:hyperlink w:anchor="_Toc191546051">
        <w:r>
          <w:rPr>
            <w:rStyle w:val="C2"/>
            <w:noProof w:val="1"/>
          </w:rPr>
          <w:t>Vad är en detaljplan</w:t>
        </w:r>
        <w:r>
          <w:rPr>
            <w:noProof w:val="1"/>
          </w:rPr>
          <w:tab/>
        </w:r>
        <w:r>
          <w:rPr>
            <w:noProof w:val="1"/>
          </w:rPr>
          <w:fldChar w:fldCharType="begin"/>
        </w:r>
        <w:r>
          <w:rPr>
            <w:noProof w:val="1"/>
          </w:rPr>
          <w:instrText xml:space="preserve"> PAGEREF _Toc191546051 \h </w:instrText>
        </w:r>
        <w:r>
          <w:rPr>
            <w:noProof w:val="1"/>
          </w:rPr>
          <w:fldChar w:fldCharType="separate"/>
        </w:r>
        <w:r>
          <w:rPr>
            <w:noProof w:val="1"/>
          </w:rPr>
          <w:t>5</w:t>
        </w:r>
        <w:r>
          <w:rPr>
            <w:noProof w:val="1"/>
          </w:rPr>
          <w:fldChar w:fldCharType="end"/>
        </w:r>
      </w:hyperlink>
    </w:p>
    <w:p>
      <w:pPr>
        <w:pStyle w:val="P22"/>
        <w:rPr>
          <w:rFonts w:asciiTheme="minorHAnsi" w:hAnsiTheme="minorHAnsi" w:cstheme="minorBidi"/>
          <w:noProof w:val="1"/>
          <w:lang w:eastAsia="sv-SE"/>
        </w:rPr>
      </w:pPr>
      <w:hyperlink w:anchor="_Toc191546052">
        <w:r>
          <w:rPr>
            <w:rStyle w:val="C2"/>
            <w:noProof w:val="1"/>
          </w:rPr>
          <w:t>Bakgrund</w:t>
        </w:r>
        <w:r>
          <w:rPr>
            <w:noProof w:val="1"/>
          </w:rPr>
          <w:tab/>
        </w:r>
        <w:r>
          <w:rPr>
            <w:noProof w:val="1"/>
          </w:rPr>
          <w:fldChar w:fldCharType="begin"/>
        </w:r>
        <w:r>
          <w:rPr>
            <w:noProof w:val="1"/>
          </w:rPr>
          <w:instrText xml:space="preserve"> PAGEREF _Toc191546052 \h </w:instrText>
        </w:r>
        <w:r>
          <w:rPr>
            <w:noProof w:val="1"/>
          </w:rPr>
          <w:fldChar w:fldCharType="separate"/>
        </w:r>
        <w:r>
          <w:rPr>
            <w:noProof w:val="1"/>
          </w:rPr>
          <w:t>5</w:t>
        </w:r>
        <w:r>
          <w:rPr>
            <w:noProof w:val="1"/>
          </w:rPr>
          <w:fldChar w:fldCharType="end"/>
        </w:r>
      </w:hyperlink>
    </w:p>
    <w:p>
      <w:pPr>
        <w:pStyle w:val="P22"/>
        <w:rPr>
          <w:rFonts w:asciiTheme="minorHAnsi" w:hAnsiTheme="minorHAnsi" w:cstheme="minorBidi"/>
          <w:noProof w:val="1"/>
          <w:lang w:eastAsia="sv-SE"/>
        </w:rPr>
      </w:pPr>
      <w:hyperlink w:anchor="_Toc191546053">
        <w:r>
          <w:rPr>
            <w:rStyle w:val="C2"/>
            <w:noProof w:val="1"/>
          </w:rPr>
          <w:t>Beslut och tidplan</w:t>
        </w:r>
        <w:r>
          <w:rPr>
            <w:noProof w:val="1"/>
          </w:rPr>
          <w:tab/>
        </w:r>
        <w:r>
          <w:rPr>
            <w:noProof w:val="1"/>
          </w:rPr>
          <w:fldChar w:fldCharType="begin"/>
        </w:r>
        <w:r>
          <w:rPr>
            <w:noProof w:val="1"/>
          </w:rPr>
          <w:instrText xml:space="preserve"> PAGEREF _Toc191546053 \h </w:instrText>
        </w:r>
        <w:r>
          <w:rPr>
            <w:noProof w:val="1"/>
          </w:rPr>
          <w:fldChar w:fldCharType="separate"/>
        </w:r>
        <w:r>
          <w:rPr>
            <w:noProof w:val="1"/>
          </w:rPr>
          <w:t>6</w:t>
        </w:r>
        <w:r>
          <w:rPr>
            <w:noProof w:val="1"/>
          </w:rPr>
          <w:fldChar w:fldCharType="end"/>
        </w:r>
      </w:hyperlink>
    </w:p>
    <w:p>
      <w:pPr>
        <w:pStyle w:val="P21"/>
        <w:rPr>
          <w:rFonts w:asciiTheme="minorHAnsi" w:hAnsiTheme="minorHAnsi" w:cstheme="minorBidi"/>
          <w:noProof w:val="1"/>
          <w:lang w:eastAsia="sv-SE"/>
        </w:rPr>
      </w:pPr>
      <w:hyperlink w:anchor="_Toc191546054">
        <w:r>
          <w:rPr>
            <w:rStyle w:val="C2"/>
            <w:noProof w:val="1"/>
          </w:rPr>
          <w:t>Detaljplanens handlingar</w:t>
        </w:r>
        <w:r>
          <w:rPr>
            <w:noProof w:val="1"/>
          </w:rPr>
          <w:tab/>
        </w:r>
        <w:r>
          <w:rPr>
            <w:noProof w:val="1"/>
          </w:rPr>
          <w:fldChar w:fldCharType="begin"/>
        </w:r>
        <w:r>
          <w:rPr>
            <w:noProof w:val="1"/>
          </w:rPr>
          <w:instrText xml:space="preserve"> PAGEREF _Toc191546054 \h </w:instrText>
        </w:r>
        <w:r>
          <w:rPr>
            <w:noProof w:val="1"/>
          </w:rPr>
          <w:fldChar w:fldCharType="separate"/>
        </w:r>
        <w:r>
          <w:rPr>
            <w:noProof w:val="1"/>
          </w:rPr>
          <w:t>6</w:t>
        </w:r>
        <w:r>
          <w:rPr>
            <w:noProof w:val="1"/>
          </w:rPr>
          <w:fldChar w:fldCharType="end"/>
        </w:r>
      </w:hyperlink>
    </w:p>
    <w:p>
      <w:pPr>
        <w:pStyle w:val="P20"/>
        <w:rPr>
          <w:rFonts w:asciiTheme="minorHAnsi" w:hAnsiTheme="minorHAnsi" w:cstheme="minorBidi"/>
          <w:b w:val="0"/>
          <w:noProof w:val="1"/>
          <w:lang w:eastAsia="sv-SE"/>
        </w:rPr>
      </w:pPr>
      <w:hyperlink w:anchor="_Toc191546055">
        <w:r>
          <w:rPr>
            <w:rStyle w:val="C2"/>
            <w:noProof w:val="1"/>
          </w:rPr>
          <w:t>Detaljplanens syfte</w:t>
        </w:r>
        <w:r>
          <w:rPr>
            <w:noProof w:val="1"/>
          </w:rPr>
          <w:tab/>
        </w:r>
        <w:r>
          <w:rPr>
            <w:noProof w:val="1"/>
          </w:rPr>
          <w:fldChar w:fldCharType="begin"/>
        </w:r>
        <w:r>
          <w:rPr>
            <w:noProof w:val="1"/>
          </w:rPr>
          <w:instrText xml:space="preserve"> PAGEREF _Toc191546055 \h </w:instrText>
        </w:r>
        <w:r>
          <w:rPr>
            <w:noProof w:val="1"/>
          </w:rPr>
          <w:fldChar w:fldCharType="separate"/>
        </w:r>
        <w:r>
          <w:rPr>
            <w:noProof w:val="1"/>
          </w:rPr>
          <w:t>7</w:t>
        </w:r>
        <w:r>
          <w:rPr>
            <w:noProof w:val="1"/>
          </w:rPr>
          <w:fldChar w:fldCharType="end"/>
        </w:r>
      </w:hyperlink>
    </w:p>
    <w:p>
      <w:pPr>
        <w:pStyle w:val="P20"/>
        <w:rPr>
          <w:rFonts w:asciiTheme="minorHAnsi" w:hAnsiTheme="minorHAnsi" w:cstheme="minorBidi"/>
          <w:b w:val="0"/>
          <w:noProof w:val="1"/>
          <w:lang w:eastAsia="sv-SE"/>
        </w:rPr>
      </w:pPr>
      <w:hyperlink w:anchor="_Toc191546056">
        <w:r>
          <w:rPr>
            <w:rStyle w:val="C2"/>
            <w:noProof w:val="1"/>
          </w:rPr>
          <w:t>Planområdet</w:t>
        </w:r>
        <w:r>
          <w:rPr>
            <w:noProof w:val="1"/>
          </w:rPr>
          <w:tab/>
        </w:r>
        <w:r>
          <w:rPr>
            <w:noProof w:val="1"/>
          </w:rPr>
          <w:fldChar w:fldCharType="begin"/>
        </w:r>
        <w:r>
          <w:rPr>
            <w:noProof w:val="1"/>
          </w:rPr>
          <w:instrText xml:space="preserve"> PAGEREF _Toc191546056 \h </w:instrText>
        </w:r>
        <w:r>
          <w:rPr>
            <w:noProof w:val="1"/>
          </w:rPr>
          <w:fldChar w:fldCharType="separate"/>
        </w:r>
        <w:r>
          <w:rPr>
            <w:noProof w:val="1"/>
          </w:rPr>
          <w:t>7</w:t>
        </w:r>
        <w:r>
          <w:rPr>
            <w:noProof w:val="1"/>
          </w:rPr>
          <w:fldChar w:fldCharType="end"/>
        </w:r>
      </w:hyperlink>
    </w:p>
    <w:p>
      <w:pPr>
        <w:pStyle w:val="P21"/>
        <w:rPr>
          <w:rFonts w:asciiTheme="minorHAnsi" w:hAnsiTheme="minorHAnsi" w:cstheme="minorBidi"/>
          <w:noProof w:val="1"/>
          <w:lang w:eastAsia="sv-SE"/>
        </w:rPr>
      </w:pPr>
      <w:hyperlink w:anchor="_Toc191546057">
        <w:r>
          <w:rPr>
            <w:rStyle w:val="C2"/>
            <w:noProof w:val="1"/>
          </w:rPr>
          <w:t>Lokalisering, storlek och markägoförhållanden</w:t>
        </w:r>
        <w:r>
          <w:rPr>
            <w:noProof w:val="1"/>
          </w:rPr>
          <w:tab/>
        </w:r>
        <w:r>
          <w:rPr>
            <w:noProof w:val="1"/>
          </w:rPr>
          <w:fldChar w:fldCharType="begin"/>
        </w:r>
        <w:r>
          <w:rPr>
            <w:noProof w:val="1"/>
          </w:rPr>
          <w:instrText xml:space="preserve"> PAGEREF _Toc191546057 \h </w:instrText>
        </w:r>
        <w:r>
          <w:rPr>
            <w:noProof w:val="1"/>
          </w:rPr>
          <w:fldChar w:fldCharType="separate"/>
        </w:r>
        <w:r>
          <w:rPr>
            <w:noProof w:val="1"/>
          </w:rPr>
          <w:t>7</w:t>
        </w:r>
        <w:r>
          <w:rPr>
            <w:noProof w:val="1"/>
          </w:rPr>
          <w:fldChar w:fldCharType="end"/>
        </w:r>
      </w:hyperlink>
    </w:p>
    <w:p>
      <w:pPr>
        <w:pStyle w:val="P20"/>
        <w:rPr>
          <w:rFonts w:asciiTheme="minorHAnsi" w:hAnsiTheme="minorHAnsi" w:cstheme="minorBidi"/>
          <w:b w:val="0"/>
          <w:noProof w:val="1"/>
          <w:lang w:eastAsia="sv-SE"/>
        </w:rPr>
      </w:pPr>
      <w:hyperlink w:anchor="_Toc191546058">
        <w:r>
          <w:rPr>
            <w:rStyle w:val="C2"/>
            <w:noProof w:val="1"/>
          </w:rPr>
          <w:t>Planförslag</w:t>
        </w:r>
        <w:r>
          <w:rPr>
            <w:noProof w:val="1"/>
          </w:rPr>
          <w:tab/>
        </w:r>
        <w:r>
          <w:rPr>
            <w:noProof w:val="1"/>
          </w:rPr>
          <w:fldChar w:fldCharType="begin"/>
        </w:r>
        <w:r>
          <w:rPr>
            <w:noProof w:val="1"/>
          </w:rPr>
          <w:instrText xml:space="preserve"> PAGEREF _Toc191546058 \h </w:instrText>
        </w:r>
        <w:r>
          <w:rPr>
            <w:noProof w:val="1"/>
          </w:rPr>
          <w:fldChar w:fldCharType="separate"/>
        </w:r>
        <w:r>
          <w:rPr>
            <w:noProof w:val="1"/>
          </w:rPr>
          <w:t>7</w:t>
        </w:r>
        <w:r>
          <w:rPr>
            <w:noProof w:val="1"/>
          </w:rPr>
          <w:fldChar w:fldCharType="end"/>
        </w:r>
      </w:hyperlink>
    </w:p>
    <w:p>
      <w:pPr>
        <w:pStyle w:val="P21"/>
        <w:rPr>
          <w:rFonts w:asciiTheme="minorHAnsi" w:hAnsiTheme="minorHAnsi" w:cstheme="minorBidi"/>
          <w:noProof w:val="1"/>
          <w:lang w:eastAsia="sv-SE"/>
        </w:rPr>
      </w:pPr>
      <w:hyperlink w:anchor="_Toc191546059">
        <w:r>
          <w:rPr>
            <w:rStyle w:val="C2"/>
            <w:noProof w:val="1"/>
          </w:rPr>
          <w:t>Huvuddrag</w:t>
        </w:r>
        <w:r>
          <w:rPr>
            <w:noProof w:val="1"/>
          </w:rPr>
          <w:tab/>
        </w:r>
        <w:r>
          <w:rPr>
            <w:noProof w:val="1"/>
          </w:rPr>
          <w:fldChar w:fldCharType="begin"/>
        </w:r>
        <w:r>
          <w:rPr>
            <w:noProof w:val="1"/>
          </w:rPr>
          <w:instrText xml:space="preserve"> PAGEREF _Toc191546059 \h </w:instrText>
        </w:r>
        <w:r>
          <w:rPr>
            <w:noProof w:val="1"/>
          </w:rPr>
          <w:fldChar w:fldCharType="separate"/>
        </w:r>
        <w:r>
          <w:rPr>
            <w:noProof w:val="1"/>
          </w:rPr>
          <w:t>7</w:t>
        </w:r>
        <w:r>
          <w:rPr>
            <w:noProof w:val="1"/>
          </w:rPr>
          <w:fldChar w:fldCharType="end"/>
        </w:r>
      </w:hyperlink>
    </w:p>
    <w:p>
      <w:pPr>
        <w:pStyle w:val="P21"/>
        <w:rPr>
          <w:rFonts w:asciiTheme="minorHAnsi" w:hAnsiTheme="minorHAnsi" w:cstheme="minorBidi"/>
          <w:noProof w:val="1"/>
          <w:lang w:eastAsia="sv-SE"/>
        </w:rPr>
      </w:pPr>
      <w:hyperlink w:anchor="_Toc191546060">
        <w:r>
          <w:rPr>
            <w:rStyle w:val="C2"/>
            <w:noProof w:val="1"/>
          </w:rPr>
          <w:t>Plankarta och bestämmelser</w:t>
        </w:r>
        <w:r>
          <w:rPr>
            <w:noProof w:val="1"/>
          </w:rPr>
          <w:tab/>
        </w:r>
        <w:r>
          <w:rPr>
            <w:noProof w:val="1"/>
          </w:rPr>
          <w:fldChar w:fldCharType="begin"/>
        </w:r>
        <w:r>
          <w:rPr>
            <w:noProof w:val="1"/>
          </w:rPr>
          <w:instrText xml:space="preserve"> PAGEREF _Toc191546060 \h </w:instrText>
        </w:r>
        <w:r>
          <w:rPr>
            <w:noProof w:val="1"/>
          </w:rPr>
          <w:fldChar w:fldCharType="separate"/>
        </w:r>
        <w:r>
          <w:rPr>
            <w:noProof w:val="1"/>
          </w:rPr>
          <w:t>9</w:t>
        </w:r>
        <w:r>
          <w:rPr>
            <w:noProof w:val="1"/>
          </w:rPr>
          <w:fldChar w:fldCharType="end"/>
        </w:r>
      </w:hyperlink>
    </w:p>
    <w:p>
      <w:pPr>
        <w:pStyle w:val="P21"/>
        <w:rPr>
          <w:rFonts w:asciiTheme="minorHAnsi" w:hAnsiTheme="minorHAnsi" w:cstheme="minorBidi"/>
          <w:noProof w:val="1"/>
          <w:lang w:eastAsia="sv-SE"/>
        </w:rPr>
      </w:pPr>
      <w:hyperlink w:anchor="_Toc191546061">
        <w:r>
          <w:rPr>
            <w:rStyle w:val="C2"/>
            <w:noProof w:val="1"/>
          </w:rPr>
          <w:t>Användning av allmän plats</w:t>
        </w:r>
        <w:r>
          <w:rPr>
            <w:noProof w:val="1"/>
          </w:rPr>
          <w:tab/>
        </w:r>
        <w:r>
          <w:rPr>
            <w:noProof w:val="1"/>
          </w:rPr>
          <w:fldChar w:fldCharType="begin"/>
        </w:r>
        <w:r>
          <w:rPr>
            <w:noProof w:val="1"/>
          </w:rPr>
          <w:instrText xml:space="preserve"> PAGEREF _Toc191546061 \h </w:instrText>
        </w:r>
        <w:r>
          <w:rPr>
            <w:noProof w:val="1"/>
          </w:rPr>
          <w:fldChar w:fldCharType="separate"/>
        </w:r>
        <w:r>
          <w:rPr>
            <w:noProof w:val="1"/>
          </w:rPr>
          <w:t>9</w:t>
        </w:r>
        <w:r>
          <w:rPr>
            <w:noProof w:val="1"/>
          </w:rPr>
          <w:fldChar w:fldCharType="end"/>
        </w:r>
      </w:hyperlink>
    </w:p>
    <w:p>
      <w:pPr>
        <w:pStyle w:val="P21"/>
        <w:rPr>
          <w:rFonts w:asciiTheme="minorHAnsi" w:hAnsiTheme="minorHAnsi" w:cstheme="minorBidi"/>
          <w:noProof w:val="1"/>
          <w:lang w:eastAsia="sv-SE"/>
        </w:rPr>
      </w:pPr>
      <w:hyperlink w:anchor="_Toc191546062">
        <w:r>
          <w:rPr>
            <w:rStyle w:val="C2"/>
            <w:noProof w:val="1"/>
          </w:rPr>
          <w:t>Användning av kvartersmark</w:t>
        </w:r>
        <w:r>
          <w:rPr>
            <w:noProof w:val="1"/>
          </w:rPr>
          <w:tab/>
        </w:r>
        <w:r>
          <w:rPr>
            <w:noProof w:val="1"/>
          </w:rPr>
          <w:fldChar w:fldCharType="begin"/>
        </w:r>
        <w:r>
          <w:rPr>
            <w:noProof w:val="1"/>
          </w:rPr>
          <w:instrText xml:space="preserve"> PAGEREF _Toc191546062 \h </w:instrText>
        </w:r>
        <w:r>
          <w:rPr>
            <w:noProof w:val="1"/>
          </w:rPr>
          <w:fldChar w:fldCharType="separate"/>
        </w:r>
        <w:r>
          <w:rPr>
            <w:noProof w:val="1"/>
          </w:rPr>
          <w:t>10</w:t>
        </w:r>
        <w:r>
          <w:rPr>
            <w:noProof w:val="1"/>
          </w:rPr>
          <w:fldChar w:fldCharType="end"/>
        </w:r>
      </w:hyperlink>
    </w:p>
    <w:p>
      <w:pPr>
        <w:pStyle w:val="P21"/>
        <w:rPr>
          <w:rFonts w:asciiTheme="minorHAnsi" w:hAnsiTheme="minorHAnsi" w:cstheme="minorBidi"/>
          <w:noProof w:val="1"/>
          <w:lang w:eastAsia="sv-SE"/>
        </w:rPr>
      </w:pPr>
      <w:hyperlink w:anchor="_Toc191546063">
        <w:r>
          <w:rPr>
            <w:rStyle w:val="C2"/>
            <w:noProof w:val="1"/>
          </w:rPr>
          <w:t>Användning av egenskapsbestämmelser för kvartersmark</w:t>
        </w:r>
        <w:r>
          <w:rPr>
            <w:noProof w:val="1"/>
          </w:rPr>
          <w:tab/>
        </w:r>
        <w:r>
          <w:rPr>
            <w:noProof w:val="1"/>
          </w:rPr>
          <w:fldChar w:fldCharType="begin"/>
        </w:r>
        <w:r>
          <w:rPr>
            <w:noProof w:val="1"/>
          </w:rPr>
          <w:instrText xml:space="preserve"> PAGEREF _Toc191546063 \h </w:instrText>
        </w:r>
        <w:r>
          <w:rPr>
            <w:noProof w:val="1"/>
          </w:rPr>
          <w:fldChar w:fldCharType="separate"/>
        </w:r>
        <w:r>
          <w:rPr>
            <w:noProof w:val="1"/>
          </w:rPr>
          <w:t>10</w:t>
        </w:r>
        <w:r>
          <w:rPr>
            <w:noProof w:val="1"/>
          </w:rPr>
          <w:fldChar w:fldCharType="end"/>
        </w:r>
      </w:hyperlink>
    </w:p>
    <w:p>
      <w:pPr>
        <w:pStyle w:val="P21"/>
        <w:rPr>
          <w:rFonts w:asciiTheme="minorHAnsi" w:hAnsiTheme="minorHAnsi" w:cstheme="minorBidi"/>
          <w:noProof w:val="1"/>
          <w:lang w:eastAsia="sv-SE"/>
        </w:rPr>
      </w:pPr>
      <w:hyperlink w:anchor="_Toc191546064">
        <w:r>
          <w:rPr>
            <w:rStyle w:val="C2"/>
            <w:noProof w:val="1"/>
          </w:rPr>
          <w:t>Genomförandetid</w:t>
        </w:r>
        <w:r>
          <w:rPr>
            <w:noProof w:val="1"/>
          </w:rPr>
          <w:tab/>
        </w:r>
        <w:r>
          <w:rPr>
            <w:noProof w:val="1"/>
          </w:rPr>
          <w:fldChar w:fldCharType="begin"/>
        </w:r>
        <w:r>
          <w:rPr>
            <w:noProof w:val="1"/>
          </w:rPr>
          <w:instrText xml:space="preserve"> PAGEREF _Toc191546064 \h </w:instrText>
        </w:r>
        <w:r>
          <w:rPr>
            <w:noProof w:val="1"/>
          </w:rPr>
          <w:fldChar w:fldCharType="separate"/>
        </w:r>
        <w:r>
          <w:rPr>
            <w:noProof w:val="1"/>
          </w:rPr>
          <w:t>14</w:t>
        </w:r>
        <w:r>
          <w:rPr>
            <w:noProof w:val="1"/>
          </w:rPr>
          <w:fldChar w:fldCharType="end"/>
        </w:r>
      </w:hyperlink>
    </w:p>
    <w:p>
      <w:pPr>
        <w:pStyle w:val="P20"/>
        <w:rPr>
          <w:rFonts w:asciiTheme="minorHAnsi" w:hAnsiTheme="minorHAnsi" w:cstheme="minorBidi"/>
          <w:b w:val="0"/>
          <w:noProof w:val="1"/>
          <w:lang w:eastAsia="sv-SE"/>
        </w:rPr>
      </w:pPr>
      <w:hyperlink w:anchor="_Toc191546065">
        <w:r>
          <w:rPr>
            <w:rStyle w:val="C2"/>
            <w:noProof w:val="1"/>
          </w:rPr>
          <w:t>Planeringsförutsättningar och konsekvenser</w:t>
        </w:r>
        <w:r>
          <w:rPr>
            <w:noProof w:val="1"/>
          </w:rPr>
          <w:tab/>
        </w:r>
        <w:r>
          <w:rPr>
            <w:noProof w:val="1"/>
          </w:rPr>
          <w:fldChar w:fldCharType="begin"/>
        </w:r>
        <w:r>
          <w:rPr>
            <w:noProof w:val="1"/>
          </w:rPr>
          <w:instrText xml:space="preserve"> PAGEREF _Toc191546065 \h </w:instrText>
        </w:r>
        <w:r>
          <w:rPr>
            <w:noProof w:val="1"/>
          </w:rPr>
          <w:fldChar w:fldCharType="separate"/>
        </w:r>
        <w:r>
          <w:rPr>
            <w:noProof w:val="1"/>
          </w:rPr>
          <w:t>14</w:t>
        </w:r>
        <w:r>
          <w:rPr>
            <w:noProof w:val="1"/>
          </w:rPr>
          <w:fldChar w:fldCharType="end"/>
        </w:r>
      </w:hyperlink>
    </w:p>
    <w:p>
      <w:pPr>
        <w:pStyle w:val="P21"/>
        <w:rPr>
          <w:rFonts w:asciiTheme="minorHAnsi" w:hAnsiTheme="minorHAnsi" w:cstheme="minorBidi"/>
          <w:noProof w:val="1"/>
          <w:lang w:eastAsia="sv-SE"/>
        </w:rPr>
      </w:pPr>
      <w:hyperlink w:anchor="_Toc191546066">
        <w:r>
          <w:rPr>
            <w:rStyle w:val="C2"/>
            <w:noProof w:val="1"/>
          </w:rPr>
          <w:t>Kommunala ställningstagande</w:t>
        </w:r>
        <w:r>
          <w:rPr>
            <w:noProof w:val="1"/>
          </w:rPr>
          <w:tab/>
        </w:r>
        <w:r>
          <w:rPr>
            <w:noProof w:val="1"/>
          </w:rPr>
          <w:fldChar w:fldCharType="begin"/>
        </w:r>
        <w:r>
          <w:rPr>
            <w:noProof w:val="1"/>
          </w:rPr>
          <w:instrText xml:space="preserve"> PAGEREF _Toc191546066 \h </w:instrText>
        </w:r>
        <w:r>
          <w:rPr>
            <w:noProof w:val="1"/>
          </w:rPr>
          <w:fldChar w:fldCharType="separate"/>
        </w:r>
        <w:r>
          <w:rPr>
            <w:noProof w:val="1"/>
          </w:rPr>
          <w:t>14</w:t>
        </w:r>
        <w:r>
          <w:rPr>
            <w:noProof w:val="1"/>
          </w:rPr>
          <w:fldChar w:fldCharType="end"/>
        </w:r>
      </w:hyperlink>
    </w:p>
    <w:p>
      <w:pPr>
        <w:pStyle w:val="P22"/>
        <w:rPr>
          <w:rFonts w:asciiTheme="minorHAnsi" w:hAnsiTheme="minorHAnsi" w:cstheme="minorBidi"/>
          <w:noProof w:val="1"/>
          <w:lang w:eastAsia="sv-SE"/>
        </w:rPr>
      </w:pPr>
      <w:hyperlink w:anchor="_Toc191546067">
        <w:r>
          <w:rPr>
            <w:rStyle w:val="C2"/>
            <w:noProof w:val="1"/>
          </w:rPr>
          <w:t>Översiktsplan</w:t>
        </w:r>
        <w:r>
          <w:rPr>
            <w:noProof w:val="1"/>
          </w:rPr>
          <w:tab/>
        </w:r>
        <w:r>
          <w:rPr>
            <w:noProof w:val="1"/>
          </w:rPr>
          <w:fldChar w:fldCharType="begin"/>
        </w:r>
        <w:r>
          <w:rPr>
            <w:noProof w:val="1"/>
          </w:rPr>
          <w:instrText xml:space="preserve"> PAGEREF _Toc191546067 \h </w:instrText>
        </w:r>
        <w:r>
          <w:rPr>
            <w:noProof w:val="1"/>
          </w:rPr>
          <w:fldChar w:fldCharType="separate"/>
        </w:r>
        <w:r>
          <w:rPr>
            <w:noProof w:val="1"/>
          </w:rPr>
          <w:t>14</w:t>
        </w:r>
        <w:r>
          <w:rPr>
            <w:noProof w:val="1"/>
          </w:rPr>
          <w:fldChar w:fldCharType="end"/>
        </w:r>
      </w:hyperlink>
    </w:p>
    <w:p>
      <w:pPr>
        <w:pStyle w:val="P22"/>
        <w:rPr>
          <w:rFonts w:asciiTheme="minorHAnsi" w:hAnsiTheme="minorHAnsi" w:cstheme="minorBidi"/>
          <w:noProof w:val="1"/>
          <w:lang w:eastAsia="sv-SE"/>
        </w:rPr>
      </w:pPr>
      <w:hyperlink w:anchor="_Toc191546068">
        <w:r>
          <w:rPr>
            <w:rStyle w:val="C2"/>
            <w:noProof w:val="1"/>
          </w:rPr>
          <w:t>Detaljplan</w:t>
        </w:r>
        <w:r>
          <w:rPr>
            <w:noProof w:val="1"/>
          </w:rPr>
          <w:tab/>
        </w:r>
        <w:r>
          <w:rPr>
            <w:noProof w:val="1"/>
          </w:rPr>
          <w:fldChar w:fldCharType="begin"/>
        </w:r>
        <w:r>
          <w:rPr>
            <w:noProof w:val="1"/>
          </w:rPr>
          <w:instrText xml:space="preserve"> PAGEREF _Toc191546068 \h </w:instrText>
        </w:r>
        <w:r>
          <w:rPr>
            <w:noProof w:val="1"/>
          </w:rPr>
          <w:fldChar w:fldCharType="separate"/>
        </w:r>
        <w:r>
          <w:rPr>
            <w:noProof w:val="1"/>
          </w:rPr>
          <w:t>15</w:t>
        </w:r>
        <w:r>
          <w:rPr>
            <w:noProof w:val="1"/>
          </w:rPr>
          <w:fldChar w:fldCharType="end"/>
        </w:r>
      </w:hyperlink>
    </w:p>
    <w:p>
      <w:pPr>
        <w:pStyle w:val="P22"/>
        <w:rPr>
          <w:rFonts w:asciiTheme="minorHAnsi" w:hAnsiTheme="minorHAnsi" w:cstheme="minorBidi"/>
          <w:noProof w:val="1"/>
          <w:lang w:eastAsia="sv-SE"/>
        </w:rPr>
      </w:pPr>
      <w:hyperlink w:anchor="_Toc191546069">
        <w:r>
          <w:rPr>
            <w:rStyle w:val="C2"/>
            <w:noProof w:val="1"/>
          </w:rPr>
          <w:t>Planbesked</w:t>
        </w:r>
        <w:r>
          <w:rPr>
            <w:noProof w:val="1"/>
          </w:rPr>
          <w:tab/>
        </w:r>
        <w:r>
          <w:rPr>
            <w:noProof w:val="1"/>
          </w:rPr>
          <w:fldChar w:fldCharType="begin"/>
        </w:r>
        <w:r>
          <w:rPr>
            <w:noProof w:val="1"/>
          </w:rPr>
          <w:instrText xml:space="preserve"> PAGEREF _Toc191546069 \h </w:instrText>
        </w:r>
        <w:r>
          <w:rPr>
            <w:noProof w:val="1"/>
          </w:rPr>
          <w:fldChar w:fldCharType="separate"/>
        </w:r>
        <w:r>
          <w:rPr>
            <w:noProof w:val="1"/>
          </w:rPr>
          <w:t>15</w:t>
        </w:r>
        <w:r>
          <w:rPr>
            <w:noProof w:val="1"/>
          </w:rPr>
          <w:fldChar w:fldCharType="end"/>
        </w:r>
      </w:hyperlink>
    </w:p>
    <w:p>
      <w:pPr>
        <w:pStyle w:val="P22"/>
        <w:rPr>
          <w:rFonts w:asciiTheme="minorHAnsi" w:hAnsiTheme="minorHAnsi" w:cstheme="minorBidi"/>
          <w:noProof w:val="1"/>
          <w:lang w:eastAsia="sv-SE"/>
        </w:rPr>
      </w:pPr>
      <w:hyperlink w:anchor="_Toc191546070">
        <w:r>
          <w:rPr>
            <w:rStyle w:val="C2"/>
            <w:noProof w:val="1"/>
          </w:rPr>
          <w:t>Gestaltningsprogrammet</w:t>
        </w:r>
        <w:r>
          <w:rPr>
            <w:noProof w:val="1"/>
          </w:rPr>
          <w:tab/>
        </w:r>
        <w:r>
          <w:rPr>
            <w:noProof w:val="1"/>
          </w:rPr>
          <w:fldChar w:fldCharType="begin"/>
        </w:r>
        <w:r>
          <w:rPr>
            <w:noProof w:val="1"/>
          </w:rPr>
          <w:instrText xml:space="preserve"> PAGEREF _Toc191546070 \h </w:instrText>
        </w:r>
        <w:r>
          <w:rPr>
            <w:noProof w:val="1"/>
          </w:rPr>
          <w:fldChar w:fldCharType="separate"/>
        </w:r>
        <w:r>
          <w:rPr>
            <w:noProof w:val="1"/>
          </w:rPr>
          <w:t>15</w:t>
        </w:r>
        <w:r>
          <w:rPr>
            <w:noProof w:val="1"/>
          </w:rPr>
          <w:fldChar w:fldCharType="end"/>
        </w:r>
      </w:hyperlink>
    </w:p>
    <w:p>
      <w:pPr>
        <w:pStyle w:val="P21"/>
        <w:rPr>
          <w:rFonts w:asciiTheme="minorHAnsi" w:hAnsiTheme="minorHAnsi" w:cstheme="minorBidi"/>
          <w:noProof w:val="1"/>
          <w:lang w:eastAsia="sv-SE"/>
        </w:rPr>
      </w:pPr>
      <w:hyperlink w:anchor="_Toc191546071">
        <w:r>
          <w:rPr>
            <w:rStyle w:val="C2"/>
            <w:noProof w:val="1"/>
          </w:rPr>
          <w:t>Riksintressen</w:t>
        </w:r>
        <w:r>
          <w:rPr>
            <w:noProof w:val="1"/>
          </w:rPr>
          <w:tab/>
        </w:r>
        <w:r>
          <w:rPr>
            <w:noProof w:val="1"/>
          </w:rPr>
          <w:fldChar w:fldCharType="begin"/>
        </w:r>
        <w:r>
          <w:rPr>
            <w:noProof w:val="1"/>
          </w:rPr>
          <w:instrText xml:space="preserve"> PAGEREF _Toc191546071 \h </w:instrText>
        </w:r>
        <w:r>
          <w:rPr>
            <w:noProof w:val="1"/>
          </w:rPr>
          <w:fldChar w:fldCharType="separate"/>
        </w:r>
        <w:r>
          <w:rPr>
            <w:noProof w:val="1"/>
          </w:rPr>
          <w:t>16</w:t>
        </w:r>
        <w:r>
          <w:rPr>
            <w:noProof w:val="1"/>
          </w:rPr>
          <w:fldChar w:fldCharType="end"/>
        </w:r>
      </w:hyperlink>
    </w:p>
    <w:p>
      <w:pPr>
        <w:pStyle w:val="P22"/>
        <w:rPr>
          <w:rFonts w:asciiTheme="minorHAnsi" w:hAnsiTheme="minorHAnsi" w:cstheme="minorBidi"/>
          <w:noProof w:val="1"/>
          <w:lang w:eastAsia="sv-SE"/>
        </w:rPr>
      </w:pPr>
      <w:hyperlink w:anchor="_Toc191546072">
        <w:r>
          <w:rPr>
            <w:rStyle w:val="C2"/>
            <w:noProof w:val="1"/>
          </w:rPr>
          <w:t>Luftfart</w:t>
        </w:r>
        <w:r>
          <w:rPr>
            <w:noProof w:val="1"/>
          </w:rPr>
          <w:tab/>
          <w:tab/>
        </w:r>
        <w:r>
          <w:rPr>
            <w:noProof w:val="1"/>
          </w:rPr>
          <w:fldChar w:fldCharType="begin"/>
        </w:r>
        <w:r>
          <w:rPr>
            <w:noProof w:val="1"/>
          </w:rPr>
          <w:instrText xml:space="preserve"> PAGEREF _Toc191546072 \h </w:instrText>
        </w:r>
        <w:r>
          <w:rPr>
            <w:noProof w:val="1"/>
          </w:rPr>
          <w:fldChar w:fldCharType="separate"/>
        </w:r>
        <w:r>
          <w:rPr>
            <w:noProof w:val="1"/>
          </w:rPr>
          <w:t>16</w:t>
        </w:r>
        <w:r>
          <w:rPr>
            <w:noProof w:val="1"/>
          </w:rPr>
          <w:fldChar w:fldCharType="end"/>
        </w:r>
      </w:hyperlink>
    </w:p>
    <w:p>
      <w:pPr>
        <w:pStyle w:val="P21"/>
        <w:rPr>
          <w:rFonts w:asciiTheme="minorHAnsi" w:hAnsiTheme="minorHAnsi" w:cstheme="minorBidi"/>
          <w:noProof w:val="1"/>
          <w:lang w:eastAsia="sv-SE"/>
        </w:rPr>
      </w:pPr>
      <w:hyperlink w:anchor="_Toc191546073">
        <w:r>
          <w:rPr>
            <w:rStyle w:val="C2"/>
            <w:noProof w:val="1"/>
          </w:rPr>
          <w:t>Geotekniska förhållanden</w:t>
        </w:r>
        <w:r>
          <w:rPr>
            <w:noProof w:val="1"/>
          </w:rPr>
          <w:tab/>
        </w:r>
        <w:r>
          <w:rPr>
            <w:noProof w:val="1"/>
          </w:rPr>
          <w:fldChar w:fldCharType="begin"/>
        </w:r>
        <w:r>
          <w:rPr>
            <w:noProof w:val="1"/>
          </w:rPr>
          <w:instrText xml:space="preserve"> PAGEREF _Toc191546073 \h </w:instrText>
        </w:r>
        <w:r>
          <w:rPr>
            <w:noProof w:val="1"/>
          </w:rPr>
          <w:fldChar w:fldCharType="separate"/>
        </w:r>
        <w:r>
          <w:rPr>
            <w:noProof w:val="1"/>
          </w:rPr>
          <w:t>16</w:t>
        </w:r>
        <w:r>
          <w:rPr>
            <w:noProof w:val="1"/>
          </w:rPr>
          <w:fldChar w:fldCharType="end"/>
        </w:r>
      </w:hyperlink>
    </w:p>
    <w:p>
      <w:pPr>
        <w:pStyle w:val="P21"/>
        <w:rPr>
          <w:rFonts w:asciiTheme="minorHAnsi" w:hAnsiTheme="minorHAnsi" w:cstheme="minorBidi"/>
          <w:noProof w:val="1"/>
          <w:lang w:eastAsia="sv-SE"/>
        </w:rPr>
      </w:pPr>
      <w:hyperlink w:anchor="_Toc191546074">
        <w:r>
          <w:rPr>
            <w:rStyle w:val="C2"/>
            <w:noProof w:val="1"/>
          </w:rPr>
          <w:t>Hälsa säkerhet</w:t>
        </w:r>
        <w:r>
          <w:rPr>
            <w:noProof w:val="1"/>
          </w:rPr>
          <w:tab/>
        </w:r>
        <w:r>
          <w:rPr>
            <w:noProof w:val="1"/>
          </w:rPr>
          <w:fldChar w:fldCharType="begin"/>
        </w:r>
        <w:r>
          <w:rPr>
            <w:noProof w:val="1"/>
          </w:rPr>
          <w:instrText xml:space="preserve"> PAGEREF _Toc191546074 \h </w:instrText>
        </w:r>
        <w:r>
          <w:rPr>
            <w:noProof w:val="1"/>
          </w:rPr>
          <w:fldChar w:fldCharType="separate"/>
        </w:r>
        <w:r>
          <w:rPr>
            <w:noProof w:val="1"/>
          </w:rPr>
          <w:t>17</w:t>
        </w:r>
        <w:r>
          <w:rPr>
            <w:noProof w:val="1"/>
          </w:rPr>
          <w:fldChar w:fldCharType="end"/>
        </w:r>
      </w:hyperlink>
    </w:p>
    <w:p>
      <w:pPr>
        <w:pStyle w:val="P22"/>
        <w:rPr>
          <w:rFonts w:asciiTheme="minorHAnsi" w:hAnsiTheme="minorHAnsi" w:cstheme="minorBidi"/>
          <w:noProof w:val="1"/>
          <w:lang w:eastAsia="sv-SE"/>
        </w:rPr>
      </w:pPr>
      <w:hyperlink w:anchor="_Toc191546075">
        <w:r>
          <w:rPr>
            <w:rStyle w:val="C2"/>
            <w:noProof w:val="1"/>
          </w:rPr>
          <w:t>Radon</w:t>
          <w:tab/>
        </w:r>
        <w:r>
          <w:rPr>
            <w:noProof w:val="1"/>
          </w:rPr>
          <w:tab/>
        </w:r>
        <w:r>
          <w:rPr>
            <w:noProof w:val="1"/>
          </w:rPr>
          <w:fldChar w:fldCharType="begin"/>
        </w:r>
        <w:r>
          <w:rPr>
            <w:noProof w:val="1"/>
          </w:rPr>
          <w:instrText xml:space="preserve"> PAGEREF _Toc191546075 \h </w:instrText>
        </w:r>
        <w:r>
          <w:rPr>
            <w:noProof w:val="1"/>
          </w:rPr>
          <w:fldChar w:fldCharType="separate"/>
        </w:r>
        <w:r>
          <w:rPr>
            <w:noProof w:val="1"/>
          </w:rPr>
          <w:t>17</w:t>
        </w:r>
        <w:r>
          <w:rPr>
            <w:noProof w:val="1"/>
          </w:rPr>
          <w:fldChar w:fldCharType="end"/>
        </w:r>
      </w:hyperlink>
    </w:p>
    <w:p>
      <w:pPr>
        <w:pStyle w:val="P22"/>
        <w:rPr>
          <w:rFonts w:asciiTheme="minorHAnsi" w:hAnsiTheme="minorHAnsi" w:cstheme="minorBidi"/>
          <w:noProof w:val="1"/>
          <w:lang w:eastAsia="sv-SE"/>
        </w:rPr>
      </w:pPr>
      <w:hyperlink w:anchor="_Toc191546076">
        <w:r>
          <w:rPr>
            <w:rStyle w:val="C2"/>
            <w:noProof w:val="1"/>
          </w:rPr>
          <w:t>Förorenad mark</w:t>
        </w:r>
        <w:r>
          <w:rPr>
            <w:noProof w:val="1"/>
          </w:rPr>
          <w:tab/>
        </w:r>
        <w:r>
          <w:rPr>
            <w:noProof w:val="1"/>
          </w:rPr>
          <w:fldChar w:fldCharType="begin"/>
        </w:r>
        <w:r>
          <w:rPr>
            <w:noProof w:val="1"/>
          </w:rPr>
          <w:instrText xml:space="preserve"> PAGEREF _Toc191546076 \h </w:instrText>
        </w:r>
        <w:r>
          <w:rPr>
            <w:noProof w:val="1"/>
          </w:rPr>
          <w:fldChar w:fldCharType="separate"/>
        </w:r>
        <w:r>
          <w:rPr>
            <w:noProof w:val="1"/>
          </w:rPr>
          <w:t>17</w:t>
        </w:r>
        <w:r>
          <w:rPr>
            <w:noProof w:val="1"/>
          </w:rPr>
          <w:fldChar w:fldCharType="end"/>
        </w:r>
      </w:hyperlink>
    </w:p>
    <w:p>
      <w:pPr>
        <w:pStyle w:val="P22"/>
        <w:rPr>
          <w:rFonts w:asciiTheme="minorHAnsi" w:hAnsiTheme="minorHAnsi" w:cstheme="minorBidi"/>
          <w:noProof w:val="1"/>
          <w:lang w:eastAsia="sv-SE"/>
        </w:rPr>
      </w:pPr>
      <w:hyperlink w:anchor="_Toc191546077">
        <w:r>
          <w:rPr>
            <w:rStyle w:val="C2"/>
            <w:noProof w:val="1"/>
          </w:rPr>
          <w:t>Farligt gods</w:t>
        </w:r>
        <w:r>
          <w:rPr>
            <w:noProof w:val="1"/>
          </w:rPr>
          <w:tab/>
        </w:r>
        <w:r>
          <w:rPr>
            <w:noProof w:val="1"/>
          </w:rPr>
          <w:fldChar w:fldCharType="begin"/>
        </w:r>
        <w:r>
          <w:rPr>
            <w:noProof w:val="1"/>
          </w:rPr>
          <w:instrText xml:space="preserve"> PAGEREF _Toc191546077 \h </w:instrText>
        </w:r>
        <w:r>
          <w:rPr>
            <w:noProof w:val="1"/>
          </w:rPr>
          <w:fldChar w:fldCharType="separate"/>
        </w:r>
        <w:r>
          <w:rPr>
            <w:noProof w:val="1"/>
          </w:rPr>
          <w:t>18</w:t>
        </w:r>
        <w:r>
          <w:rPr>
            <w:noProof w:val="1"/>
          </w:rPr>
          <w:fldChar w:fldCharType="end"/>
        </w:r>
      </w:hyperlink>
    </w:p>
    <w:p>
      <w:pPr>
        <w:pStyle w:val="P22"/>
        <w:rPr>
          <w:rFonts w:asciiTheme="minorHAnsi" w:hAnsiTheme="minorHAnsi" w:cstheme="minorBidi"/>
          <w:noProof w:val="1"/>
          <w:lang w:eastAsia="sv-SE"/>
        </w:rPr>
      </w:pPr>
      <w:hyperlink w:anchor="_Toc191546078">
        <w:r>
          <w:rPr>
            <w:rStyle w:val="C2"/>
            <w:noProof w:val="1"/>
          </w:rPr>
          <w:t>Omgivningsbuller</w:t>
        </w:r>
        <w:r>
          <w:rPr>
            <w:noProof w:val="1"/>
          </w:rPr>
          <w:tab/>
        </w:r>
        <w:r>
          <w:rPr>
            <w:noProof w:val="1"/>
          </w:rPr>
          <w:fldChar w:fldCharType="begin"/>
        </w:r>
        <w:r>
          <w:rPr>
            <w:noProof w:val="1"/>
          </w:rPr>
          <w:instrText xml:space="preserve"> PAGEREF _Toc191546078 \h </w:instrText>
        </w:r>
        <w:r>
          <w:rPr>
            <w:noProof w:val="1"/>
          </w:rPr>
          <w:fldChar w:fldCharType="separate"/>
        </w:r>
        <w:r>
          <w:rPr>
            <w:noProof w:val="1"/>
          </w:rPr>
          <w:t>19</w:t>
        </w:r>
        <w:r>
          <w:rPr>
            <w:noProof w:val="1"/>
          </w:rPr>
          <w:fldChar w:fldCharType="end"/>
        </w:r>
      </w:hyperlink>
    </w:p>
    <w:p>
      <w:pPr>
        <w:pStyle w:val="P22"/>
        <w:rPr>
          <w:rFonts w:asciiTheme="minorHAnsi" w:hAnsiTheme="minorHAnsi" w:cstheme="minorBidi"/>
          <w:noProof w:val="1"/>
          <w:lang w:eastAsia="sv-SE"/>
        </w:rPr>
      </w:pPr>
      <w:hyperlink w:anchor="_Toc191546079">
        <w:r>
          <w:rPr>
            <w:rStyle w:val="C2"/>
            <w:noProof w:val="1"/>
          </w:rPr>
          <w:t>Risk för översvämning</w:t>
        </w:r>
        <w:r>
          <w:rPr>
            <w:noProof w:val="1"/>
          </w:rPr>
          <w:tab/>
        </w:r>
        <w:r>
          <w:rPr>
            <w:noProof w:val="1"/>
          </w:rPr>
          <w:fldChar w:fldCharType="begin"/>
        </w:r>
        <w:r>
          <w:rPr>
            <w:noProof w:val="1"/>
          </w:rPr>
          <w:instrText xml:space="preserve"> PAGEREF _Toc191546079 \h </w:instrText>
        </w:r>
        <w:r>
          <w:rPr>
            <w:noProof w:val="1"/>
          </w:rPr>
          <w:fldChar w:fldCharType="separate"/>
        </w:r>
        <w:r>
          <w:rPr>
            <w:noProof w:val="1"/>
          </w:rPr>
          <w:t>20</w:t>
        </w:r>
        <w:r>
          <w:rPr>
            <w:noProof w:val="1"/>
          </w:rPr>
          <w:fldChar w:fldCharType="end"/>
        </w:r>
      </w:hyperlink>
    </w:p>
    <w:p>
      <w:pPr>
        <w:pStyle w:val="P22"/>
        <w:rPr>
          <w:rFonts w:asciiTheme="minorHAnsi" w:hAnsiTheme="minorHAnsi" w:cstheme="minorBidi"/>
          <w:noProof w:val="1"/>
          <w:lang w:eastAsia="sv-SE"/>
        </w:rPr>
      </w:pPr>
      <w:hyperlink w:anchor="_Toc191546080">
        <w:r>
          <w:rPr>
            <w:rStyle w:val="C2"/>
            <w:noProof w:val="1"/>
          </w:rPr>
          <w:t>Risk för ras och skred</w:t>
        </w:r>
        <w:r>
          <w:rPr>
            <w:noProof w:val="1"/>
          </w:rPr>
          <w:tab/>
        </w:r>
        <w:r>
          <w:rPr>
            <w:noProof w:val="1"/>
          </w:rPr>
          <w:fldChar w:fldCharType="begin"/>
        </w:r>
        <w:r>
          <w:rPr>
            <w:noProof w:val="1"/>
          </w:rPr>
          <w:instrText xml:space="preserve"> PAGEREF _Toc191546080 \h </w:instrText>
        </w:r>
        <w:r>
          <w:rPr>
            <w:noProof w:val="1"/>
          </w:rPr>
          <w:fldChar w:fldCharType="separate"/>
        </w:r>
        <w:r>
          <w:rPr>
            <w:noProof w:val="1"/>
          </w:rPr>
          <w:t>21</w:t>
        </w:r>
        <w:r>
          <w:rPr>
            <w:noProof w:val="1"/>
          </w:rPr>
          <w:fldChar w:fldCharType="end"/>
        </w:r>
      </w:hyperlink>
    </w:p>
    <w:p>
      <w:pPr>
        <w:pStyle w:val="P21"/>
        <w:rPr>
          <w:rFonts w:asciiTheme="minorHAnsi" w:hAnsiTheme="minorHAnsi" w:cstheme="minorBidi"/>
          <w:noProof w:val="1"/>
          <w:lang w:eastAsia="sv-SE"/>
        </w:rPr>
      </w:pPr>
      <w:hyperlink w:anchor="_Toc191546081">
        <w:r>
          <w:rPr>
            <w:rStyle w:val="C2"/>
            <w:noProof w:val="1"/>
          </w:rPr>
          <w:t>Bebyggelse</w:t>
        </w:r>
        <w:r>
          <w:rPr>
            <w:noProof w:val="1"/>
          </w:rPr>
          <w:tab/>
        </w:r>
        <w:r>
          <w:rPr>
            <w:noProof w:val="1"/>
          </w:rPr>
          <w:fldChar w:fldCharType="begin"/>
        </w:r>
        <w:r>
          <w:rPr>
            <w:noProof w:val="1"/>
          </w:rPr>
          <w:instrText xml:space="preserve"> PAGEREF _Toc191546081 \h </w:instrText>
        </w:r>
        <w:r>
          <w:rPr>
            <w:noProof w:val="1"/>
          </w:rPr>
          <w:fldChar w:fldCharType="separate"/>
        </w:r>
        <w:r>
          <w:rPr>
            <w:noProof w:val="1"/>
          </w:rPr>
          <w:t>21</w:t>
        </w:r>
        <w:r>
          <w:rPr>
            <w:noProof w:val="1"/>
          </w:rPr>
          <w:fldChar w:fldCharType="end"/>
        </w:r>
      </w:hyperlink>
    </w:p>
    <w:p>
      <w:pPr>
        <w:pStyle w:val="P21"/>
        <w:rPr>
          <w:rFonts w:asciiTheme="minorHAnsi" w:hAnsiTheme="minorHAnsi" w:cstheme="minorBidi"/>
          <w:noProof w:val="1"/>
          <w:lang w:eastAsia="sv-SE"/>
        </w:rPr>
      </w:pPr>
      <w:hyperlink w:anchor="_Toc191546082">
        <w:r>
          <w:rPr>
            <w:rStyle w:val="C2"/>
            <w:noProof w:val="1"/>
          </w:rPr>
          <w:t>Service</w:t>
        </w:r>
        <w:r>
          <w:rPr>
            <w:noProof w:val="1"/>
          </w:rPr>
          <w:tab/>
        </w:r>
        <w:r>
          <w:rPr>
            <w:noProof w:val="1"/>
          </w:rPr>
          <w:fldChar w:fldCharType="begin"/>
        </w:r>
        <w:r>
          <w:rPr>
            <w:noProof w:val="1"/>
          </w:rPr>
          <w:instrText xml:space="preserve"> PAGEREF _Toc191546082 \h </w:instrText>
        </w:r>
        <w:r>
          <w:rPr>
            <w:noProof w:val="1"/>
          </w:rPr>
          <w:fldChar w:fldCharType="separate"/>
        </w:r>
        <w:r>
          <w:rPr>
            <w:noProof w:val="1"/>
          </w:rPr>
          <w:t>22</w:t>
        </w:r>
        <w:r>
          <w:rPr>
            <w:noProof w:val="1"/>
          </w:rPr>
          <w:fldChar w:fldCharType="end"/>
        </w:r>
      </w:hyperlink>
    </w:p>
    <w:p>
      <w:pPr>
        <w:pStyle w:val="P21"/>
        <w:rPr>
          <w:rFonts w:asciiTheme="minorHAnsi" w:hAnsiTheme="minorHAnsi" w:cstheme="minorBidi"/>
          <w:noProof w:val="1"/>
          <w:lang w:eastAsia="sv-SE"/>
        </w:rPr>
      </w:pPr>
      <w:hyperlink w:anchor="_Toc191546083">
        <w:r>
          <w:rPr>
            <w:rStyle w:val="C2"/>
            <w:noProof w:val="1"/>
          </w:rPr>
          <w:t>Natur och rekreation</w:t>
        </w:r>
        <w:r>
          <w:rPr>
            <w:noProof w:val="1"/>
          </w:rPr>
          <w:tab/>
        </w:r>
        <w:r>
          <w:rPr>
            <w:noProof w:val="1"/>
          </w:rPr>
          <w:fldChar w:fldCharType="begin"/>
        </w:r>
        <w:r>
          <w:rPr>
            <w:noProof w:val="1"/>
          </w:rPr>
          <w:instrText xml:space="preserve"> PAGEREF _Toc191546083 \h </w:instrText>
        </w:r>
        <w:r>
          <w:rPr>
            <w:noProof w:val="1"/>
          </w:rPr>
          <w:fldChar w:fldCharType="separate"/>
        </w:r>
        <w:r>
          <w:rPr>
            <w:noProof w:val="1"/>
          </w:rPr>
          <w:t>23</w:t>
        </w:r>
        <w:r>
          <w:rPr>
            <w:noProof w:val="1"/>
          </w:rPr>
          <w:fldChar w:fldCharType="end"/>
        </w:r>
      </w:hyperlink>
    </w:p>
    <w:p>
      <w:pPr>
        <w:pStyle w:val="P22"/>
        <w:rPr>
          <w:rFonts w:asciiTheme="minorHAnsi" w:hAnsiTheme="minorHAnsi" w:cstheme="minorBidi"/>
          <w:noProof w:val="1"/>
          <w:lang w:eastAsia="sv-SE"/>
        </w:rPr>
      </w:pPr>
      <w:hyperlink w:anchor="_Toc191546084">
        <w:r>
          <w:rPr>
            <w:rStyle w:val="C2"/>
            <w:noProof w:val="1"/>
          </w:rPr>
          <w:t>Skyddsvärda träd</w:t>
        </w:r>
        <w:r>
          <w:rPr>
            <w:noProof w:val="1"/>
          </w:rPr>
          <w:tab/>
        </w:r>
        <w:r>
          <w:rPr>
            <w:noProof w:val="1"/>
          </w:rPr>
          <w:fldChar w:fldCharType="begin"/>
        </w:r>
        <w:r>
          <w:rPr>
            <w:noProof w:val="1"/>
          </w:rPr>
          <w:instrText xml:space="preserve"> PAGEREF _Toc191546084 \h </w:instrText>
        </w:r>
        <w:r>
          <w:rPr>
            <w:noProof w:val="1"/>
          </w:rPr>
          <w:fldChar w:fldCharType="separate"/>
        </w:r>
        <w:r>
          <w:rPr>
            <w:noProof w:val="1"/>
          </w:rPr>
          <w:t>23</w:t>
        </w:r>
        <w:r>
          <w:rPr>
            <w:noProof w:val="1"/>
          </w:rPr>
          <w:fldChar w:fldCharType="end"/>
        </w:r>
      </w:hyperlink>
    </w:p>
    <w:p>
      <w:pPr>
        <w:pStyle w:val="P22"/>
        <w:rPr>
          <w:rFonts w:asciiTheme="minorHAnsi" w:hAnsiTheme="minorHAnsi" w:cstheme="minorBidi"/>
          <w:noProof w:val="1"/>
          <w:lang w:eastAsia="sv-SE"/>
        </w:rPr>
      </w:pPr>
      <w:hyperlink w:anchor="_Toc191546085">
        <w:r>
          <w:rPr>
            <w:rStyle w:val="C2"/>
            <w:noProof w:val="1"/>
          </w:rPr>
          <w:t>Artinventering</w:t>
        </w:r>
        <w:r>
          <w:rPr>
            <w:noProof w:val="1"/>
          </w:rPr>
          <w:tab/>
        </w:r>
        <w:r>
          <w:rPr>
            <w:noProof w:val="1"/>
          </w:rPr>
          <w:fldChar w:fldCharType="begin"/>
        </w:r>
        <w:r>
          <w:rPr>
            <w:noProof w:val="1"/>
          </w:rPr>
          <w:instrText xml:space="preserve"> PAGEREF _Toc191546085 \h </w:instrText>
        </w:r>
        <w:r>
          <w:rPr>
            <w:noProof w:val="1"/>
          </w:rPr>
          <w:fldChar w:fldCharType="separate"/>
        </w:r>
        <w:r>
          <w:rPr>
            <w:noProof w:val="1"/>
          </w:rPr>
          <w:t>25</w:t>
        </w:r>
        <w:r>
          <w:rPr>
            <w:noProof w:val="1"/>
          </w:rPr>
          <w:fldChar w:fldCharType="end"/>
        </w:r>
      </w:hyperlink>
    </w:p>
    <w:p>
      <w:pPr>
        <w:pStyle w:val="P22"/>
        <w:rPr>
          <w:rFonts w:asciiTheme="minorHAnsi" w:hAnsiTheme="minorHAnsi" w:cstheme="minorBidi"/>
          <w:noProof w:val="1"/>
          <w:lang w:eastAsia="sv-SE"/>
        </w:rPr>
      </w:pPr>
      <w:hyperlink w:anchor="_Toc191546086">
        <w:r>
          <w:rPr>
            <w:rStyle w:val="C2"/>
            <w:noProof w:val="1"/>
          </w:rPr>
          <w:t>Kompensationsåtgärder natur</w:t>
        </w:r>
        <w:r>
          <w:rPr>
            <w:noProof w:val="1"/>
          </w:rPr>
          <w:tab/>
        </w:r>
        <w:r>
          <w:rPr>
            <w:noProof w:val="1"/>
          </w:rPr>
          <w:fldChar w:fldCharType="begin"/>
        </w:r>
        <w:r>
          <w:rPr>
            <w:noProof w:val="1"/>
          </w:rPr>
          <w:instrText xml:space="preserve"> PAGEREF _Toc191546086 \h </w:instrText>
        </w:r>
        <w:r>
          <w:rPr>
            <w:noProof w:val="1"/>
          </w:rPr>
          <w:fldChar w:fldCharType="separate"/>
        </w:r>
        <w:r>
          <w:rPr>
            <w:noProof w:val="1"/>
          </w:rPr>
          <w:t>26</w:t>
        </w:r>
        <w:r>
          <w:rPr>
            <w:noProof w:val="1"/>
          </w:rPr>
          <w:fldChar w:fldCharType="end"/>
        </w:r>
      </w:hyperlink>
    </w:p>
    <w:p>
      <w:pPr>
        <w:pStyle w:val="P21"/>
        <w:rPr>
          <w:rFonts w:asciiTheme="minorHAnsi" w:hAnsiTheme="minorHAnsi" w:cstheme="minorBidi"/>
          <w:noProof w:val="1"/>
          <w:lang w:eastAsia="sv-SE"/>
        </w:rPr>
      </w:pPr>
      <w:hyperlink w:anchor="_Toc191546087">
        <w:r>
          <w:rPr>
            <w:rStyle w:val="C2"/>
            <w:noProof w:val="1"/>
          </w:rPr>
          <w:t>Skola och friytor</w:t>
        </w:r>
        <w:r>
          <w:rPr>
            <w:noProof w:val="1"/>
          </w:rPr>
          <w:tab/>
        </w:r>
        <w:r>
          <w:rPr>
            <w:noProof w:val="1"/>
          </w:rPr>
          <w:fldChar w:fldCharType="begin"/>
        </w:r>
        <w:r>
          <w:rPr>
            <w:noProof w:val="1"/>
          </w:rPr>
          <w:instrText xml:space="preserve"> PAGEREF _Toc191546087 \h </w:instrText>
        </w:r>
        <w:r>
          <w:rPr>
            <w:noProof w:val="1"/>
          </w:rPr>
          <w:fldChar w:fldCharType="separate"/>
        </w:r>
        <w:r>
          <w:rPr>
            <w:noProof w:val="1"/>
          </w:rPr>
          <w:t>27</w:t>
        </w:r>
        <w:r>
          <w:rPr>
            <w:noProof w:val="1"/>
          </w:rPr>
          <w:fldChar w:fldCharType="end"/>
        </w:r>
      </w:hyperlink>
    </w:p>
    <w:p>
      <w:pPr>
        <w:pStyle w:val="P22"/>
        <w:rPr>
          <w:rFonts w:asciiTheme="minorHAnsi" w:hAnsiTheme="minorHAnsi" w:cstheme="minorBidi"/>
          <w:noProof w:val="1"/>
          <w:lang w:eastAsia="sv-SE"/>
        </w:rPr>
      </w:pPr>
      <w:hyperlink w:anchor="_Toc191546088">
        <w:r>
          <w:rPr>
            <w:rStyle w:val="C2"/>
            <w:noProof w:val="1"/>
          </w:rPr>
          <w:t>Friytor</w:t>
          <w:tab/>
        </w:r>
        <w:r>
          <w:rPr>
            <w:noProof w:val="1"/>
          </w:rPr>
          <w:tab/>
        </w:r>
        <w:r>
          <w:rPr>
            <w:noProof w:val="1"/>
          </w:rPr>
          <w:fldChar w:fldCharType="begin"/>
        </w:r>
        <w:r>
          <w:rPr>
            <w:noProof w:val="1"/>
          </w:rPr>
          <w:instrText xml:space="preserve"> PAGEREF _Toc191546088 \h </w:instrText>
        </w:r>
        <w:r>
          <w:rPr>
            <w:noProof w:val="1"/>
          </w:rPr>
          <w:fldChar w:fldCharType="separate"/>
        </w:r>
        <w:r>
          <w:rPr>
            <w:noProof w:val="1"/>
          </w:rPr>
          <w:t>27</w:t>
        </w:r>
        <w:r>
          <w:rPr>
            <w:noProof w:val="1"/>
          </w:rPr>
          <w:fldChar w:fldCharType="end"/>
        </w:r>
      </w:hyperlink>
    </w:p>
    <w:p>
      <w:pPr>
        <w:pStyle w:val="P21"/>
        <w:rPr>
          <w:rFonts w:asciiTheme="minorHAnsi" w:hAnsiTheme="minorHAnsi" w:cstheme="minorBidi"/>
          <w:noProof w:val="1"/>
          <w:lang w:eastAsia="sv-SE"/>
        </w:rPr>
      </w:pPr>
      <w:hyperlink w:anchor="_Toc191546089">
        <w:r>
          <w:rPr>
            <w:rStyle w:val="C2"/>
            <w:noProof w:val="1"/>
          </w:rPr>
          <w:t>Kulturmiljö</w:t>
        </w:r>
        <w:r>
          <w:rPr>
            <w:noProof w:val="1"/>
          </w:rPr>
          <w:tab/>
        </w:r>
        <w:r>
          <w:rPr>
            <w:noProof w:val="1"/>
          </w:rPr>
          <w:fldChar w:fldCharType="begin"/>
        </w:r>
        <w:r>
          <w:rPr>
            <w:noProof w:val="1"/>
          </w:rPr>
          <w:instrText xml:space="preserve"> PAGEREF _Toc191546089 \h </w:instrText>
        </w:r>
        <w:r>
          <w:rPr>
            <w:noProof w:val="1"/>
          </w:rPr>
          <w:fldChar w:fldCharType="separate"/>
        </w:r>
        <w:r>
          <w:rPr>
            <w:noProof w:val="1"/>
          </w:rPr>
          <w:t>28</w:t>
        </w:r>
        <w:r>
          <w:rPr>
            <w:noProof w:val="1"/>
          </w:rPr>
          <w:fldChar w:fldCharType="end"/>
        </w:r>
      </w:hyperlink>
    </w:p>
    <w:p>
      <w:pPr>
        <w:pStyle w:val="P22"/>
        <w:rPr>
          <w:rFonts w:asciiTheme="minorHAnsi" w:hAnsiTheme="minorHAnsi" w:cstheme="minorBidi"/>
          <w:noProof w:val="1"/>
          <w:lang w:eastAsia="sv-SE"/>
        </w:rPr>
      </w:pPr>
      <w:hyperlink w:anchor="_Toc191546090">
        <w:r>
          <w:rPr>
            <w:rStyle w:val="C2"/>
            <w:noProof w:val="1"/>
          </w:rPr>
          <w:t>Landskapsbild</w:t>
        </w:r>
        <w:r>
          <w:rPr>
            <w:noProof w:val="1"/>
          </w:rPr>
          <w:tab/>
        </w:r>
        <w:r>
          <w:rPr>
            <w:noProof w:val="1"/>
          </w:rPr>
          <w:fldChar w:fldCharType="begin"/>
        </w:r>
        <w:r>
          <w:rPr>
            <w:noProof w:val="1"/>
          </w:rPr>
          <w:instrText xml:space="preserve"> PAGEREF _Toc191546090 \h </w:instrText>
        </w:r>
        <w:r>
          <w:rPr>
            <w:noProof w:val="1"/>
          </w:rPr>
          <w:fldChar w:fldCharType="separate"/>
        </w:r>
        <w:r>
          <w:rPr>
            <w:noProof w:val="1"/>
          </w:rPr>
          <w:t>28</w:t>
        </w:r>
        <w:r>
          <w:rPr>
            <w:noProof w:val="1"/>
          </w:rPr>
          <w:fldChar w:fldCharType="end"/>
        </w:r>
      </w:hyperlink>
    </w:p>
    <w:p>
      <w:pPr>
        <w:pStyle w:val="P22"/>
        <w:rPr>
          <w:rFonts w:asciiTheme="minorHAnsi" w:hAnsiTheme="minorHAnsi" w:cstheme="minorBidi"/>
          <w:noProof w:val="1"/>
          <w:lang w:eastAsia="sv-SE"/>
        </w:rPr>
      </w:pPr>
      <w:hyperlink w:anchor="_Toc191546091">
        <w:r>
          <w:rPr>
            <w:rStyle w:val="C2"/>
            <w:noProof w:val="1"/>
          </w:rPr>
          <w:t>Arkeologi och fornminnen</w:t>
        </w:r>
        <w:r>
          <w:rPr>
            <w:noProof w:val="1"/>
          </w:rPr>
          <w:tab/>
        </w:r>
        <w:r>
          <w:rPr>
            <w:noProof w:val="1"/>
          </w:rPr>
          <w:fldChar w:fldCharType="begin"/>
        </w:r>
        <w:r>
          <w:rPr>
            <w:noProof w:val="1"/>
          </w:rPr>
          <w:instrText xml:space="preserve"> PAGEREF _Toc191546091 \h </w:instrText>
        </w:r>
        <w:r>
          <w:rPr>
            <w:noProof w:val="1"/>
          </w:rPr>
          <w:fldChar w:fldCharType="separate"/>
        </w:r>
        <w:r>
          <w:rPr>
            <w:noProof w:val="1"/>
          </w:rPr>
          <w:t>29</w:t>
        </w:r>
        <w:r>
          <w:rPr>
            <w:noProof w:val="1"/>
          </w:rPr>
          <w:fldChar w:fldCharType="end"/>
        </w:r>
      </w:hyperlink>
    </w:p>
    <w:p>
      <w:pPr>
        <w:pStyle w:val="P21"/>
        <w:rPr>
          <w:rFonts w:asciiTheme="minorHAnsi" w:hAnsiTheme="minorHAnsi" w:cstheme="minorBidi"/>
          <w:noProof w:val="1"/>
          <w:lang w:eastAsia="sv-SE"/>
        </w:rPr>
      </w:pPr>
      <w:hyperlink w:anchor="_Toc191546092">
        <w:r>
          <w:rPr>
            <w:rStyle w:val="C2"/>
            <w:noProof w:val="1"/>
          </w:rPr>
          <w:t>Gator och trafik</w:t>
        </w:r>
        <w:r>
          <w:rPr>
            <w:noProof w:val="1"/>
          </w:rPr>
          <w:tab/>
        </w:r>
        <w:r>
          <w:rPr>
            <w:noProof w:val="1"/>
          </w:rPr>
          <w:fldChar w:fldCharType="begin"/>
        </w:r>
        <w:r>
          <w:rPr>
            <w:noProof w:val="1"/>
          </w:rPr>
          <w:instrText xml:space="preserve"> PAGEREF _Toc191546092 \h </w:instrText>
        </w:r>
        <w:r>
          <w:rPr>
            <w:noProof w:val="1"/>
          </w:rPr>
          <w:fldChar w:fldCharType="separate"/>
        </w:r>
        <w:r>
          <w:rPr>
            <w:noProof w:val="1"/>
          </w:rPr>
          <w:t>29</w:t>
        </w:r>
        <w:r>
          <w:rPr>
            <w:noProof w:val="1"/>
          </w:rPr>
          <w:fldChar w:fldCharType="end"/>
        </w:r>
      </w:hyperlink>
    </w:p>
    <w:p>
      <w:pPr>
        <w:pStyle w:val="P22"/>
        <w:rPr>
          <w:rFonts w:asciiTheme="minorHAnsi" w:hAnsiTheme="minorHAnsi" w:cstheme="minorBidi"/>
          <w:noProof w:val="1"/>
          <w:lang w:eastAsia="sv-SE"/>
        </w:rPr>
      </w:pPr>
      <w:hyperlink w:anchor="_Toc191546093">
        <w:r>
          <w:rPr>
            <w:rStyle w:val="C2"/>
            <w:noProof w:val="1"/>
          </w:rPr>
          <w:t>Trafikmängd och hastighet</w:t>
        </w:r>
        <w:r>
          <w:rPr>
            <w:noProof w:val="1"/>
          </w:rPr>
          <w:tab/>
        </w:r>
        <w:r>
          <w:rPr>
            <w:noProof w:val="1"/>
          </w:rPr>
          <w:fldChar w:fldCharType="begin"/>
        </w:r>
        <w:r>
          <w:rPr>
            <w:noProof w:val="1"/>
          </w:rPr>
          <w:instrText xml:space="preserve"> PAGEREF _Toc191546093 \h </w:instrText>
        </w:r>
        <w:r>
          <w:rPr>
            <w:noProof w:val="1"/>
          </w:rPr>
          <w:fldChar w:fldCharType="separate"/>
        </w:r>
        <w:r>
          <w:rPr>
            <w:noProof w:val="1"/>
          </w:rPr>
          <w:t>29</w:t>
        </w:r>
        <w:r>
          <w:rPr>
            <w:noProof w:val="1"/>
          </w:rPr>
          <w:fldChar w:fldCharType="end"/>
        </w:r>
      </w:hyperlink>
    </w:p>
    <w:p>
      <w:pPr>
        <w:pStyle w:val="P22"/>
        <w:rPr>
          <w:rFonts w:asciiTheme="minorHAnsi" w:hAnsiTheme="minorHAnsi" w:cstheme="minorBidi"/>
          <w:noProof w:val="1"/>
          <w:lang w:eastAsia="sv-SE"/>
        </w:rPr>
      </w:pPr>
      <w:hyperlink w:anchor="_Toc191546094">
        <w:r>
          <w:rPr>
            <w:rStyle w:val="C2"/>
            <w:noProof w:val="1"/>
          </w:rPr>
          <w:t>Trafiksäkerhet</w:t>
        </w:r>
        <w:r>
          <w:rPr>
            <w:noProof w:val="1"/>
          </w:rPr>
          <w:tab/>
        </w:r>
        <w:r>
          <w:rPr>
            <w:noProof w:val="1"/>
          </w:rPr>
          <w:fldChar w:fldCharType="begin"/>
        </w:r>
        <w:r>
          <w:rPr>
            <w:noProof w:val="1"/>
          </w:rPr>
          <w:instrText xml:space="preserve"> PAGEREF _Toc191546094 \h </w:instrText>
        </w:r>
        <w:r>
          <w:rPr>
            <w:noProof w:val="1"/>
          </w:rPr>
          <w:fldChar w:fldCharType="separate"/>
        </w:r>
        <w:r>
          <w:rPr>
            <w:noProof w:val="1"/>
          </w:rPr>
          <w:t>30</w:t>
        </w:r>
        <w:r>
          <w:rPr>
            <w:noProof w:val="1"/>
          </w:rPr>
          <w:fldChar w:fldCharType="end"/>
        </w:r>
      </w:hyperlink>
    </w:p>
    <w:p>
      <w:pPr>
        <w:pStyle w:val="P22"/>
        <w:rPr>
          <w:rFonts w:asciiTheme="minorHAnsi" w:hAnsiTheme="minorHAnsi" w:cstheme="minorBidi"/>
          <w:noProof w:val="1"/>
          <w:lang w:eastAsia="sv-SE"/>
        </w:rPr>
      </w:pPr>
      <w:hyperlink w:anchor="_Toc191546095">
        <w:r>
          <w:rPr>
            <w:rStyle w:val="C2"/>
            <w:noProof w:val="1"/>
          </w:rPr>
          <w:t>Gång- och cykeltrafik</w:t>
        </w:r>
        <w:r>
          <w:rPr>
            <w:noProof w:val="1"/>
          </w:rPr>
          <w:tab/>
        </w:r>
        <w:r>
          <w:rPr>
            <w:noProof w:val="1"/>
          </w:rPr>
          <w:fldChar w:fldCharType="begin"/>
        </w:r>
        <w:r>
          <w:rPr>
            <w:noProof w:val="1"/>
          </w:rPr>
          <w:instrText xml:space="preserve"> PAGEREF _Toc191546095 \h </w:instrText>
        </w:r>
        <w:r>
          <w:rPr>
            <w:noProof w:val="1"/>
          </w:rPr>
          <w:fldChar w:fldCharType="separate"/>
        </w:r>
        <w:r>
          <w:rPr>
            <w:noProof w:val="1"/>
          </w:rPr>
          <w:t>30</w:t>
        </w:r>
        <w:r>
          <w:rPr>
            <w:noProof w:val="1"/>
          </w:rPr>
          <w:fldChar w:fldCharType="end"/>
        </w:r>
      </w:hyperlink>
    </w:p>
    <w:p>
      <w:pPr>
        <w:pStyle w:val="P22"/>
        <w:rPr>
          <w:rFonts w:asciiTheme="minorHAnsi" w:hAnsiTheme="minorHAnsi" w:cstheme="minorBidi"/>
          <w:noProof w:val="1"/>
          <w:lang w:eastAsia="sv-SE"/>
        </w:rPr>
      </w:pPr>
      <w:hyperlink w:anchor="_Toc191546096">
        <w:r>
          <w:rPr>
            <w:rStyle w:val="C2"/>
            <w:noProof w:val="1"/>
          </w:rPr>
          <w:t>Kollektivtrafik</w:t>
        </w:r>
        <w:r>
          <w:rPr>
            <w:noProof w:val="1"/>
          </w:rPr>
          <w:tab/>
        </w:r>
        <w:r>
          <w:rPr>
            <w:noProof w:val="1"/>
          </w:rPr>
          <w:fldChar w:fldCharType="begin"/>
        </w:r>
        <w:r>
          <w:rPr>
            <w:noProof w:val="1"/>
          </w:rPr>
          <w:instrText xml:space="preserve"> PAGEREF _Toc191546096 \h </w:instrText>
        </w:r>
        <w:r>
          <w:rPr>
            <w:noProof w:val="1"/>
          </w:rPr>
          <w:fldChar w:fldCharType="separate"/>
        </w:r>
        <w:r>
          <w:rPr>
            <w:noProof w:val="1"/>
          </w:rPr>
          <w:t>31</w:t>
        </w:r>
        <w:r>
          <w:rPr>
            <w:noProof w:val="1"/>
          </w:rPr>
          <w:fldChar w:fldCharType="end"/>
        </w:r>
      </w:hyperlink>
    </w:p>
    <w:p>
      <w:pPr>
        <w:pStyle w:val="P22"/>
        <w:rPr>
          <w:rFonts w:asciiTheme="minorHAnsi" w:hAnsiTheme="minorHAnsi" w:cstheme="minorBidi"/>
          <w:noProof w:val="1"/>
          <w:lang w:eastAsia="sv-SE"/>
        </w:rPr>
      </w:pPr>
      <w:hyperlink w:anchor="_Toc191546097">
        <w:r>
          <w:rPr>
            <w:rStyle w:val="C2"/>
            <w:noProof w:val="1"/>
          </w:rPr>
          <w:t>Angöring skola</w:t>
        </w:r>
        <w:r>
          <w:rPr>
            <w:noProof w:val="1"/>
          </w:rPr>
          <w:tab/>
        </w:r>
        <w:r>
          <w:rPr>
            <w:noProof w:val="1"/>
          </w:rPr>
          <w:fldChar w:fldCharType="begin"/>
        </w:r>
        <w:r>
          <w:rPr>
            <w:noProof w:val="1"/>
          </w:rPr>
          <w:instrText xml:space="preserve"> PAGEREF _Toc191546097 \h </w:instrText>
        </w:r>
        <w:r>
          <w:rPr>
            <w:noProof w:val="1"/>
          </w:rPr>
          <w:fldChar w:fldCharType="separate"/>
        </w:r>
        <w:r>
          <w:rPr>
            <w:noProof w:val="1"/>
          </w:rPr>
          <w:t>31</w:t>
        </w:r>
        <w:r>
          <w:rPr>
            <w:noProof w:val="1"/>
          </w:rPr>
          <w:fldChar w:fldCharType="end"/>
        </w:r>
      </w:hyperlink>
    </w:p>
    <w:p>
      <w:pPr>
        <w:pStyle w:val="P22"/>
        <w:rPr>
          <w:rFonts w:asciiTheme="minorHAnsi" w:hAnsiTheme="minorHAnsi" w:cstheme="minorBidi"/>
          <w:noProof w:val="1"/>
          <w:lang w:eastAsia="sv-SE"/>
        </w:rPr>
      </w:pPr>
      <w:hyperlink w:anchor="_Toc191546098">
        <w:r>
          <w:rPr>
            <w:rStyle w:val="C2"/>
            <w:noProof w:val="1"/>
          </w:rPr>
          <w:t>Parkering</w:t>
        </w:r>
        <w:r>
          <w:rPr>
            <w:noProof w:val="1"/>
          </w:rPr>
          <w:tab/>
        </w:r>
        <w:r>
          <w:rPr>
            <w:noProof w:val="1"/>
          </w:rPr>
          <w:fldChar w:fldCharType="begin"/>
        </w:r>
        <w:r>
          <w:rPr>
            <w:noProof w:val="1"/>
          </w:rPr>
          <w:instrText xml:space="preserve"> PAGEREF _Toc191546098 \h </w:instrText>
        </w:r>
        <w:r>
          <w:rPr>
            <w:noProof w:val="1"/>
          </w:rPr>
          <w:fldChar w:fldCharType="separate"/>
        </w:r>
        <w:r>
          <w:rPr>
            <w:noProof w:val="1"/>
          </w:rPr>
          <w:t>32</w:t>
        </w:r>
        <w:r>
          <w:rPr>
            <w:noProof w:val="1"/>
          </w:rPr>
          <w:fldChar w:fldCharType="end"/>
        </w:r>
      </w:hyperlink>
    </w:p>
    <w:p>
      <w:pPr>
        <w:pStyle w:val="P21"/>
        <w:rPr>
          <w:rFonts w:asciiTheme="minorHAnsi" w:hAnsiTheme="minorHAnsi" w:cstheme="minorBidi"/>
          <w:noProof w:val="1"/>
          <w:lang w:eastAsia="sv-SE"/>
        </w:rPr>
      </w:pPr>
      <w:hyperlink w:anchor="_Toc191546099">
        <w:r>
          <w:rPr>
            <w:rStyle w:val="C2"/>
            <w:noProof w:val="1"/>
          </w:rPr>
          <w:t>Miljö</w:t>
        </w:r>
        <w:r>
          <w:rPr>
            <w:noProof w:val="1"/>
          </w:rPr>
          <w:tab/>
          <w:tab/>
        </w:r>
        <w:r>
          <w:rPr>
            <w:noProof w:val="1"/>
          </w:rPr>
          <w:fldChar w:fldCharType="begin"/>
        </w:r>
        <w:r>
          <w:rPr>
            <w:noProof w:val="1"/>
          </w:rPr>
          <w:instrText xml:space="preserve"> PAGEREF _Toc191546099 \h </w:instrText>
        </w:r>
        <w:r>
          <w:rPr>
            <w:noProof w:val="1"/>
          </w:rPr>
          <w:fldChar w:fldCharType="separate"/>
        </w:r>
        <w:r>
          <w:rPr>
            <w:noProof w:val="1"/>
          </w:rPr>
          <w:t>33</w:t>
        </w:r>
        <w:r>
          <w:rPr>
            <w:noProof w:val="1"/>
          </w:rPr>
          <w:fldChar w:fldCharType="end"/>
        </w:r>
      </w:hyperlink>
    </w:p>
    <w:p>
      <w:pPr>
        <w:pStyle w:val="P22"/>
        <w:rPr>
          <w:rFonts w:asciiTheme="minorHAnsi" w:hAnsiTheme="minorHAnsi" w:cstheme="minorBidi"/>
          <w:noProof w:val="1"/>
          <w:lang w:eastAsia="sv-SE"/>
        </w:rPr>
      </w:pPr>
      <w:hyperlink w:anchor="_Toc191546100">
        <w:r>
          <w:rPr>
            <w:rStyle w:val="C2"/>
            <w:noProof w:val="1"/>
          </w:rPr>
          <w:t>Undersökning av betydande miljöpåverkan</w:t>
        </w:r>
        <w:r>
          <w:rPr>
            <w:noProof w:val="1"/>
          </w:rPr>
          <w:tab/>
        </w:r>
        <w:r>
          <w:rPr>
            <w:noProof w:val="1"/>
          </w:rPr>
          <w:fldChar w:fldCharType="begin"/>
        </w:r>
        <w:r>
          <w:rPr>
            <w:noProof w:val="1"/>
          </w:rPr>
          <w:instrText xml:space="preserve"> PAGEREF _Toc191546100 \h </w:instrText>
        </w:r>
        <w:r>
          <w:rPr>
            <w:noProof w:val="1"/>
          </w:rPr>
          <w:fldChar w:fldCharType="separate"/>
        </w:r>
        <w:r>
          <w:rPr>
            <w:noProof w:val="1"/>
          </w:rPr>
          <w:t>33</w:t>
        </w:r>
        <w:r>
          <w:rPr>
            <w:noProof w:val="1"/>
          </w:rPr>
          <w:fldChar w:fldCharType="end"/>
        </w:r>
      </w:hyperlink>
    </w:p>
    <w:p>
      <w:pPr>
        <w:pStyle w:val="P22"/>
        <w:rPr>
          <w:rFonts w:asciiTheme="minorHAnsi" w:hAnsiTheme="minorHAnsi" w:cstheme="minorBidi"/>
          <w:noProof w:val="1"/>
          <w:lang w:eastAsia="sv-SE"/>
        </w:rPr>
      </w:pPr>
      <w:hyperlink w:anchor="_Toc191546101">
        <w:r>
          <w:rPr>
            <w:rStyle w:val="C2"/>
            <w:noProof w:val="1"/>
          </w:rPr>
          <w:t>Sammanvägd bedömning</w:t>
        </w:r>
        <w:r>
          <w:rPr>
            <w:noProof w:val="1"/>
          </w:rPr>
          <w:tab/>
        </w:r>
        <w:r>
          <w:rPr>
            <w:noProof w:val="1"/>
          </w:rPr>
          <w:fldChar w:fldCharType="begin"/>
        </w:r>
        <w:r>
          <w:rPr>
            <w:noProof w:val="1"/>
          </w:rPr>
          <w:instrText xml:space="preserve"> PAGEREF _Toc191546101 \h </w:instrText>
        </w:r>
        <w:r>
          <w:rPr>
            <w:noProof w:val="1"/>
          </w:rPr>
          <w:fldChar w:fldCharType="separate"/>
        </w:r>
        <w:r>
          <w:rPr>
            <w:noProof w:val="1"/>
          </w:rPr>
          <w:t>33</w:t>
        </w:r>
        <w:r>
          <w:rPr>
            <w:noProof w:val="1"/>
          </w:rPr>
          <w:fldChar w:fldCharType="end"/>
        </w:r>
      </w:hyperlink>
    </w:p>
    <w:p>
      <w:pPr>
        <w:pStyle w:val="P22"/>
        <w:rPr>
          <w:rFonts w:asciiTheme="minorHAnsi" w:hAnsiTheme="minorHAnsi" w:cstheme="minorBidi"/>
          <w:noProof w:val="1"/>
          <w:lang w:eastAsia="sv-SE"/>
        </w:rPr>
      </w:pPr>
      <w:hyperlink w:anchor="_Toc191546102">
        <w:r>
          <w:rPr>
            <w:rStyle w:val="C2"/>
            <w:noProof w:val="1"/>
          </w:rPr>
          <w:t>Miljökvalitetsnormer</w:t>
        </w:r>
        <w:r>
          <w:rPr>
            <w:noProof w:val="1"/>
          </w:rPr>
          <w:tab/>
        </w:r>
        <w:r>
          <w:rPr>
            <w:noProof w:val="1"/>
          </w:rPr>
          <w:fldChar w:fldCharType="begin"/>
        </w:r>
        <w:r>
          <w:rPr>
            <w:noProof w:val="1"/>
          </w:rPr>
          <w:instrText xml:space="preserve"> PAGEREF _Toc191546102 \h </w:instrText>
        </w:r>
        <w:r>
          <w:rPr>
            <w:noProof w:val="1"/>
          </w:rPr>
          <w:fldChar w:fldCharType="separate"/>
        </w:r>
        <w:r>
          <w:rPr>
            <w:noProof w:val="1"/>
          </w:rPr>
          <w:t>33</w:t>
        </w:r>
        <w:r>
          <w:rPr>
            <w:noProof w:val="1"/>
          </w:rPr>
          <w:fldChar w:fldCharType="end"/>
        </w:r>
      </w:hyperlink>
    </w:p>
    <w:p>
      <w:pPr>
        <w:pStyle w:val="P22"/>
        <w:rPr>
          <w:rFonts w:asciiTheme="minorHAnsi" w:hAnsiTheme="minorHAnsi" w:cstheme="minorBidi"/>
          <w:noProof w:val="1"/>
          <w:lang w:eastAsia="sv-SE"/>
        </w:rPr>
      </w:pPr>
      <w:hyperlink w:anchor="_Toc191546103">
        <w:r>
          <w:rPr>
            <w:rStyle w:val="C2"/>
            <w:noProof w:val="1"/>
          </w:rPr>
          <w:t>Vatten</w:t>
        </w:r>
        <w:r>
          <w:rPr>
            <w:noProof w:val="1"/>
          </w:rPr>
          <w:tab/>
          <w:tab/>
        </w:r>
        <w:r>
          <w:rPr>
            <w:noProof w:val="1"/>
          </w:rPr>
          <w:fldChar w:fldCharType="begin"/>
        </w:r>
        <w:r>
          <w:rPr>
            <w:noProof w:val="1"/>
          </w:rPr>
          <w:instrText xml:space="preserve"> PAGEREF _Toc191546103 \h </w:instrText>
        </w:r>
        <w:r>
          <w:rPr>
            <w:noProof w:val="1"/>
          </w:rPr>
          <w:fldChar w:fldCharType="separate"/>
        </w:r>
        <w:r>
          <w:rPr>
            <w:noProof w:val="1"/>
          </w:rPr>
          <w:t>33</w:t>
        </w:r>
        <w:r>
          <w:rPr>
            <w:noProof w:val="1"/>
          </w:rPr>
          <w:fldChar w:fldCharType="end"/>
        </w:r>
      </w:hyperlink>
    </w:p>
    <w:p>
      <w:pPr>
        <w:pStyle w:val="P21"/>
        <w:rPr>
          <w:rFonts w:asciiTheme="minorHAnsi" w:hAnsiTheme="minorHAnsi" w:cstheme="minorBidi"/>
          <w:noProof w:val="1"/>
          <w:lang w:eastAsia="sv-SE"/>
        </w:rPr>
      </w:pPr>
      <w:hyperlink w:anchor="_Toc191546104">
        <w:r>
          <w:rPr>
            <w:rStyle w:val="C2"/>
            <w:noProof w:val="1"/>
          </w:rPr>
          <w:t>Social hållbarhet</w:t>
        </w:r>
        <w:r>
          <w:rPr>
            <w:noProof w:val="1"/>
          </w:rPr>
          <w:tab/>
        </w:r>
        <w:r>
          <w:rPr>
            <w:noProof w:val="1"/>
          </w:rPr>
          <w:fldChar w:fldCharType="begin"/>
        </w:r>
        <w:r>
          <w:rPr>
            <w:noProof w:val="1"/>
          </w:rPr>
          <w:instrText xml:space="preserve"> PAGEREF _Toc191546104 \h </w:instrText>
        </w:r>
        <w:r>
          <w:rPr>
            <w:noProof w:val="1"/>
          </w:rPr>
          <w:fldChar w:fldCharType="separate"/>
        </w:r>
        <w:r>
          <w:rPr>
            <w:noProof w:val="1"/>
          </w:rPr>
          <w:t>34</w:t>
        </w:r>
        <w:r>
          <w:rPr>
            <w:noProof w:val="1"/>
          </w:rPr>
          <w:fldChar w:fldCharType="end"/>
        </w:r>
      </w:hyperlink>
    </w:p>
    <w:p>
      <w:pPr>
        <w:pStyle w:val="P22"/>
        <w:rPr>
          <w:rFonts w:asciiTheme="minorHAnsi" w:hAnsiTheme="minorHAnsi" w:cstheme="minorBidi"/>
          <w:noProof w:val="1"/>
          <w:lang w:eastAsia="sv-SE"/>
        </w:rPr>
      </w:pPr>
      <w:hyperlink w:anchor="_Toc191546105">
        <w:r>
          <w:rPr>
            <w:rStyle w:val="C2"/>
            <w:noProof w:val="1"/>
          </w:rPr>
          <w:t>Barnperspektivet</w:t>
        </w:r>
        <w:r>
          <w:rPr>
            <w:noProof w:val="1"/>
          </w:rPr>
          <w:tab/>
        </w:r>
        <w:r>
          <w:rPr>
            <w:noProof w:val="1"/>
          </w:rPr>
          <w:fldChar w:fldCharType="begin"/>
        </w:r>
        <w:r>
          <w:rPr>
            <w:noProof w:val="1"/>
          </w:rPr>
          <w:instrText xml:space="preserve"> PAGEREF _Toc191546105 \h </w:instrText>
        </w:r>
        <w:r>
          <w:rPr>
            <w:noProof w:val="1"/>
          </w:rPr>
          <w:fldChar w:fldCharType="separate"/>
        </w:r>
        <w:r>
          <w:rPr>
            <w:noProof w:val="1"/>
          </w:rPr>
          <w:t>34</w:t>
        </w:r>
        <w:r>
          <w:rPr>
            <w:noProof w:val="1"/>
          </w:rPr>
          <w:fldChar w:fldCharType="end"/>
        </w:r>
      </w:hyperlink>
    </w:p>
    <w:p>
      <w:pPr>
        <w:pStyle w:val="P21"/>
        <w:rPr>
          <w:rFonts w:asciiTheme="minorHAnsi" w:hAnsiTheme="minorHAnsi" w:cstheme="minorBidi"/>
          <w:noProof w:val="1"/>
          <w:lang w:eastAsia="sv-SE"/>
        </w:rPr>
      </w:pPr>
      <w:hyperlink w:anchor="_Toc191546106">
        <w:r>
          <w:rPr>
            <w:rStyle w:val="C2"/>
            <w:noProof w:val="1"/>
          </w:rPr>
          <w:t>Teknisk försörjning</w:t>
        </w:r>
        <w:r>
          <w:rPr>
            <w:noProof w:val="1"/>
          </w:rPr>
          <w:tab/>
        </w:r>
        <w:r>
          <w:rPr>
            <w:noProof w:val="1"/>
          </w:rPr>
          <w:fldChar w:fldCharType="begin"/>
        </w:r>
        <w:r>
          <w:rPr>
            <w:noProof w:val="1"/>
          </w:rPr>
          <w:instrText xml:space="preserve"> PAGEREF _Toc191546106 \h </w:instrText>
        </w:r>
        <w:r>
          <w:rPr>
            <w:noProof w:val="1"/>
          </w:rPr>
          <w:fldChar w:fldCharType="separate"/>
        </w:r>
        <w:r>
          <w:rPr>
            <w:noProof w:val="1"/>
          </w:rPr>
          <w:t>34</w:t>
        </w:r>
        <w:r>
          <w:rPr>
            <w:noProof w:val="1"/>
          </w:rPr>
          <w:fldChar w:fldCharType="end"/>
        </w:r>
      </w:hyperlink>
    </w:p>
    <w:p>
      <w:pPr>
        <w:pStyle w:val="P22"/>
        <w:rPr>
          <w:rFonts w:asciiTheme="minorHAnsi" w:hAnsiTheme="minorHAnsi" w:cstheme="minorBidi"/>
          <w:noProof w:val="1"/>
          <w:lang w:eastAsia="sv-SE"/>
        </w:rPr>
      </w:pPr>
      <w:hyperlink w:anchor="_Toc191546107">
        <w:r>
          <w:rPr>
            <w:rStyle w:val="C2"/>
            <w:noProof w:val="1"/>
          </w:rPr>
          <w:t>Vatten och spillvatten</w:t>
        </w:r>
        <w:r>
          <w:rPr>
            <w:noProof w:val="1"/>
          </w:rPr>
          <w:tab/>
        </w:r>
        <w:r>
          <w:rPr>
            <w:noProof w:val="1"/>
          </w:rPr>
          <w:fldChar w:fldCharType="begin"/>
        </w:r>
        <w:r>
          <w:rPr>
            <w:noProof w:val="1"/>
          </w:rPr>
          <w:instrText xml:space="preserve"> PAGEREF _Toc191546107 \h </w:instrText>
        </w:r>
        <w:r>
          <w:rPr>
            <w:noProof w:val="1"/>
          </w:rPr>
          <w:fldChar w:fldCharType="separate"/>
        </w:r>
        <w:r>
          <w:rPr>
            <w:noProof w:val="1"/>
          </w:rPr>
          <w:t>34</w:t>
        </w:r>
        <w:r>
          <w:rPr>
            <w:noProof w:val="1"/>
          </w:rPr>
          <w:fldChar w:fldCharType="end"/>
        </w:r>
      </w:hyperlink>
    </w:p>
    <w:p>
      <w:pPr>
        <w:pStyle w:val="P22"/>
        <w:rPr>
          <w:rFonts w:asciiTheme="minorHAnsi" w:hAnsiTheme="minorHAnsi" w:cstheme="minorBidi"/>
          <w:noProof w:val="1"/>
          <w:lang w:eastAsia="sv-SE"/>
        </w:rPr>
      </w:pPr>
      <w:hyperlink w:anchor="_Toc191546108">
        <w:r>
          <w:rPr>
            <w:rStyle w:val="C2"/>
            <w:noProof w:val="1"/>
          </w:rPr>
          <w:t>Dagvatten</w:t>
        </w:r>
        <w:r>
          <w:rPr>
            <w:noProof w:val="1"/>
          </w:rPr>
          <w:tab/>
        </w:r>
        <w:r>
          <w:rPr>
            <w:noProof w:val="1"/>
          </w:rPr>
          <w:fldChar w:fldCharType="begin"/>
        </w:r>
        <w:r>
          <w:rPr>
            <w:noProof w:val="1"/>
          </w:rPr>
          <w:instrText xml:space="preserve"> PAGEREF _Toc191546108 \h </w:instrText>
        </w:r>
        <w:r>
          <w:rPr>
            <w:noProof w:val="1"/>
          </w:rPr>
          <w:fldChar w:fldCharType="separate"/>
        </w:r>
        <w:r>
          <w:rPr>
            <w:noProof w:val="1"/>
          </w:rPr>
          <w:t>34</w:t>
        </w:r>
        <w:r>
          <w:rPr>
            <w:noProof w:val="1"/>
          </w:rPr>
          <w:fldChar w:fldCharType="end"/>
        </w:r>
      </w:hyperlink>
    </w:p>
    <w:p>
      <w:pPr>
        <w:pStyle w:val="P22"/>
        <w:rPr>
          <w:rFonts w:asciiTheme="minorHAnsi" w:hAnsiTheme="minorHAnsi" w:cstheme="minorBidi"/>
          <w:noProof w:val="1"/>
          <w:lang w:eastAsia="sv-SE"/>
        </w:rPr>
      </w:pPr>
      <w:hyperlink w:anchor="_Toc191546109">
        <w:r>
          <w:rPr>
            <w:rStyle w:val="C2"/>
            <w:noProof w:val="1"/>
          </w:rPr>
          <w:t>Brandvattenförsörjning</w:t>
        </w:r>
        <w:r>
          <w:rPr>
            <w:noProof w:val="1"/>
          </w:rPr>
          <w:tab/>
        </w:r>
        <w:r>
          <w:rPr>
            <w:noProof w:val="1"/>
          </w:rPr>
          <w:fldChar w:fldCharType="begin"/>
        </w:r>
        <w:r>
          <w:rPr>
            <w:noProof w:val="1"/>
          </w:rPr>
          <w:instrText xml:space="preserve"> PAGEREF _Toc191546109 \h </w:instrText>
        </w:r>
        <w:r>
          <w:rPr>
            <w:noProof w:val="1"/>
          </w:rPr>
          <w:fldChar w:fldCharType="separate"/>
        </w:r>
        <w:r>
          <w:rPr>
            <w:noProof w:val="1"/>
          </w:rPr>
          <w:t>35</w:t>
        </w:r>
        <w:r>
          <w:rPr>
            <w:noProof w:val="1"/>
          </w:rPr>
          <w:fldChar w:fldCharType="end"/>
        </w:r>
      </w:hyperlink>
    </w:p>
    <w:p>
      <w:pPr>
        <w:pStyle w:val="P22"/>
        <w:rPr>
          <w:rFonts w:asciiTheme="minorHAnsi" w:hAnsiTheme="minorHAnsi" w:cstheme="minorBidi"/>
          <w:noProof w:val="1"/>
          <w:lang w:eastAsia="sv-SE"/>
        </w:rPr>
      </w:pPr>
      <w:hyperlink w:anchor="_Toc191546110">
        <w:r>
          <w:rPr>
            <w:rStyle w:val="C2"/>
            <w:noProof w:val="1"/>
          </w:rPr>
          <w:t>Uppvärmning</w:t>
        </w:r>
        <w:r>
          <w:rPr>
            <w:noProof w:val="1"/>
          </w:rPr>
          <w:tab/>
        </w:r>
        <w:r>
          <w:rPr>
            <w:noProof w:val="1"/>
          </w:rPr>
          <w:fldChar w:fldCharType="begin"/>
        </w:r>
        <w:r>
          <w:rPr>
            <w:noProof w:val="1"/>
          </w:rPr>
          <w:instrText xml:space="preserve"> PAGEREF _Toc191546110 \h </w:instrText>
        </w:r>
        <w:r>
          <w:rPr>
            <w:noProof w:val="1"/>
          </w:rPr>
          <w:fldChar w:fldCharType="separate"/>
        </w:r>
        <w:r>
          <w:rPr>
            <w:noProof w:val="1"/>
          </w:rPr>
          <w:t>35</w:t>
        </w:r>
        <w:r>
          <w:rPr>
            <w:noProof w:val="1"/>
          </w:rPr>
          <w:fldChar w:fldCharType="end"/>
        </w:r>
      </w:hyperlink>
    </w:p>
    <w:p>
      <w:pPr>
        <w:pStyle w:val="P22"/>
        <w:rPr>
          <w:rFonts w:asciiTheme="minorHAnsi" w:hAnsiTheme="minorHAnsi" w:cstheme="minorBidi"/>
          <w:noProof w:val="1"/>
          <w:lang w:eastAsia="sv-SE"/>
        </w:rPr>
      </w:pPr>
      <w:hyperlink w:anchor="_Toc191546111">
        <w:r>
          <w:rPr>
            <w:rStyle w:val="C2"/>
            <w:noProof w:val="1"/>
          </w:rPr>
          <w:t>El</w:t>
        </w:r>
        <w:r>
          <w:rPr>
            <w:noProof w:val="1"/>
          </w:rPr>
          <w:tab/>
          <w:tab/>
        </w:r>
        <w:r>
          <w:rPr>
            <w:noProof w:val="1"/>
          </w:rPr>
          <w:fldChar w:fldCharType="begin"/>
        </w:r>
        <w:r>
          <w:rPr>
            <w:noProof w:val="1"/>
          </w:rPr>
          <w:instrText xml:space="preserve"> PAGEREF _Toc191546111 \h </w:instrText>
        </w:r>
        <w:r>
          <w:rPr>
            <w:noProof w:val="1"/>
          </w:rPr>
          <w:fldChar w:fldCharType="separate"/>
        </w:r>
        <w:r>
          <w:rPr>
            <w:noProof w:val="1"/>
          </w:rPr>
          <w:t>35</w:t>
        </w:r>
        <w:r>
          <w:rPr>
            <w:noProof w:val="1"/>
          </w:rPr>
          <w:fldChar w:fldCharType="end"/>
        </w:r>
      </w:hyperlink>
    </w:p>
    <w:p>
      <w:pPr>
        <w:pStyle w:val="P22"/>
        <w:rPr>
          <w:rFonts w:asciiTheme="minorHAnsi" w:hAnsiTheme="minorHAnsi" w:cstheme="minorBidi"/>
          <w:noProof w:val="1"/>
          <w:lang w:eastAsia="sv-SE"/>
        </w:rPr>
      </w:pPr>
      <w:hyperlink w:anchor="_Toc191546112">
        <w:r>
          <w:rPr>
            <w:rStyle w:val="C2"/>
            <w:noProof w:val="1"/>
          </w:rPr>
          <w:t>Tele och fiber</w:t>
        </w:r>
        <w:r>
          <w:rPr>
            <w:noProof w:val="1"/>
          </w:rPr>
          <w:tab/>
        </w:r>
        <w:r>
          <w:rPr>
            <w:noProof w:val="1"/>
          </w:rPr>
          <w:fldChar w:fldCharType="begin"/>
        </w:r>
        <w:r>
          <w:rPr>
            <w:noProof w:val="1"/>
          </w:rPr>
          <w:instrText xml:space="preserve"> PAGEREF _Toc191546112 \h </w:instrText>
        </w:r>
        <w:r>
          <w:rPr>
            <w:noProof w:val="1"/>
          </w:rPr>
          <w:fldChar w:fldCharType="separate"/>
        </w:r>
        <w:r>
          <w:rPr>
            <w:noProof w:val="1"/>
          </w:rPr>
          <w:t>36</w:t>
        </w:r>
        <w:r>
          <w:rPr>
            <w:noProof w:val="1"/>
          </w:rPr>
          <w:fldChar w:fldCharType="end"/>
        </w:r>
      </w:hyperlink>
    </w:p>
    <w:p>
      <w:pPr>
        <w:pStyle w:val="P22"/>
        <w:rPr>
          <w:rFonts w:asciiTheme="minorHAnsi" w:hAnsiTheme="minorHAnsi" w:cstheme="minorBidi"/>
          <w:noProof w:val="1"/>
          <w:lang w:eastAsia="sv-SE"/>
        </w:rPr>
      </w:pPr>
      <w:hyperlink w:anchor="_Toc191546113">
        <w:r>
          <w:rPr>
            <w:rStyle w:val="C2"/>
            <w:noProof w:val="1"/>
          </w:rPr>
          <w:t>Avfall</w:t>
          <w:tab/>
        </w:r>
        <w:r>
          <w:rPr>
            <w:noProof w:val="1"/>
          </w:rPr>
          <w:tab/>
        </w:r>
        <w:r>
          <w:rPr>
            <w:noProof w:val="1"/>
          </w:rPr>
          <w:fldChar w:fldCharType="begin"/>
        </w:r>
        <w:r>
          <w:rPr>
            <w:noProof w:val="1"/>
          </w:rPr>
          <w:instrText xml:space="preserve"> PAGEREF _Toc191546113 \h </w:instrText>
        </w:r>
        <w:r>
          <w:rPr>
            <w:noProof w:val="1"/>
          </w:rPr>
          <w:fldChar w:fldCharType="separate"/>
        </w:r>
        <w:r>
          <w:rPr>
            <w:noProof w:val="1"/>
          </w:rPr>
          <w:t>36</w:t>
        </w:r>
        <w:r>
          <w:rPr>
            <w:noProof w:val="1"/>
          </w:rPr>
          <w:fldChar w:fldCharType="end"/>
        </w:r>
      </w:hyperlink>
    </w:p>
    <w:p>
      <w:pPr>
        <w:pStyle w:val="P20"/>
        <w:rPr>
          <w:rFonts w:asciiTheme="minorHAnsi" w:hAnsiTheme="minorHAnsi" w:cstheme="minorBidi"/>
          <w:b w:val="0"/>
          <w:noProof w:val="1"/>
          <w:lang w:eastAsia="sv-SE"/>
        </w:rPr>
      </w:pPr>
      <w:hyperlink w:anchor="_Toc191546114">
        <w:r>
          <w:rPr>
            <w:rStyle w:val="C2"/>
            <w:noProof w:val="1"/>
          </w:rPr>
          <w:t>Genomförandebeskrivning</w:t>
        </w:r>
        <w:r>
          <w:rPr>
            <w:noProof w:val="1"/>
          </w:rPr>
          <w:tab/>
        </w:r>
        <w:r>
          <w:rPr>
            <w:noProof w:val="1"/>
          </w:rPr>
          <w:fldChar w:fldCharType="begin"/>
        </w:r>
        <w:r>
          <w:rPr>
            <w:noProof w:val="1"/>
          </w:rPr>
          <w:instrText xml:space="preserve"> PAGEREF _Toc191546114 \h </w:instrText>
        </w:r>
        <w:r>
          <w:rPr>
            <w:noProof w:val="1"/>
          </w:rPr>
          <w:fldChar w:fldCharType="separate"/>
        </w:r>
        <w:r>
          <w:rPr>
            <w:noProof w:val="1"/>
          </w:rPr>
          <w:t>36</w:t>
        </w:r>
        <w:r>
          <w:rPr>
            <w:noProof w:val="1"/>
          </w:rPr>
          <w:fldChar w:fldCharType="end"/>
        </w:r>
      </w:hyperlink>
    </w:p>
    <w:p>
      <w:pPr>
        <w:pStyle w:val="P21"/>
        <w:rPr>
          <w:rFonts w:asciiTheme="minorHAnsi" w:hAnsiTheme="minorHAnsi" w:cstheme="minorBidi"/>
          <w:noProof w:val="1"/>
          <w:lang w:eastAsia="sv-SE"/>
        </w:rPr>
      </w:pPr>
      <w:hyperlink w:anchor="_Toc191546115">
        <w:r>
          <w:rPr>
            <w:rStyle w:val="C2"/>
            <w:noProof w:val="1"/>
          </w:rPr>
          <w:t>Fastigheter och rättigheter</w:t>
        </w:r>
        <w:r>
          <w:rPr>
            <w:noProof w:val="1"/>
          </w:rPr>
          <w:tab/>
        </w:r>
        <w:r>
          <w:rPr>
            <w:noProof w:val="1"/>
          </w:rPr>
          <w:fldChar w:fldCharType="begin"/>
        </w:r>
        <w:r>
          <w:rPr>
            <w:noProof w:val="1"/>
          </w:rPr>
          <w:instrText xml:space="preserve"> PAGEREF _Toc191546115 \h </w:instrText>
        </w:r>
        <w:r>
          <w:rPr>
            <w:noProof w:val="1"/>
          </w:rPr>
          <w:fldChar w:fldCharType="separate"/>
        </w:r>
        <w:r>
          <w:rPr>
            <w:noProof w:val="1"/>
          </w:rPr>
          <w:t>36</w:t>
        </w:r>
        <w:r>
          <w:rPr>
            <w:noProof w:val="1"/>
          </w:rPr>
          <w:fldChar w:fldCharType="end"/>
        </w:r>
      </w:hyperlink>
    </w:p>
    <w:p>
      <w:pPr>
        <w:pStyle w:val="P22"/>
        <w:rPr>
          <w:rFonts w:asciiTheme="minorHAnsi" w:hAnsiTheme="minorHAnsi" w:cstheme="minorBidi"/>
          <w:noProof w:val="1"/>
          <w:lang w:eastAsia="sv-SE"/>
        </w:rPr>
      </w:pPr>
      <w:hyperlink w:anchor="_Toc191546116">
        <w:r>
          <w:rPr>
            <w:rStyle w:val="C2"/>
            <w:noProof w:val="1"/>
          </w:rPr>
          <w:t>Fastigheter</w:t>
        </w:r>
        <w:r>
          <w:rPr>
            <w:noProof w:val="1"/>
          </w:rPr>
          <w:tab/>
        </w:r>
        <w:r>
          <w:rPr>
            <w:noProof w:val="1"/>
          </w:rPr>
          <w:fldChar w:fldCharType="begin"/>
        </w:r>
        <w:r>
          <w:rPr>
            <w:noProof w:val="1"/>
          </w:rPr>
          <w:instrText xml:space="preserve"> PAGEREF _Toc191546116 \h </w:instrText>
        </w:r>
        <w:r>
          <w:rPr>
            <w:noProof w:val="1"/>
          </w:rPr>
          <w:fldChar w:fldCharType="separate"/>
        </w:r>
        <w:r>
          <w:rPr>
            <w:noProof w:val="1"/>
          </w:rPr>
          <w:t>36</w:t>
        </w:r>
        <w:r>
          <w:rPr>
            <w:noProof w:val="1"/>
          </w:rPr>
          <w:fldChar w:fldCharType="end"/>
        </w:r>
      </w:hyperlink>
    </w:p>
    <w:p>
      <w:pPr>
        <w:pStyle w:val="P22"/>
        <w:rPr>
          <w:rFonts w:asciiTheme="minorHAnsi" w:hAnsiTheme="minorHAnsi" w:cstheme="minorBidi"/>
          <w:noProof w:val="1"/>
          <w:lang w:eastAsia="sv-SE"/>
        </w:rPr>
      </w:pPr>
      <w:hyperlink w:anchor="_Toc191546117">
        <w:r>
          <w:rPr>
            <w:rStyle w:val="C2"/>
            <w:noProof w:val="1"/>
          </w:rPr>
          <w:t>Rättigheter</w:t>
        </w:r>
        <w:r>
          <w:rPr>
            <w:noProof w:val="1"/>
          </w:rPr>
          <w:tab/>
        </w:r>
        <w:r>
          <w:rPr>
            <w:noProof w:val="1"/>
          </w:rPr>
          <w:fldChar w:fldCharType="begin"/>
        </w:r>
        <w:r>
          <w:rPr>
            <w:noProof w:val="1"/>
          </w:rPr>
          <w:instrText xml:space="preserve"> PAGEREF _Toc191546117 \h </w:instrText>
        </w:r>
        <w:r>
          <w:rPr>
            <w:noProof w:val="1"/>
          </w:rPr>
          <w:fldChar w:fldCharType="separate"/>
        </w:r>
        <w:r>
          <w:rPr>
            <w:noProof w:val="1"/>
          </w:rPr>
          <w:t>36</w:t>
        </w:r>
        <w:r>
          <w:rPr>
            <w:noProof w:val="1"/>
          </w:rPr>
          <w:fldChar w:fldCharType="end"/>
        </w:r>
      </w:hyperlink>
    </w:p>
    <w:p>
      <w:pPr>
        <w:pStyle w:val="P21"/>
        <w:rPr>
          <w:rFonts w:asciiTheme="minorHAnsi" w:hAnsiTheme="minorHAnsi" w:cstheme="minorBidi"/>
          <w:noProof w:val="1"/>
          <w:lang w:eastAsia="sv-SE"/>
        </w:rPr>
      </w:pPr>
      <w:hyperlink w:anchor="_Toc191546118">
        <w:r>
          <w:rPr>
            <w:rStyle w:val="C2"/>
            <w:noProof w:val="1"/>
          </w:rPr>
          <w:t>Fastighetsrättsliga frågor och konsekvenser</w:t>
        </w:r>
        <w:r>
          <w:rPr>
            <w:noProof w:val="1"/>
          </w:rPr>
          <w:tab/>
        </w:r>
        <w:r>
          <w:rPr>
            <w:noProof w:val="1"/>
          </w:rPr>
          <w:fldChar w:fldCharType="begin"/>
        </w:r>
        <w:r>
          <w:rPr>
            <w:noProof w:val="1"/>
          </w:rPr>
          <w:instrText xml:space="preserve"> PAGEREF _Toc191546118 \h </w:instrText>
        </w:r>
        <w:r>
          <w:rPr>
            <w:noProof w:val="1"/>
          </w:rPr>
          <w:fldChar w:fldCharType="separate"/>
        </w:r>
        <w:r>
          <w:rPr>
            <w:noProof w:val="1"/>
          </w:rPr>
          <w:t>37</w:t>
        </w:r>
        <w:r>
          <w:rPr>
            <w:noProof w:val="1"/>
          </w:rPr>
          <w:fldChar w:fldCharType="end"/>
        </w:r>
      </w:hyperlink>
    </w:p>
    <w:p>
      <w:pPr>
        <w:pStyle w:val="P22"/>
        <w:rPr>
          <w:rFonts w:asciiTheme="minorHAnsi" w:hAnsiTheme="minorHAnsi" w:cstheme="minorBidi"/>
          <w:noProof w:val="1"/>
          <w:lang w:eastAsia="sv-SE"/>
        </w:rPr>
      </w:pPr>
      <w:hyperlink w:anchor="_Toc191546119">
        <w:r>
          <w:rPr>
            <w:rStyle w:val="C2"/>
            <w:noProof w:val="1"/>
          </w:rPr>
          <w:t>Förändrad fastighetsindelning</w:t>
        </w:r>
        <w:r>
          <w:rPr>
            <w:noProof w:val="1"/>
          </w:rPr>
          <w:tab/>
        </w:r>
        <w:r>
          <w:rPr>
            <w:noProof w:val="1"/>
          </w:rPr>
          <w:fldChar w:fldCharType="begin"/>
        </w:r>
        <w:r>
          <w:rPr>
            <w:noProof w:val="1"/>
          </w:rPr>
          <w:instrText xml:space="preserve"> PAGEREF _Toc191546119 \h </w:instrText>
        </w:r>
        <w:r>
          <w:rPr>
            <w:noProof w:val="1"/>
          </w:rPr>
          <w:fldChar w:fldCharType="separate"/>
        </w:r>
        <w:r>
          <w:rPr>
            <w:noProof w:val="1"/>
          </w:rPr>
          <w:t>37</w:t>
        </w:r>
        <w:r>
          <w:rPr>
            <w:noProof w:val="1"/>
          </w:rPr>
          <w:fldChar w:fldCharType="end"/>
        </w:r>
      </w:hyperlink>
    </w:p>
    <w:p>
      <w:pPr>
        <w:pStyle w:val="P21"/>
        <w:rPr>
          <w:rFonts w:asciiTheme="minorHAnsi" w:hAnsiTheme="minorHAnsi" w:cstheme="minorBidi"/>
          <w:noProof w:val="1"/>
          <w:lang w:eastAsia="sv-SE"/>
        </w:rPr>
      </w:pPr>
      <w:hyperlink w:anchor="_Toc191546120">
        <w:r>
          <w:rPr>
            <w:rStyle w:val="C2"/>
            <w:noProof w:val="1"/>
          </w:rPr>
          <w:t>Tekniska åtgärder</w:t>
        </w:r>
        <w:r>
          <w:rPr>
            <w:noProof w:val="1"/>
          </w:rPr>
          <w:tab/>
        </w:r>
        <w:r>
          <w:rPr>
            <w:noProof w:val="1"/>
          </w:rPr>
          <w:fldChar w:fldCharType="begin"/>
        </w:r>
        <w:r>
          <w:rPr>
            <w:noProof w:val="1"/>
          </w:rPr>
          <w:instrText xml:space="preserve"> PAGEREF _Toc191546120 \h </w:instrText>
        </w:r>
        <w:r>
          <w:rPr>
            <w:noProof w:val="1"/>
          </w:rPr>
          <w:fldChar w:fldCharType="separate"/>
        </w:r>
        <w:r>
          <w:rPr>
            <w:noProof w:val="1"/>
          </w:rPr>
          <w:t>38</w:t>
        </w:r>
        <w:r>
          <w:rPr>
            <w:noProof w:val="1"/>
          </w:rPr>
          <w:fldChar w:fldCharType="end"/>
        </w:r>
      </w:hyperlink>
    </w:p>
    <w:p>
      <w:pPr>
        <w:pStyle w:val="P21"/>
        <w:rPr>
          <w:rFonts w:asciiTheme="minorHAnsi" w:hAnsiTheme="minorHAnsi" w:cstheme="minorBidi"/>
          <w:noProof w:val="1"/>
          <w:lang w:eastAsia="sv-SE"/>
        </w:rPr>
      </w:pPr>
      <w:hyperlink w:anchor="_Toc191546121">
        <w:r>
          <w:rPr>
            <w:rStyle w:val="C2"/>
            <w:noProof w:val="1"/>
          </w:rPr>
          <w:t>Ekonomi</w:t>
        </w:r>
        <w:r>
          <w:rPr>
            <w:noProof w:val="1"/>
          </w:rPr>
          <w:tab/>
        </w:r>
        <w:r>
          <w:rPr>
            <w:noProof w:val="1"/>
          </w:rPr>
          <w:fldChar w:fldCharType="begin"/>
        </w:r>
        <w:r>
          <w:rPr>
            <w:noProof w:val="1"/>
          </w:rPr>
          <w:instrText xml:space="preserve"> PAGEREF _Toc191546121 \h </w:instrText>
        </w:r>
        <w:r>
          <w:rPr>
            <w:noProof w:val="1"/>
          </w:rPr>
          <w:fldChar w:fldCharType="separate"/>
        </w:r>
        <w:r>
          <w:rPr>
            <w:noProof w:val="1"/>
          </w:rPr>
          <w:t>38</w:t>
        </w:r>
        <w:r>
          <w:rPr>
            <w:noProof w:val="1"/>
          </w:rPr>
          <w:fldChar w:fldCharType="end"/>
        </w:r>
      </w:hyperlink>
    </w:p>
    <w:p>
      <w:pPr>
        <w:pStyle w:val="P22"/>
        <w:rPr>
          <w:rFonts w:asciiTheme="minorHAnsi" w:hAnsiTheme="minorHAnsi" w:cstheme="minorBidi"/>
          <w:noProof w:val="1"/>
          <w:lang w:eastAsia="sv-SE"/>
        </w:rPr>
      </w:pPr>
      <w:hyperlink w:anchor="_Toc191546122">
        <w:r>
          <w:rPr>
            <w:rStyle w:val="C2"/>
            <w:bCs w:val="1"/>
            <w:noProof w:val="1"/>
          </w:rPr>
          <w:t>Planavgift</w:t>
        </w:r>
        <w:r>
          <w:rPr>
            <w:noProof w:val="1"/>
          </w:rPr>
          <w:tab/>
        </w:r>
        <w:r>
          <w:rPr>
            <w:noProof w:val="1"/>
          </w:rPr>
          <w:fldChar w:fldCharType="begin"/>
        </w:r>
        <w:r>
          <w:rPr>
            <w:noProof w:val="1"/>
          </w:rPr>
          <w:instrText xml:space="preserve"> PAGEREF _Toc191546122 \h </w:instrText>
        </w:r>
        <w:r>
          <w:rPr>
            <w:noProof w:val="1"/>
          </w:rPr>
          <w:fldChar w:fldCharType="separate"/>
        </w:r>
        <w:r>
          <w:rPr>
            <w:noProof w:val="1"/>
          </w:rPr>
          <w:t>38</w:t>
        </w:r>
        <w:r>
          <w:rPr>
            <w:noProof w:val="1"/>
          </w:rPr>
          <w:fldChar w:fldCharType="end"/>
        </w:r>
      </w:hyperlink>
    </w:p>
    <w:p>
      <w:pPr>
        <w:pStyle w:val="P21"/>
        <w:rPr>
          <w:rFonts w:asciiTheme="minorHAnsi" w:hAnsiTheme="minorHAnsi" w:cstheme="minorBidi"/>
          <w:noProof w:val="1"/>
          <w:lang w:eastAsia="sv-SE"/>
        </w:rPr>
      </w:pPr>
      <w:hyperlink w:anchor="_Toc191546123">
        <w:r>
          <w:rPr>
            <w:rStyle w:val="C2"/>
            <w:noProof w:val="1"/>
          </w:rPr>
          <w:t>Avtal eller överenskommelser</w:t>
        </w:r>
        <w:r>
          <w:rPr>
            <w:noProof w:val="1"/>
          </w:rPr>
          <w:tab/>
        </w:r>
        <w:r>
          <w:rPr>
            <w:noProof w:val="1"/>
          </w:rPr>
          <w:fldChar w:fldCharType="begin"/>
        </w:r>
        <w:r>
          <w:rPr>
            <w:noProof w:val="1"/>
          </w:rPr>
          <w:instrText xml:space="preserve"> PAGEREF _Toc191546123 \h </w:instrText>
        </w:r>
        <w:r>
          <w:rPr>
            <w:noProof w:val="1"/>
          </w:rPr>
          <w:fldChar w:fldCharType="separate"/>
        </w:r>
        <w:r>
          <w:rPr>
            <w:noProof w:val="1"/>
          </w:rPr>
          <w:t>38</w:t>
        </w:r>
        <w:r>
          <w:rPr>
            <w:noProof w:val="1"/>
          </w:rPr>
          <w:fldChar w:fldCharType="end"/>
        </w:r>
      </w:hyperlink>
    </w:p>
    <w:p>
      <w:pPr>
        <w:pStyle w:val="P21"/>
        <w:rPr>
          <w:rFonts w:asciiTheme="minorHAnsi" w:hAnsiTheme="minorHAnsi" w:cstheme="minorBidi"/>
          <w:noProof w:val="1"/>
          <w:lang w:eastAsia="sv-SE"/>
        </w:rPr>
      </w:pPr>
      <w:hyperlink w:anchor="_Toc191546124">
        <w:r>
          <w:rPr>
            <w:rStyle w:val="C2"/>
            <w:noProof w:val="1"/>
          </w:rPr>
          <w:t>Exploateringsavtal</w:t>
        </w:r>
        <w:r>
          <w:rPr>
            <w:noProof w:val="1"/>
          </w:rPr>
          <w:tab/>
        </w:r>
        <w:r>
          <w:rPr>
            <w:noProof w:val="1"/>
          </w:rPr>
          <w:fldChar w:fldCharType="begin"/>
        </w:r>
        <w:r>
          <w:rPr>
            <w:noProof w:val="1"/>
          </w:rPr>
          <w:instrText xml:space="preserve"> PAGEREF _Toc191546124 \h </w:instrText>
        </w:r>
        <w:r>
          <w:rPr>
            <w:noProof w:val="1"/>
          </w:rPr>
          <w:fldChar w:fldCharType="separate"/>
        </w:r>
        <w:r>
          <w:rPr>
            <w:noProof w:val="1"/>
          </w:rPr>
          <w:t>38</w:t>
        </w:r>
        <w:r>
          <w:rPr>
            <w:noProof w:val="1"/>
          </w:rPr>
          <w:fldChar w:fldCharType="end"/>
        </w:r>
      </w:hyperlink>
    </w:p>
    <w:p>
      <w:pPr>
        <w:pStyle w:val="P20"/>
        <w:rPr>
          <w:rFonts w:asciiTheme="minorHAnsi" w:hAnsiTheme="minorHAnsi" w:cstheme="minorBidi"/>
          <w:b w:val="0"/>
          <w:noProof w:val="1"/>
          <w:lang w:eastAsia="sv-SE"/>
        </w:rPr>
      </w:pPr>
      <w:hyperlink w:anchor="_Toc191546125">
        <w:r>
          <w:rPr>
            <w:rStyle w:val="C2"/>
            <w:noProof w:val="1"/>
          </w:rPr>
          <w:t>Medverkande tjänstepersoner</w:t>
        </w:r>
        <w:r>
          <w:rPr>
            <w:noProof w:val="1"/>
          </w:rPr>
          <w:tab/>
        </w:r>
        <w:r>
          <w:rPr>
            <w:noProof w:val="1"/>
          </w:rPr>
          <w:fldChar w:fldCharType="begin"/>
        </w:r>
        <w:r>
          <w:rPr>
            <w:noProof w:val="1"/>
          </w:rPr>
          <w:instrText xml:space="preserve"> PAGEREF _Toc191546125 \h </w:instrText>
        </w:r>
        <w:r>
          <w:rPr>
            <w:noProof w:val="1"/>
          </w:rPr>
          <w:fldChar w:fldCharType="separate"/>
        </w:r>
        <w:r>
          <w:rPr>
            <w:noProof w:val="1"/>
          </w:rPr>
          <w:t>38</w:t>
        </w:r>
        <w:r>
          <w:rPr>
            <w:noProof w:val="1"/>
          </w:rPr>
          <w:fldChar w:fldCharType="end"/>
        </w:r>
      </w:hyperlink>
    </w:p>
    <w:p>
      <w:r>
        <w:rPr>
          <w:b w:val="1"/>
          <w:bCs w:val="1"/>
        </w:rPr>
        <w:fldChar w:fldCharType="end"/>
      </w:r>
    </w:p>
    <w:p/>
    <w:p>
      <w:r>
        <w:br w:type="page"/>
      </w:r>
    </w:p>
    <w:p>
      <w:pPr>
        <w:pStyle w:val="P1"/>
      </w:pPr>
      <w:bookmarkStart w:id="5" w:name="_Toc191546049"/>
      <w:r>
        <w:t>Ärendeinformation</w:t>
      </w:r>
      <w:bookmarkEnd w:id="5"/>
    </w:p>
    <w:p>
      <w:pPr>
        <w:pStyle w:val="P2"/>
      </w:pPr>
      <w:bookmarkStart w:id="6" w:name="_Toc191546050"/>
      <w:r>
        <w:t>Planprocessen</w:t>
      </w:r>
      <w:bookmarkEnd w:id="6"/>
      <w:r>
        <w:t xml:space="preserve"> </w:t>
      </w:r>
    </w:p>
    <w:p>
      <w:pPr>
        <w:pStyle w:val="P3"/>
      </w:pPr>
      <w:bookmarkStart w:id="7" w:name="_Toc191546051"/>
      <w:r>
        <w:t>Vad är en detaljplan</w:t>
      </w:r>
      <w:bookmarkEnd w:id="7"/>
    </w:p>
    <w:p>
      <w:bookmarkStart w:id="8" w:name="be_ärendeinformation06"/>
      <w:r>
        <w:t xml:space="preserve">Med en detaljplan reglerar kommunen hur mark och vatten ska användas och hur bebyggelsen ska se ut. Detaljplanen talar därför om vad fastighetsägaren får och inte får göra för byggåtgärder inom planområdet. </w:t>
      </w:r>
    </w:p>
    <w:p>
      <w:r>
        <w:t>En detaljplan visas som ett bestämt område på en plankarta. Till detaljplanekartan hör en planbeskrivning, som förklarar planens syfte och innehåll. Ibland ingår även andra handlingar, till exempel en illustrationskarta eller en miljökonsekvensbeskrivning. Detaljplanen är juridiskt bindande. Det betyder att det som står på plankartan ger markägaren rättigheter och skyldigheter för hur marken får användas och bebyggas.</w:t>
      </w:r>
    </w:p>
    <w:p>
      <w:r>
        <w:t>I plan- och bygglagen (PBL) finns bestämmelser om hur och i vilka situationer en detaljplan ska tas fram. Det är bara kommunen som kan besluta om att ta fram och anta en detaljplan.</w:t>
      </w:r>
    </w:p>
    <w:p>
      <w:r>
        <w:t>Du som är berörd av ett detaljplaneförslag har möjlighet att påverka planens innehåll. Det finns två tillfällen under detaljplaneprocessen där du kan framföra dina åsikter: samrådet och granskningen. Om du berörs av planförslaget och har synpunkter på planen är det viktigt att du framför dina synpunkter skriftligen för att senare ha rätt att överklaga kommunens beslut att anta detaljplanen.</w:t>
      </w:r>
    </w:p>
    <w:p>
      <w:pPr>
        <w:pStyle w:val="P3"/>
      </w:pPr>
      <w:bookmarkEnd w:id="8"/>
      <w:bookmarkStart w:id="9" w:name="_Toc191546052"/>
      <w:r>
        <w:t>Bakgrund</w:t>
      </w:r>
      <w:bookmarkEnd w:id="9"/>
    </w:p>
    <w:p>
      <w:bookmarkStart w:id="10" w:name="be_ärendeinformation10"/>
      <w:r>
        <w:t>Under 2022 har en fördjupad förstudie genomförts avseende kommande behov av skollokaler. Kommunstyrelsen beslutade 2022-11-23, § 167 följande:</w:t>
      </w:r>
    </w:p>
    <w:p>
      <w:pPr>
        <w:pStyle w:val="P12"/>
        <w:numPr>
          <w:ilvl w:val="0"/>
          <w:numId w:val="35"/>
        </w:numPr>
      </w:pPr>
      <w:r>
        <w:t xml:space="preserve">Förstudiens alternativ 1 ska vara gällande för ny- och ombyggnation av skollokaler i Ödeshögs tätort. (Alternativ 1 innebär att årskurs F-6 förläggs till Fridtjuv Bergskolans område och årskurs 7-9 på Lysingskolan. Dessutom ska ett nytt tillagningskök byggas vid den nya F-6 skolan och köket i Lysingskolan omvandlas till ett mottagningskök.) </w:t>
      </w:r>
    </w:p>
    <w:p>
      <w:pPr>
        <w:pStyle w:val="P12"/>
        <w:numPr>
          <w:ilvl w:val="0"/>
          <w:numId w:val="35"/>
        </w:numPr>
      </w:pPr>
      <w:r>
        <w:t>Kommunstyrelsen betonar vikten av att genomförandeprojektet tar tillvara olika intressenters perspektiv som till exempel lärar-, lärande- och barnperspektivet samt att regelbunden kontakt och möjlighet till dialog mellan förvaltningarna och olika medarbetargrupper sker kontinuerligt under hela projektets gång.</w:t>
      </w:r>
    </w:p>
    <w:p>
      <w:r>
        <w:t>Gällande detaljplan för Fridtjuv Bergskolans område 05-ÖDS-167 är från år 1948 och innebär vissa begränsningar när en ny skola ska byggas. Bland annat genom att delar av skolans nuvarande område i gällande plan är för bostadsändamål och allmän plats, park. För att inte vara begränsad utifrån gällande detaljplans förutsättningar när man ska bygga en ny skola utan istället utgå ifrån hur man på bästa sätt kan bygga en ändamålsenlig skola med alla dess kringfunktioner behöver detaljplanen göras om. Arbetet med att ta fram en ny detaljplan behöver ske parallellt och i nära samarbete med den arbetsgrupp som tar fram förslag på en ny skola.</w:t>
      </w:r>
    </w:p>
    <w:p>
      <w:pPr>
        <w:pStyle w:val="P3"/>
      </w:pPr>
      <w:bookmarkEnd w:id="10"/>
      <w:bookmarkStart w:id="11" w:name="_Toc191546053"/>
      <w:r>
        <w:t>Beslut och tidplan</w:t>
      </w:r>
      <w:bookmarkEnd w:id="11"/>
    </w:p>
    <w:p>
      <w:bookmarkStart w:id="12" w:name="be_ärendeinformation07"/>
      <w:r>
        <w:t xml:space="preserve">Kommunstyrelsen beslutade 2023-03-22 att samhällsbyggnadsnämnden får i uppdrag att påbörja arbetet med en ny detaljplan för Fridtjuv Bergskolans område med syfte att möjliggöra en ny F-6 skola. För att klara tidplanen för skolprojektet behöver detaljplanen antas våren 2025.  </w:t>
      </w:r>
    </w:p>
    <w:p>
      <w:r>
        <w:t>Planförslaget handläggs genom ett så kallat standardförfarande då förslaget till detaljplan anses vara förenligt med översiktsplanen och anses inte vara av betydande intresse för allmänheten eller i övrigt av stor betydelse. Detaljplanen anses inte medföra någon betydande miljöpåverkan.</w:t>
      </w:r>
    </w:p>
    <w:p/>
    <w:p>
      <w:pPr>
        <w:rPr>
          <w:i w:val="1"/>
          <w:sz w:val="20"/>
        </w:rPr>
      </w:pPr>
      <w:r>
        <w:rPr>
          <w:noProof w:val="1"/>
          <w:lang w:eastAsia="sv-SE"/>
        </w:rPr>
        <w:drawing>
          <wp:inline xmlns:wp="http://schemas.openxmlformats.org/drawingml/2006/wordprocessingDrawing" distT="0" distB="0" distL="0" distR="0">
            <wp:extent cx="4545330" cy="1330325"/>
            <wp:effectExtent l="0" t="0" r="7620" b="3175"/>
            <wp:docPr id="28" name="Bildobjekt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ildobjekt 6"/>
                    <pic:cNvPicPr/>
                  </pic:nvPicPr>
                  <pic:blipFill dpi="0">
                    <a:blip xmlns:r="http://schemas.openxmlformats.org/officeDocument/2006/relationships" r:embed="Relimage1"/>
                    <a:srcRect/>
                    <a:stretch>
                      <a:fillRect/>
                    </a:stretch>
                  </pic:blipFill>
                  <pic:spPr>
                    <a:xfrm>
                      <a:off x="0" y="0"/>
                      <a:ext cx="4545806" cy="1330960"/>
                    </a:xfrm>
                    <a:prstGeom prst="rect"/>
                  </pic:spPr>
                </pic:pic>
              </a:graphicData>
            </a:graphic>
          </wp:inline>
        </w:drawing>
      </w:r>
      <w:r>
        <w:br w:type="textWrapping"/>
      </w:r>
      <w:r>
        <w:rPr>
          <w:i w:val="1"/>
          <w:sz w:val="18"/>
          <w:szCs w:val="18"/>
        </w:rPr>
        <w:t>Bild visar illustration över detaljplaneprocessen. Röd markering visar på att detaljplanen är inför antagande.</w:t>
      </w:r>
    </w:p>
    <w:p>
      <w:bookmarkEnd w:id="12"/>
    </w:p>
    <w:p/>
    <w:p>
      <w:pPr>
        <w:pStyle w:val="P2"/>
      </w:pPr>
      <w:bookmarkStart w:id="13" w:name="_Toc191546054"/>
      <w:r>
        <w:t>Detaljplanens handlingar</w:t>
      </w:r>
      <w:bookmarkEnd w:id="13"/>
    </w:p>
    <w:p>
      <w:pPr>
        <w:pStyle w:val="P12"/>
        <w:numPr>
          <w:ilvl w:val="0"/>
          <w:numId w:val="34"/>
        </w:numPr>
      </w:pPr>
      <w:bookmarkStart w:id="14" w:name="be_ärendeinformation08"/>
      <w:r>
        <w:t>Plankarta med bestämmelser</w:t>
      </w:r>
    </w:p>
    <w:p>
      <w:pPr>
        <w:pStyle w:val="P12"/>
        <w:numPr>
          <w:ilvl w:val="0"/>
          <w:numId w:val="34"/>
        </w:numPr>
      </w:pPr>
      <w:r>
        <w:t>Planbeskrivning</w:t>
      </w:r>
    </w:p>
    <w:p>
      <w:pPr>
        <w:pStyle w:val="P12"/>
        <w:numPr>
          <w:ilvl w:val="0"/>
          <w:numId w:val="34"/>
        </w:numPr>
      </w:pPr>
      <w:r>
        <w:t>Undersökning av betydande miljöpåverkan</w:t>
      </w:r>
    </w:p>
    <w:p>
      <w:pPr>
        <w:pStyle w:val="P12"/>
        <w:numPr>
          <w:ilvl w:val="0"/>
          <w:numId w:val="34"/>
        </w:numPr>
      </w:pPr>
      <w:r>
        <w:t>Samrådsredogörelse</w:t>
      </w:r>
    </w:p>
    <w:p>
      <w:pPr>
        <w:pStyle w:val="P12"/>
        <w:numPr>
          <w:ilvl w:val="0"/>
          <w:numId w:val="34"/>
        </w:numPr>
      </w:pPr>
      <w:r>
        <w:t>Granskningsutlåtande</w:t>
      </w:r>
    </w:p>
    <w:p>
      <w:pPr>
        <w:pStyle w:val="P12"/>
        <w:numPr>
          <w:ilvl w:val="0"/>
          <w:numId w:val="34"/>
        </w:numPr>
      </w:pPr>
      <w:r>
        <w:t>Grundkarta</w:t>
      </w:r>
    </w:p>
    <w:p>
      <w:pPr>
        <w:pStyle w:val="P12"/>
        <w:numPr>
          <w:ilvl w:val="0"/>
          <w:numId w:val="34"/>
        </w:numPr>
      </w:pPr>
      <w:r>
        <w:t>Fastighetsförteckning</w:t>
      </w:r>
    </w:p>
    <w:p>
      <w:pPr>
        <w:pStyle w:val="P12"/>
        <w:numPr>
          <w:ilvl w:val="0"/>
          <w:numId w:val="34"/>
        </w:numPr>
      </w:pPr>
      <w:r>
        <w:t>Naturvärdesinventering</w:t>
      </w:r>
    </w:p>
    <w:p>
      <w:pPr>
        <w:pStyle w:val="P12"/>
        <w:numPr>
          <w:ilvl w:val="0"/>
          <w:numId w:val="34"/>
        </w:numPr>
      </w:pPr>
      <w:r>
        <w:t>Miljöteknisk undersökning</w:t>
      </w:r>
    </w:p>
    <w:p>
      <w:pPr>
        <w:pStyle w:val="P12"/>
        <w:numPr>
          <w:ilvl w:val="0"/>
          <w:numId w:val="34"/>
        </w:numPr>
      </w:pPr>
      <w:r>
        <w:t>PM dagvatten</w:t>
      </w:r>
    </w:p>
    <w:p>
      <w:pPr>
        <w:pStyle w:val="P12"/>
        <w:numPr>
          <w:ilvl w:val="0"/>
          <w:numId w:val="34"/>
        </w:numPr>
      </w:pPr>
      <w:r>
        <w:t>Rapport trafikmätning</w:t>
      </w:r>
    </w:p>
    <w:p>
      <w:pPr>
        <w:pStyle w:val="P12"/>
      </w:pPr>
      <w:bookmarkEnd w:id="14"/>
    </w:p>
    <w:p>
      <w:pPr>
        <w:pStyle w:val="P1"/>
      </w:pPr>
      <w:bookmarkStart w:id="15" w:name="_Toc191546055"/>
      <w:r>
        <w:t>Detaljplanens syfte</w:t>
      </w:r>
      <w:bookmarkEnd w:id="15"/>
      <w:r>
        <w:t xml:space="preserve"> </w:t>
      </w:r>
    </w:p>
    <w:p>
      <w:bookmarkStart w:id="16" w:name="sy_syfte01"/>
      <w:r>
        <w:t>Planens syfte är att möjliggöra byggnation av en ändamålsenlig F-6 skola inklusive tillagningskök samt ta höjd för utbyggnadsmöjligheter för framtida behov av skola/förskola inom planområdet. Syftet är också att i planen skapa förutsättningar för en god skolmiljö. Planen ska även möjliggöra bostadsändamål tillsammans med skoländamål på avgränsad yta för ökad flexibilitet för Ödeshögs långsiktiga befolkningsutveckling.</w:t>
      </w:r>
    </w:p>
    <w:p>
      <w:pPr>
        <w:pStyle w:val="P1"/>
      </w:pPr>
      <w:bookmarkEnd w:id="16"/>
      <w:bookmarkStart w:id="17" w:name="_Toc191546056"/>
      <w:r>
        <w:t>Planområdet</w:t>
      </w:r>
      <w:bookmarkEnd w:id="17"/>
      <w:r>
        <w:t xml:space="preserve"> </w:t>
      </w:r>
    </w:p>
    <w:p>
      <w:pPr>
        <w:pStyle w:val="P2"/>
      </w:pPr>
      <w:bookmarkStart w:id="18" w:name="_Toc191546057"/>
      <w:r>
        <w:t>Lokalisering, storlek och markägoförhållanden</w:t>
      </w:r>
      <w:bookmarkEnd w:id="18"/>
    </w:p>
    <w:p>
      <w:bookmarkStart w:id="19" w:name="pf_fysiskmiljö01"/>
      <w:r>
        <w:t xml:space="preserve">Detaljplanen ligger centralt i Ödeshögs tätort och avgränsas av gatorna Storgatan, Järnvägsgatan och Kungsvägen samt ”centrumparken” och bostadsfastigheter i östra delen. Planområdet är ca 26 960 kvm (ca 2,7 hektar) stort och har en höjdskillnad på 8 meter från högsta punkten i söder (Storgatan) till lägsta punkten i norr (Kungsvägen). Marken inom planområdet används idag till grund- och förskola. Ödeshögs kommun äger all mark inom planområdet som utgörs av fastigheterna; Fridtjuv Berg 2 till 5, Ödeshög 1:48 samt delar av gatufastigheten Ödeshög 19:2. </w:t>
      </w:r>
    </w:p>
    <w:p>
      <w:pPr>
        <w:pStyle w:val="P1"/>
      </w:pPr>
      <w:bookmarkEnd w:id="19"/>
      <w:bookmarkStart w:id="20" w:name="_Toc191546058"/>
      <w:r>
        <w:t>Planförslag</w:t>
      </w:r>
      <w:bookmarkEnd w:id="20"/>
    </w:p>
    <w:p>
      <w:pPr>
        <w:pStyle w:val="P2"/>
      </w:pPr>
      <w:bookmarkStart w:id="21" w:name="_Toc191546059"/>
      <w:r>
        <w:t>Huvuddrag</w:t>
      </w:r>
      <w:bookmarkEnd w:id="21"/>
      <w:r>
        <w:t xml:space="preserve"> </w:t>
      </w:r>
    </w:p>
    <w:p>
      <w:pPr>
        <w:rPr>
          <w:iCs w:val="1"/>
        </w:rPr>
      </w:pPr>
      <w:bookmarkStart w:id="22" w:name="be_heladetaljplan01"/>
      <w:r>
        <w:rPr>
          <w:iCs w:val="1"/>
        </w:rPr>
        <w:t xml:space="preserve">Detaljplanen möjliggör </w:t>
      </w:r>
      <w:r>
        <w:t xml:space="preserve">uppförande av en ny skola, i linje med Ödeshögs kommuns planer för </w:t>
      </w:r>
      <w:r>
        <w:rPr>
          <w:iCs w:val="1"/>
        </w:rPr>
        <w:t xml:space="preserve">byggnation av en ny F-6-skola. I den nordöstra delen av tomten finns en avsatt yta som tillåter bostäder eller skola. Det finns för närvarande inte några specifika planer på att uppföra bostäder där men om denna yta inte behövs för skoländamål </w:t>
      </w:r>
      <w:r>
        <w:t>i framtiden finns det potential att använda den för bostäder. Ytan angränsar i direkt närhet till övriga bostäder i området</w:t>
      </w:r>
      <w:r>
        <w:rPr>
          <w:iCs w:val="1"/>
        </w:rPr>
        <w:t xml:space="preserve"> </w:t>
      </w:r>
      <w:r>
        <w:t>som skapar en flexibilitet för framtiden</w:t>
      </w:r>
      <w:r>
        <w:rPr>
          <w:iCs w:val="1"/>
        </w:rPr>
        <w:t>.</w:t>
      </w:r>
    </w:p>
    <w:p>
      <w:pPr>
        <w:rPr>
          <w:iCs w:val="1"/>
        </w:rPr>
      </w:pPr>
      <w:r>
        <w:rPr>
          <w:iCs w:val="1"/>
        </w:rPr>
        <w:t xml:space="preserve">Planområdet är huvudsakligen inriktat på skoländamål, där den nya F-6-skolan planeras som en huvudbyggnad i två till tre våningar, </w:t>
      </w:r>
      <w:r>
        <w:t>med placering längs med Storgatan där huvudentrén kommer att vara belägen. Denna placering ger skolan en mer framträdande profil än dess nuvarande läge och bidrar till att dämpa buller genom att placera skolgården mer centralt inom området, bort från de befintliga gatorna</w:t>
      </w:r>
      <w:r>
        <w:rPr>
          <w:iCs w:val="1"/>
        </w:rPr>
        <w:t xml:space="preserve"> med skydd av byggnaden. Huvudbyggnaden ska placeras i området mot Storgatan men vissa delar av skolan så som idrottshall m.m. kan placeras ut på skolområdet.</w:t>
      </w:r>
    </w:p>
    <w:p>
      <w:pPr>
        <w:rPr>
          <w:iCs w:val="1"/>
        </w:rPr>
      </w:pPr>
      <w:r>
        <w:rPr>
          <w:iCs w:val="1"/>
        </w:rPr>
        <w:t xml:space="preserve">Området ska angöras för gående och cyklister mot Storgatan där ny gång- och cykelbana planeras. Övrig angöring sker primärt via Järnvägsgatan. Eftersom skolan kommer innehålla ett tillagningskök med ökade varutransporter kommer varutransporterna ske separerat från hämta/lämna- och skolskjutsparkering. Personalparkering placeras i norra delen av planen. </w:t>
      </w:r>
    </w:p>
    <w:p>
      <w:r>
        <w:rPr>
          <w:iCs w:val="1"/>
        </w:rPr>
        <w:t>Inom planområdet inryms även gatumark där gatumarken utökas vid Storgatan för att möjliggöra gång- och cykelbana men även för att ge utrymme att plantera nya träd längs med skolan och hämta/lämna-parkeringar.</w:t>
      </w:r>
      <w:r>
        <w:t xml:space="preserve"> En avgränsad yta avsätts också för transformatorstation i sydöstra samt norra delen av planen.</w:t>
      </w:r>
    </w:p>
    <w:p>
      <w:pPr>
        <w:rPr>
          <w:iCs w:val="1"/>
        </w:rPr>
      </w:pPr>
      <w:r>
        <w:rPr>
          <w:iCs w:val="1"/>
          <w:noProof w:val="1"/>
        </w:rPr>
        <w:drawing>
          <wp:inline xmlns:wp="http://schemas.openxmlformats.org/drawingml/2006/wordprocessingDrawing" distT="0" distB="0" distL="0" distR="0">
            <wp:extent cx="5259070" cy="5257800"/>
            <wp:effectExtent l="0" t="0" r="0" b="0"/>
            <wp:docPr id="15" name="Bildobjekt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Bildobjekt 15"/>
                    <pic:cNvPicPr/>
                  </pic:nvPicPr>
                  <pic:blipFill dpi="0">
                    <a:blip xmlns:r="http://schemas.openxmlformats.org/officeDocument/2006/relationships" r:embed="Relimage2"/>
                    <a:srcRect/>
                    <a:stretch>
                      <a:fillRect/>
                    </a:stretch>
                  </pic:blipFill>
                  <pic:spPr>
                    <a:xfrm>
                      <a:off x="0" y="0"/>
                      <a:ext cx="5262663" cy="5261235"/>
                    </a:xfrm>
                    <a:prstGeom prst="rect"/>
                  </pic:spPr>
                </pic:pic>
              </a:graphicData>
            </a:graphic>
          </wp:inline>
        </w:drawing>
      </w:r>
    </w:p>
    <w:p>
      <w:pPr>
        <w:rPr>
          <w:i w:val="1"/>
          <w:sz w:val="18"/>
          <w:szCs w:val="18"/>
        </w:rPr>
      </w:pPr>
      <w:r>
        <w:rPr>
          <w:i w:val="1"/>
          <w:sz w:val="18"/>
          <w:szCs w:val="18"/>
        </w:rPr>
        <w:t xml:space="preserve">Bild visar en illustration av möjlig placering av skola och dess olika funktioner. </w:t>
      </w:r>
    </w:p>
    <w:p>
      <w:pPr>
        <w:rPr>
          <w:i w:val="1"/>
          <w:sz w:val="18"/>
          <w:szCs w:val="18"/>
        </w:rPr>
      </w:pPr>
      <w:bookmarkEnd w:id="22"/>
    </w:p>
    <w:p>
      <w:pPr>
        <w:rPr>
          <w:i w:val="1"/>
          <w:sz w:val="18"/>
          <w:szCs w:val="18"/>
        </w:rPr>
      </w:pPr>
    </w:p>
    <w:p>
      <w:pPr>
        <w:rPr>
          <w:i w:val="1"/>
          <w:sz w:val="18"/>
          <w:szCs w:val="18"/>
        </w:rPr>
      </w:pPr>
    </w:p>
    <w:p>
      <w:pPr>
        <w:rPr>
          <w:i w:val="1"/>
          <w:sz w:val="18"/>
          <w:szCs w:val="18"/>
        </w:rPr>
      </w:pPr>
    </w:p>
    <w:p>
      <w:pPr>
        <w:rPr>
          <w:i w:val="1"/>
          <w:sz w:val="18"/>
          <w:szCs w:val="18"/>
        </w:rPr>
      </w:pPr>
    </w:p>
    <w:p>
      <w:pPr>
        <w:rPr>
          <w:i w:val="1"/>
          <w:sz w:val="18"/>
          <w:szCs w:val="18"/>
        </w:rPr>
      </w:pPr>
    </w:p>
    <w:p>
      <w:pPr>
        <w:pStyle w:val="P2"/>
      </w:pPr>
      <w:bookmarkStart w:id="23" w:name="_Toc191546060"/>
      <w:r>
        <w:t>Plankarta och bestämmelser</w:t>
      </w:r>
      <w:bookmarkEnd w:id="23"/>
    </w:p>
    <w:p>
      <w:bookmarkStart w:id="24" w:name="be_heladetaljplan02"/>
      <w:r>
        <w:rPr>
          <w:noProof w:val="1"/>
        </w:rPr>
        <w:drawing>
          <wp:inline xmlns:wp="http://schemas.openxmlformats.org/drawingml/2006/wordprocessingDrawing" distT="0" distB="0" distL="0" distR="0">
            <wp:extent cx="4679950" cy="3850005"/>
            <wp:effectExtent l="0" t="0" r="6350" b="0"/>
            <wp:docPr id="34" name="Bildobjekt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74"/>
                    <pic:cNvPicPr/>
                  </pic:nvPicPr>
                  <pic:blipFill dpi="0">
                    <a:blip xmlns:r="http://schemas.openxmlformats.org/officeDocument/2006/relationships" r:embed="Relimage3"/>
                    <a:srcRect/>
                    <a:stretch>
                      <a:fillRect/>
                    </a:stretch>
                  </pic:blipFill>
                  <pic:spPr>
                    <a:xfrm>
                      <a:off x="0" y="0"/>
                      <a:ext cx="4679950" cy="3850005"/>
                    </a:xfrm>
                    <a:prstGeom prst="rect"/>
                  </pic:spPr>
                </pic:pic>
              </a:graphicData>
            </a:graphic>
          </wp:inline>
        </w:drawing>
      </w:r>
    </w:p>
    <w:p>
      <w:pPr>
        <w:rPr>
          <w:i w:val="1"/>
        </w:rPr>
      </w:pPr>
      <w:r>
        <w:rPr>
          <w:i w:val="1"/>
          <w:sz w:val="18"/>
          <w:szCs w:val="18"/>
        </w:rPr>
        <w:t xml:space="preserve">Bild över plankarta </w:t>
      </w:r>
    </w:p>
    <w:p>
      <w:r>
        <w:t xml:space="preserve">En plankarta med bestämmelser är det juridiskt bindande dokument som reglerar användningen av mark- och vattenområde. Plankartan omfattar det område inom vilken detaljplanens bestämmelser gäller. </w:t>
      </w:r>
    </w:p>
    <w:p>
      <w:pPr>
        <w:pStyle w:val="P2"/>
      </w:pPr>
      <w:bookmarkEnd w:id="24"/>
      <w:bookmarkStart w:id="25" w:name="_Toc191546061"/>
      <w:r>
        <w:t>Användning av allmän plats</w:t>
      </w:r>
      <w:bookmarkEnd w:id="25"/>
    </w:p>
    <w:p>
      <w:pPr>
        <w:rPr>
          <w:b w:val="1"/>
          <w:bCs w:val="1"/>
          <w:iCs w:val="1"/>
        </w:rPr>
      </w:pPr>
      <w:r>
        <w:rPr>
          <w:b w:val="1"/>
          <w:bCs w:val="1"/>
          <w:iCs w:val="1"/>
        </w:rPr>
        <w:t xml:space="preserve">Gata </w:t>
      </w:r>
    </w:p>
    <w:p>
      <w:pPr>
        <w:rPr>
          <w:iCs w:val="1"/>
        </w:rPr>
      </w:pPr>
      <w:bookmarkStart w:id="26" w:name="mo_motivtillreglering01"/>
      <w:r>
        <w:t>Användningen Gata (</w:t>
      </w:r>
      <w:r>
        <w:rPr>
          <w:b w:val="1"/>
        </w:rPr>
        <w:t>GATA)</w:t>
      </w:r>
      <w:r>
        <w:t xml:space="preserve"> anger markanvändning för allmän körtrafik. Befintliga gator regleras som gata med innebörden lokalgata. Inom användningen ryms även andra funktioner kopplade till gaturummen, så som gång- och cykelväg samt gatuparkering. </w:t>
      </w:r>
      <w:r>
        <w:rPr>
          <w:iCs w:val="1"/>
        </w:rPr>
        <w:t>Gator och gatumark som omges av skolområdet har tagits med i detaljplanen. Det ena motivet är att kunna reglera planen med utfartsförbud. Utfartsförbud får inte placeras i plangräns utan måste placeras mellan två markanvändningar. Det andra motivet är att längs med Storgatan har gatumarken utökats för att kunna möjliggöra gång- och cykelbana med plantering av träd samt hämta/lämna-parkering.</w:t>
      </w:r>
    </w:p>
    <w:p>
      <w:pPr>
        <w:rPr>
          <w:iCs w:val="1"/>
        </w:rPr>
      </w:pPr>
      <w:bookmarkEnd w:id="26"/>
    </w:p>
    <w:p>
      <w:pPr>
        <w:pStyle w:val="P2"/>
      </w:pPr>
      <w:bookmarkStart w:id="27" w:name="_Toc191546062"/>
      <w:r>
        <w:t>Användning av kvartersmark</w:t>
      </w:r>
      <w:bookmarkEnd w:id="27"/>
    </w:p>
    <w:p>
      <w:pPr>
        <w:rPr>
          <w:b w:val="1"/>
          <w:bCs w:val="1"/>
          <w:iCs w:val="1"/>
        </w:rPr>
      </w:pPr>
      <w:r>
        <w:rPr>
          <w:b w:val="1"/>
          <w:bCs w:val="1"/>
          <w:iCs w:val="1"/>
        </w:rPr>
        <w:t>Skola</w:t>
      </w:r>
    </w:p>
    <w:p>
      <w:pPr>
        <w:rPr>
          <w:iCs w:val="1"/>
        </w:rPr>
      </w:pPr>
      <w:bookmarkStart w:id="28" w:name="mo_motivtillreglering02"/>
      <w:r>
        <w:t>Användningen Skola (</w:t>
      </w:r>
      <w:r>
        <w:rPr>
          <w:b w:val="1"/>
          <w:bCs w:val="1"/>
        </w:rPr>
        <w:t>S</w:t>
      </w:r>
      <w:r>
        <w:t>) omfattar alla slags skolor och andra undervisnings- och forskningslokaler. I användningen ingår till exempel förskola, fritidshem, grundskola, gymnasieskola, högskola, universitet och övrig vuxenutbildning. Även idrottshall, matsal, bibliotek, personalkontor, skolgård och parkering som hör till skolverksamheten ingår.</w:t>
      </w:r>
      <w:r>
        <w:rPr>
          <w:iCs w:val="1"/>
          <w:rtl w:val="0"/>
          <w:lang w:val="sv-SE" w:bidi="sv-SE" w:eastAsia="sv-SE"/>
        </w:rPr>
        <w:t xml:space="preserve"> </w:t>
      </w:r>
      <w:r>
        <w:rPr>
          <w:iCs w:val="1"/>
        </w:rPr>
        <w:t>Markanvändningen motiveras av planens syfte i enlighet med 2 kap. 2§ PBL till att mark och vattenområden används för det eller de ändamål som områdena är mest lämpade för med hänsyn till beskaffenhet, läge och behov. Planens syfte är att möjliggöra byggnation av en ändamålsenlig F-6 skola inklusive tillagningskök samt ta höjd för utbyggnadsmöjligheter för framtida behov av skola/förskola inom planområdet.</w:t>
      </w:r>
    </w:p>
    <w:p>
      <w:pPr>
        <w:rPr>
          <w:b w:val="1"/>
          <w:bCs w:val="1"/>
          <w:iCs w:val="1"/>
        </w:rPr>
      </w:pPr>
      <w:bookmarkEnd w:id="28"/>
      <w:r>
        <w:rPr>
          <w:b w:val="1"/>
          <w:bCs w:val="1"/>
          <w:iCs w:val="1"/>
        </w:rPr>
        <w:t>Bostäder</w:t>
      </w:r>
    </w:p>
    <w:p>
      <w:pPr>
        <w:rPr>
          <w:iCs w:val="1"/>
        </w:rPr>
      </w:pPr>
      <w:bookmarkStart w:id="29" w:name="mo_motivtillreglering03"/>
      <w:r>
        <w:t>Användningen Bostäder (</w:t>
      </w:r>
      <w:r>
        <w:rPr>
          <w:b w:val="1"/>
        </w:rPr>
        <w:t>B</w:t>
      </w:r>
      <w:r>
        <w:t>) ska tillämpas för områden för olika former av boenden av varaktig karaktär. Även bostadskomplement ingår i användningen</w:t>
      </w:r>
      <w:r>
        <w:rPr>
          <w:rtl w:val="0"/>
          <w:lang w:val="sv-SE" w:bidi="sv-SE" w:eastAsia="sv-SE"/>
        </w:rPr>
        <w:t xml:space="preserve">. </w:t>
      </w:r>
      <w:r>
        <w:rPr>
          <w:iCs w:val="1"/>
        </w:rPr>
        <w:t xml:space="preserve">Den nordöstra delen av planen, på en avgränsad yta, tillåter bostäder. Användning ses som en möjlighet för att öka flexibiliteten i planen om ytan inte behövs för skoländamål som också tillåts inom detta område. Kommunen äger marken och har rådighet att avgöra hur skolans behov ser ut i det längre perspektivet. </w:t>
      </w:r>
    </w:p>
    <w:p>
      <w:pPr>
        <w:rPr>
          <w:iCs w:val="1"/>
        </w:rPr>
      </w:pPr>
      <w:bookmarkEnd w:id="29"/>
    </w:p>
    <w:p>
      <w:pPr>
        <w:rPr>
          <w:b w:val="1"/>
          <w:bCs w:val="1"/>
          <w:iCs w:val="1"/>
        </w:rPr>
      </w:pPr>
      <w:r>
        <w:rPr>
          <w:b w:val="1"/>
          <w:bCs w:val="1"/>
          <w:iCs w:val="1"/>
        </w:rPr>
        <w:t>E - Transformatorstation</w:t>
      </w:r>
    </w:p>
    <w:p>
      <w:bookmarkStart w:id="30" w:name="mo_motivtillreglering04"/>
      <w:r>
        <w:t>Användningen Tekniska anläggningar (E) kan användas för områden för både offentliga och privata anläggningar. Användningen omfattar flera olika typer av tekniska anläggningar, även komplement till verksamheten ingår i användningen.</w:t>
      </w:r>
      <w:r>
        <w:rPr>
          <w:rtl w:val="0"/>
          <w:lang w:val="sv-SE" w:bidi="sv-SE" w:eastAsia="sv-SE"/>
        </w:rPr>
        <w:t xml:space="preserve"> </w:t>
      </w:r>
      <w:r>
        <w:t xml:space="preserve">Inom planområdet finns idag ingen transformatorstation. En ny behövs för att säkerställa strömförsörjningen till skolan på ett bra sätt. Vid bebyggelse av bostäder eller skola i nordöstra delen behövs ytterligare en transformatorstation som byggs vid behov. Normal storlek på markanspråk för en transformatorstation är ett utrymme på 10x10 meter (byggnadens storlek ca 3x3m), vilket ritats in på plankartan. Byggnader är inte tillåtet närmare än 5 meter från E-området. </w:t>
      </w:r>
    </w:p>
    <w:p>
      <w:pPr>
        <w:rPr>
          <w:b w:val="1"/>
          <w:bCs w:val="1"/>
        </w:rPr>
      </w:pPr>
      <w:bookmarkEnd w:id="30"/>
    </w:p>
    <w:p>
      <w:pPr>
        <w:pStyle w:val="P2"/>
      </w:pPr>
      <w:bookmarkStart w:id="31" w:name="_Toc191546063"/>
      <w:r>
        <w:t>Användning av egenskapsbestämmelser för kvartersmark</w:t>
      </w:r>
      <w:bookmarkEnd w:id="31"/>
    </w:p>
    <w:p>
      <w:pPr>
        <w:rPr>
          <w:b w:val="1"/>
          <w:bCs w:val="1"/>
        </w:rPr>
      </w:pPr>
      <w:r>
        <w:rPr>
          <w:noProof w:val="1"/>
        </w:rPr>
        <w:drawing>
          <wp:anchor xmlns:wp="http://schemas.openxmlformats.org/drawingml/2006/wordprocessingDrawing" distT="0" distB="0" distL="114300" distR="114300" simplePos="0" relativeHeight="11" behindDoc="0" locked="0" layoutInCell="1" allowOverlap="1">
            <wp:simplePos x="0" y="0"/>
            <wp:positionH relativeFrom="margin">
              <wp:align>left</wp:align>
            </wp:positionH>
            <wp:positionV relativeFrom="paragraph">
              <wp:posOffset>73025</wp:posOffset>
            </wp:positionV>
            <wp:extent cx="647700" cy="356235"/>
            <wp:effectExtent l="0" t="0" r="0" b="5715"/>
            <wp:wrapSquare wrapText="bothSides"/>
            <wp:docPr id="23" name="Bildobjekt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75"/>
                    <pic:cNvPicPr/>
                  </pic:nvPicPr>
                  <pic:blipFill dpi="0">
                    <a:blip xmlns:r="http://schemas.openxmlformats.org/officeDocument/2006/relationships" r:embed="Relimage4"/>
                    <a:srcRect/>
                    <a:stretch>
                      <a:fillRect/>
                    </a:stretch>
                  </pic:blipFill>
                  <pic:spPr>
                    <a:xfrm>
                      <a:off x="0" y="0"/>
                      <a:ext cx="647700" cy="356235"/>
                    </a:xfrm>
                    <a:prstGeom prst="rect"/>
                  </pic:spPr>
                </pic:pic>
              </a:graphicData>
            </a:graphic>
          </wp:anchor>
        </w:drawing>
      </w:r>
    </w:p>
    <w:p>
      <w:pPr>
        <w:rPr>
          <w:b w:val="1"/>
          <w:bCs w:val="1"/>
        </w:rPr>
      </w:pPr>
      <w:r>
        <w:rPr>
          <w:b w:val="1"/>
          <w:bCs w:val="1"/>
        </w:rPr>
        <w:t>Marken får inte förses med byggnad</w:t>
      </w:r>
      <w:r>
        <w:rPr>
          <w:noProof w:val="1"/>
        </w:rPr>
        <w:t xml:space="preserve"> </w:t>
      </w:r>
    </w:p>
    <w:p>
      <w:bookmarkStart w:id="32" w:name="mo_motivtillreglering05"/>
      <w:r>
        <w:t xml:space="preserve">Inom planområdet regleras mark som prickmark, vilket betyder att byggnad inte får uppföras. Det betyder att det inte är lämpligt att bebygga marken, då den behöver vara byggnadsfri. </w:t>
      </w:r>
      <w:r>
        <w:t xml:space="preserve">Området består av prickad mark längs med Järnvägsgatan och Kungsvägen samt öster ut mot befintliga bostadsfastigheter samt parkmark. Mot Järnvägsgatan är ett 16 meter brett område prickat för att möjliggöra utrymme för angöring med hämta- och lämna-platser samt skolskjuts och varutransporter inom skolområdet. Längs med Kungsvägen är den prickade marken 21 meter bred och följer det område som används för parkering och skolskjuts idag. Längs med hela användningsytan är det en remsa på ca 4,5 meter där byggnader ej får uppföras för att bevara öppenhet mot närliggande fastigheter samt att byggnader inte uppförs för nära fastighetsgränsen. </w:t>
      </w:r>
    </w:p>
    <w:p>
      <w:bookmarkEnd w:id="32"/>
    </w:p>
    <w:p>
      <w:r>
        <w:rPr>
          <w:b w:val="1"/>
          <w:i w:val="1"/>
          <w:bCs w:val="1"/>
          <w:iCs w:val="1"/>
        </w:rPr>
        <w:t>Ö</w:t>
      </w:r>
      <w:r>
        <w:rPr>
          <w:b w:val="1"/>
          <w:i w:val="1"/>
          <w:bCs w:val="1"/>
          <w:iCs w:val="1"/>
          <w:vertAlign w:val="subscript"/>
        </w:rPr>
        <w:t>1</w:t>
      </w:r>
      <w:r>
        <w:rPr>
          <w:b w:val="1"/>
          <w:bCs w:val="1"/>
          <w:vertAlign w:val="subscript"/>
        </w:rPr>
        <w:t xml:space="preserve"> </w:t>
      </w:r>
      <w:r>
        <w:rPr>
          <w:b w:val="1"/>
          <w:bCs w:val="1"/>
        </w:rPr>
        <w:t>- Marken får endast förses med komplementbyggnad och andra anläggningar än byggnader</w:t>
      </w:r>
    </w:p>
    <w:p>
      <w:bookmarkStart w:id="33" w:name="mo_motivtillreglering06"/>
      <w:r>
        <w:t xml:space="preserve">Områden där marken endast får användas för komplementbyggnad och andra anläggningar än byggnader. Området finns mot Storgatan och parkområdet samt en yta i nordvästra området av planen. </w:t>
      </w:r>
      <w:r>
        <w:t xml:space="preserve">Området med </w:t>
      </w:r>
      <w:r>
        <w:rPr>
          <w:b w:val="1"/>
          <w:bCs w:val="1"/>
        </w:rPr>
        <w:t>ö</w:t>
      </w:r>
      <w:r>
        <w:rPr>
          <w:b w:val="1"/>
          <w:bCs w:val="1"/>
          <w:vertAlign w:val="subscript"/>
        </w:rPr>
        <w:t>1</w:t>
      </w:r>
      <w:r>
        <w:t xml:space="preserve"> längs med Storgatan framför skolan ska vara ett angöringsområde för cyklar vilket skulle kunna behöva tak över cykelställ. Även den större ytan av </w:t>
      </w:r>
      <w:r>
        <w:rPr>
          <w:b w:val="1"/>
          <w:bCs w:val="1"/>
        </w:rPr>
        <w:t>ö</w:t>
      </w:r>
      <w:r>
        <w:rPr>
          <w:b w:val="1"/>
          <w:bCs w:val="1"/>
          <w:vertAlign w:val="subscript"/>
        </w:rPr>
        <w:t>1</w:t>
      </w:r>
      <w:r>
        <w:t xml:space="preserve"> en bit in på området från Storgatan avser en öppen entréyta för skolan där behov av kompletterande byggnader skulle kunna uppstå så som förråd, uthus etc.</w:t>
      </w:r>
      <w:r>
        <w:rPr>
          <w:rtl w:val="0"/>
          <w:lang w:val="sv-SE" w:bidi="sv-SE" w:eastAsia="sv-SE"/>
        </w:rPr>
        <w:t xml:space="preserve"> </w:t>
      </w:r>
      <w:r>
        <w:t xml:space="preserve">I den nordöstra delen av planområdet som medger skola/bostäder finns ett område med </w:t>
      </w:r>
      <w:r>
        <w:rPr>
          <w:b w:val="1"/>
          <w:bCs w:val="1"/>
        </w:rPr>
        <w:t>ö</w:t>
      </w:r>
      <w:r>
        <w:rPr>
          <w:b w:val="1"/>
          <w:bCs w:val="1"/>
          <w:vertAlign w:val="subscript"/>
        </w:rPr>
        <w:t>1</w:t>
      </w:r>
      <w:r>
        <w:t xml:space="preserve"> för att kunna ha exempelvis garage.</w:t>
      </w:r>
      <w:r>
        <w:rPr>
          <w:rtl w:val="0"/>
          <w:lang w:val="sv-SE" w:bidi="sv-SE" w:eastAsia="sv-SE"/>
        </w:rPr>
        <w:t xml:space="preserve"> </w:t>
      </w:r>
      <w:r>
        <w:t>Bestämmelsen begränsar bara byggnader till komplementbyggnader, andra anläggningar som, murar, staket, parkeringar etc. får anläggas inom området.</w:t>
      </w:r>
    </w:p>
    <w:p>
      <w:pPr>
        <w:rPr>
          <w:b w:val="1"/>
          <w:bCs w:val="1"/>
        </w:rPr>
      </w:pPr>
      <w:bookmarkEnd w:id="33"/>
    </w:p>
    <w:p>
      <w:pPr>
        <w:rPr>
          <w:b w:val="1"/>
          <w:bCs w:val="1"/>
        </w:rPr>
      </w:pPr>
      <w:r>
        <w:rPr>
          <w:b w:val="1"/>
          <w:bCs w:val="1"/>
        </w:rPr>
        <w:t>Stängsel, utfart och annan utgång</w:t>
      </w:r>
    </w:p>
    <w:p>
      <w:r>
        <w:rPr>
          <w:noProof w:val="1"/>
        </w:rPr>
        <w:drawing>
          <wp:anchor xmlns:wp="http://schemas.openxmlformats.org/drawingml/2006/wordprocessingDrawing" distT="0" distB="0" distL="114300" distR="114300" simplePos="0" relativeHeight="12" behindDoc="0" locked="0" layoutInCell="1" allowOverlap="1">
            <wp:simplePos x="0" y="0"/>
            <wp:positionH relativeFrom="margin">
              <wp:align>left</wp:align>
            </wp:positionH>
            <wp:positionV relativeFrom="paragraph">
              <wp:posOffset>14605</wp:posOffset>
            </wp:positionV>
            <wp:extent cx="595630" cy="212090"/>
            <wp:effectExtent l="0" t="0" r="0" b="0"/>
            <wp:wrapSquare wrapText="bothSides"/>
            <wp:docPr id="25" name="Bildobjekt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76"/>
                    <pic:cNvPicPr/>
                  </pic:nvPicPr>
                  <pic:blipFill dpi="0">
                    <a:blip xmlns:r="http://schemas.openxmlformats.org/officeDocument/2006/relationships" r:embed="Relimage5"/>
                    <a:srcRect/>
                    <a:stretch>
                      <a:fillRect/>
                    </a:stretch>
                  </pic:blipFill>
                  <pic:spPr>
                    <a:xfrm flipV="1">
                      <a:off x="0" y="0"/>
                      <a:ext cx="595657" cy="212464"/>
                    </a:xfrm>
                    <a:prstGeom prst="rect"/>
                  </pic:spPr>
                </pic:pic>
              </a:graphicData>
            </a:graphic>
          </wp:anchor>
        </w:drawing>
      </w:r>
      <w:r>
        <w:t>Utfartsförbud</w:t>
      </w:r>
    </w:p>
    <w:p>
      <w:bookmarkStart w:id="34" w:name="mo_motivtillreglering07"/>
      <w:r>
        <w:t xml:space="preserve">Markerade sträckor innebär att nya utfarter inte får anläggas. </w:t>
      </w:r>
      <w:r>
        <w:t>I korsningen mellan Järnvägsgatan och Kungsvägen är det utfartsförbud ca 30 meter in på Kungsvägen och ca 15 meter in på Järnvägsgatan. Utfartsförbudet motiveras med att korsningar ska generellt inte innehålla några utfarter och mot Kungsvägen följer utfartsförbudet fram till befintlig utfart till parkeringen. Utfartsförbud mot Storgatan och Järnvägsgatan är ca 10 meter för att upprätthålla en säker korsning.</w:t>
      </w:r>
    </w:p>
    <w:p>
      <w:bookmarkEnd w:id="34"/>
      <w:r>
        <w:rPr>
          <w:b w:val="1"/>
          <w:i w:val="1"/>
          <w:bCs w:val="1"/>
          <w:iCs w:val="1"/>
        </w:rPr>
        <w:t>j</w:t>
      </w:r>
      <w:r>
        <w:rPr>
          <w:b w:val="1"/>
          <w:bCs w:val="1"/>
        </w:rPr>
        <w:t xml:space="preserve"> –</w:t>
      </w:r>
      <w:r>
        <w:t xml:space="preserve"> Endast en utfart får finnas mot Storgatan.</w:t>
      </w:r>
    </w:p>
    <w:p>
      <w:pPr>
        <w:rPr>
          <w:i w:val="1"/>
          <w:iCs w:val="1"/>
        </w:rPr>
      </w:pPr>
      <w:r>
        <w:rPr>
          <w:i w:val="1"/>
          <w:iCs w:val="1"/>
        </w:rPr>
        <w:t>Motiv</w:t>
      </w:r>
    </w:p>
    <w:p>
      <w:bookmarkStart w:id="35" w:name="mo_motivtillreglering10"/>
      <w:r>
        <w:t>Mot Storgatan ska skolan angöras med gång och cykel. Området behöver kunna nås för att uppnå tillgänglighetskrav m.m. En utfart tillåts men bestäms inte exakt i planen då skolans utformning inte är färdigställd. Antalet utfarter begränsas till en för att minska antalet korsningar över framtida gång- och cykelbana.</w:t>
      </w:r>
    </w:p>
    <w:p>
      <w:pPr>
        <w:rPr>
          <w:b w:val="1"/>
          <w:bCs w:val="1"/>
        </w:rPr>
      </w:pPr>
      <w:bookmarkEnd w:id="35"/>
      <w:r>
        <w:rPr>
          <w:b w:val="1"/>
          <w:bCs w:val="1"/>
        </w:rPr>
        <w:t>Höjd på byggnadsverk</w:t>
      </w:r>
    </w:p>
    <w:p>
      <w:pPr>
        <w:rPr>
          <w:b w:val="1"/>
        </w:rPr>
      </w:pPr>
      <w:r>
        <w:rPr>
          <w:b w:val="1"/>
        </w:rPr>
        <w:t>h</w:t>
      </w:r>
      <w:r>
        <w:rPr>
          <w:b w:val="1"/>
          <w:vertAlign w:val="subscript"/>
        </w:rPr>
        <w:t>1</w:t>
      </w:r>
      <w:r>
        <w:rPr>
          <w:b w:val="1"/>
        </w:rPr>
        <w:t xml:space="preserve"> – 16,0, 12,0, 6,0 och 4,0.</w:t>
      </w:r>
    </w:p>
    <w:p>
      <w:bookmarkStart w:id="36" w:name="mo_motivtillreglering08"/>
      <w:r>
        <w:t xml:space="preserve">Genom en planbestämmelse om </w:t>
      </w:r>
      <w:r>
        <w:rPr>
          <w:i w:val="1"/>
        </w:rPr>
        <w:t>högsta nockhöjd</w:t>
      </w:r>
      <w:r>
        <w:t xml:space="preserve"> kan kommunen reglera höjden på den högsta delen av en byggnads yttertak. Nockhöjd är definierat som avståndet från den medelnivå som marken har invid byggnaden, eller i planbestämmelsen angivet plan, till yttertakets högsta del. Delar som sticker upp över taket som skorstenar och ventilationstrummor räknas inte in.</w:t>
      </w:r>
      <w:r>
        <w:rPr>
          <w:rtl w:val="0"/>
          <w:lang w:val="sv-SE" w:bidi="sv-SE" w:eastAsia="sv-SE"/>
        </w:rPr>
        <w:t xml:space="preserve"> </w:t>
      </w:r>
      <w:r>
        <w:t>Skolan planeras att byggas i två till tre våningar. En nockhöjd på 16 meter säkerställer att skolan kan byggas utifrån sluttande markförutsättningar med möjlighet till olika typer av takformationer och våningsplan innehållande fläktar och ventilation. Området i nordväst som tillåter användning skola eller bostäder har en nockhöjd på 12 meter. Om en bostad byggs så tillåts tre våningar i linje med närliggande flerfamiljshus. Inom mark med endast komplementbyggnader begränsas höjden till 6 meter för eventuella komplementbyggnader. I E-området tillåts inte transformatorstationen att vara högre än 4 meter.</w:t>
      </w:r>
    </w:p>
    <w:p>
      <w:pPr>
        <w:rPr>
          <w:b w:val="1"/>
          <w:bCs w:val="1"/>
        </w:rPr>
      </w:pPr>
      <w:bookmarkEnd w:id="36"/>
      <w:r>
        <w:rPr>
          <w:b w:val="1"/>
          <w:bCs w:val="1"/>
        </w:rPr>
        <w:t>Utnyttjandegrad</w:t>
      </w:r>
    </w:p>
    <w:p>
      <w:pPr>
        <w:rPr>
          <w:i w:val="1"/>
          <w:iCs w:val="1"/>
        </w:rPr>
      </w:pPr>
      <w:r>
        <w:rPr>
          <w:b w:val="1"/>
          <w:bCs w:val="1"/>
        </w:rPr>
        <w:t>e</w:t>
      </w:r>
      <w:r>
        <w:rPr>
          <w:b w:val="1"/>
          <w:bCs w:val="1"/>
          <w:vertAlign w:val="subscript"/>
        </w:rPr>
        <w:t>1</w:t>
      </w:r>
      <w:r>
        <w:rPr>
          <w:b w:val="1"/>
          <w:bCs w:val="1"/>
        </w:rPr>
        <w:t xml:space="preserve"> 30 – </w:t>
      </w:r>
      <w:r>
        <w:rPr>
          <w:i w:val="1"/>
          <w:iCs w:val="1"/>
        </w:rPr>
        <w:t>största byggnadsarea är angivet i % av fastighetsarean inom egenskapsområdet.</w:t>
      </w:r>
      <w:r>
        <w:rPr>
          <w:i w:val="1"/>
          <w:iCs w:val="1"/>
          <w:rtl w:val="0"/>
          <w:lang w:val="sv-SE" w:bidi="sv-SE" w:eastAsia="sv-SE"/>
        </w:rPr>
        <w:t xml:space="preserve"> </w:t>
      </w:r>
    </w:p>
    <w:p>
      <w:bookmarkStart w:id="37" w:name="mo_motivtillreglering09"/>
      <w:r>
        <w:t>Gäller för området med användning skola (</w:t>
      </w:r>
      <w:r>
        <w:rPr>
          <w:b w:val="1"/>
          <w:bCs w:val="1"/>
        </w:rPr>
        <w:t>S</w:t>
      </w:r>
      <w:r>
        <w:t xml:space="preserve">) där 30 % av egenskapsytan får bebyggas inom det område som inte består av prick- eller korsprickad mark. </w:t>
      </w:r>
      <w:r>
        <w:t>Att bebygga 30 % av detta område ger en byggrätt på ca 4400 kvm vilket ger skolan möjlighet att bebyggas efter behov och eventuella framtida utbyggnader. Utnyttjandegraden begränsas för att ge utrymme för skolgård och friytor. Skolområdets ytor för angöring och parkering påverkas inte då de är skyddade av prickmark. Den prickade och korsprickade marken kan användas för friyta vid behov.</w:t>
      </w:r>
    </w:p>
    <w:p>
      <w:pPr>
        <w:rPr>
          <w:i w:val="1"/>
          <w:iCs w:val="1"/>
        </w:rPr>
      </w:pPr>
      <w:bookmarkEnd w:id="37"/>
    </w:p>
    <w:p>
      <w:pPr>
        <w:rPr>
          <w:i w:val="1"/>
          <w:iCs w:val="1"/>
        </w:rPr>
      </w:pPr>
      <w:r>
        <w:rPr>
          <w:b w:val="1"/>
          <w:bCs w:val="1"/>
        </w:rPr>
        <w:t>e</w:t>
      </w:r>
      <w:r>
        <w:rPr>
          <w:b w:val="1"/>
          <w:bCs w:val="1"/>
          <w:vertAlign w:val="subscript"/>
        </w:rPr>
        <w:t>2</w:t>
      </w:r>
      <w:r>
        <w:rPr>
          <w:b w:val="1"/>
          <w:bCs w:val="1"/>
        </w:rPr>
        <w:t xml:space="preserve"> 30 – </w:t>
      </w:r>
      <w:r>
        <w:rPr>
          <w:i w:val="1"/>
          <w:iCs w:val="1"/>
        </w:rPr>
        <w:t>största byggnadsarea är angivet i % av fastighetsarean inom användningsområdet.</w:t>
      </w:r>
    </w:p>
    <w:p>
      <w:bookmarkStart w:id="38" w:name="mo_motivtillreglering11"/>
      <w:r>
        <w:t xml:space="preserve">Högsta tillåten byggnadsarea är 30 % av fastighetens area. Det gäller möjlig avgränsat område med skola eller bostäder. </w:t>
      </w:r>
      <w:r>
        <w:t>Det avgränsade området är ett lämpligt område för skola alternativt bostäder. Vid bebyggelse är byggrätten begränsad till området som idag redan är bebyggt med liknade byggnadsarea. Ytan är begränsad av prickmark och korsprickad mark (ö</w:t>
      </w:r>
      <w:r>
        <w:rPr>
          <w:vertAlign w:val="subscript"/>
        </w:rPr>
        <w:t>1</w:t>
      </w:r>
      <w:r>
        <w:t>) som kan fungera som angöring parkering och garage till kommande skol- eller bostadsbyggnader.</w:t>
      </w:r>
    </w:p>
    <w:p>
      <w:pPr>
        <w:rPr>
          <w:i w:val="1"/>
          <w:iCs w:val="1"/>
        </w:rPr>
      </w:pPr>
      <w:bookmarkEnd w:id="38"/>
    </w:p>
    <w:p>
      <w:pPr>
        <w:rPr>
          <w:i w:val="1"/>
          <w:iCs w:val="1"/>
        </w:rPr>
      </w:pPr>
      <w:r>
        <w:rPr>
          <w:b w:val="1"/>
          <w:bCs w:val="1"/>
        </w:rPr>
        <w:t>e</w:t>
      </w:r>
      <w:r>
        <w:rPr>
          <w:b w:val="1"/>
          <w:bCs w:val="1"/>
          <w:vertAlign w:val="subscript"/>
        </w:rPr>
        <w:t>3</w:t>
      </w:r>
      <w:r>
        <w:rPr>
          <w:b w:val="1"/>
          <w:bCs w:val="1"/>
        </w:rPr>
        <w:t xml:space="preserve"> – </w:t>
      </w:r>
      <w:r>
        <w:rPr>
          <w:i w:val="1"/>
          <w:iCs w:val="1"/>
        </w:rPr>
        <w:t>Största byggnadsarea är 200 kvm inom egenskapsgräns, max 50 kvm per byggnad.</w:t>
      </w:r>
    </w:p>
    <w:p>
      <w:bookmarkStart w:id="39" w:name="mo_motivtillreglering12"/>
      <w:r>
        <w:t>Gäller för område med användning skola inom egenskapsgräns för komplementbyggnad (ö</w:t>
      </w:r>
      <w:r>
        <w:rPr>
          <w:vertAlign w:val="subscript"/>
        </w:rPr>
        <w:t>1</w:t>
      </w:r>
      <w:r>
        <w:t xml:space="preserve">). </w:t>
      </w:r>
      <w:r>
        <w:t xml:space="preserve">Möjliggör att bygga komplementbyggnader till skolan inom angivet område på maximalt 200 kvm. För att undvika större komplementbyggnader begränsas ytan till maximalt 50 kvm. </w:t>
      </w:r>
    </w:p>
    <w:p>
      <w:pPr>
        <w:rPr>
          <w:i w:val="1"/>
          <w:iCs w:val="1"/>
        </w:rPr>
      </w:pPr>
      <w:bookmarkEnd w:id="39"/>
      <w:r>
        <w:rPr>
          <w:b w:val="1"/>
          <w:bCs w:val="1"/>
        </w:rPr>
        <w:t>E</w:t>
      </w:r>
      <w:r>
        <w:rPr>
          <w:b w:val="1"/>
          <w:bCs w:val="1"/>
          <w:vertAlign w:val="subscript"/>
        </w:rPr>
        <w:t>4</w:t>
      </w:r>
      <w:r>
        <w:rPr>
          <w:b w:val="1"/>
          <w:bCs w:val="1"/>
        </w:rPr>
        <w:t xml:space="preserve"> – </w:t>
      </w:r>
      <w:r>
        <w:rPr>
          <w:i w:val="1"/>
          <w:iCs w:val="1"/>
        </w:rPr>
        <w:t>Största byggnadsarea är 200 kvm inom egenskapsgräns.</w:t>
      </w:r>
    </w:p>
    <w:p>
      <w:bookmarkStart w:id="40" w:name="mo_motivtillreglering13"/>
      <w:r>
        <w:t>Gäller för område där det möjliggör skola och bostäder där komplementbyggnad får uppföras med maximalt 200 kvm byggnadsyta.</w:t>
      </w:r>
      <w:r>
        <w:rPr>
          <w:rtl w:val="0"/>
          <w:lang w:val="sv-SE" w:bidi="sv-SE" w:eastAsia="sv-SE"/>
        </w:rPr>
        <w:t xml:space="preserve"> </w:t>
      </w:r>
      <w:r>
        <w:t>Möjliggör att området får bebyggas med komplementbyggnader så som garage etc. på maximalt 200 kvm vilket skulle kunna vara lämpligt vid en ny bostad eller skola.</w:t>
      </w:r>
      <w:bookmarkEnd w:id="40"/>
      <w:r>
        <w:t xml:space="preserve"> </w:t>
      </w:r>
    </w:p>
    <w:p>
      <w:pPr>
        <w:rPr>
          <w:b w:val="1"/>
          <w:bCs w:val="1"/>
        </w:rPr>
      </w:pPr>
      <w:r>
        <w:rPr>
          <w:b w:val="1"/>
          <w:bCs w:val="1"/>
        </w:rPr>
        <w:t>Placering</w:t>
      </w:r>
    </w:p>
    <w:p>
      <w:r>
        <w:rPr>
          <w:b w:val="1"/>
          <w:bCs w:val="1"/>
        </w:rPr>
        <w:t>p</w:t>
      </w:r>
      <w:r>
        <w:rPr>
          <w:b w:val="1"/>
          <w:bCs w:val="1"/>
          <w:vertAlign w:val="subscript"/>
        </w:rPr>
        <w:t>1</w:t>
      </w:r>
      <w:r>
        <w:rPr>
          <w:b w:val="1"/>
          <w:bCs w:val="1"/>
        </w:rPr>
        <w:t xml:space="preserve"> – </w:t>
      </w:r>
      <w:r>
        <w:t>Huvudbyggnad placeras så att den vetter mot Storgatan inom byggbar mark.</w:t>
      </w:r>
    </w:p>
    <w:p>
      <w:bookmarkStart w:id="41" w:name="mo_motivtillreglering14"/>
      <w:r>
        <w:t>För att säkerställa planens syfte med att skolan ska vara placerad mot Storgat</w:t>
      </w:r>
      <w:r>
        <w:rPr>
          <w:rtl w:val="0"/>
          <w:lang w:val="sv-SE" w:bidi="sv-SE" w:eastAsia="sv-SE"/>
        </w:rPr>
        <w:t>an</w:t>
      </w:r>
      <w:r>
        <w:rPr>
          <w:rtl w:val="0"/>
          <w:lang w:val="sv-SE" w:bidi="sv-SE" w:eastAsia="sv-SE"/>
        </w:rPr>
        <w:t xml:space="preserve">. </w:t>
      </w:r>
      <w:r>
        <w:t>Planbestämmelsen används för att inte kunna frångå gestaltningsidéer</w:t>
      </w:r>
      <w:r>
        <w:rPr>
          <w:color w:val="FF0000"/>
        </w:rPr>
        <w:t xml:space="preserve"> </w:t>
      </w:r>
      <w:r>
        <w:t>om skolans placering. Placeringen är även viktig för att på ett trafiksäkert sätt hantera angöring och en skyddad skolgård. Motivet med planbestämmelsen är inte att exakt peka ut placering av skolans huvudbyggnad utan att skolan ska ligga i huvudsak så att den vetter mot Storgatan.</w:t>
      </w:r>
    </w:p>
    <w:p>
      <w:bookmarkEnd w:id="41"/>
      <w:r>
        <w:rPr>
          <w:b w:val="1"/>
          <w:bCs w:val="1"/>
        </w:rPr>
        <w:t>p</w:t>
      </w:r>
      <w:r>
        <w:rPr>
          <w:b w:val="1"/>
          <w:bCs w:val="1"/>
          <w:vertAlign w:val="subscript"/>
        </w:rPr>
        <w:t>2</w:t>
      </w:r>
      <w:r>
        <w:rPr>
          <w:b w:val="1"/>
          <w:bCs w:val="1"/>
        </w:rPr>
        <w:t xml:space="preserve"> –</w:t>
      </w:r>
      <w:r>
        <w:t xml:space="preserve"> Huvudbyggnad ska ha entréer som vetter mot Storgatan inom byggbar mark.</w:t>
      </w:r>
    </w:p>
    <w:p>
      <w:bookmarkStart w:id="42" w:name="mo_motivtillreglering15"/>
      <w:r>
        <w:t>För att säkerhetsställa entré mot Storgatan.</w:t>
      </w:r>
      <w:r>
        <w:rPr>
          <w:rtl w:val="0"/>
          <w:lang w:val="sv-SE" w:bidi="sv-SE" w:eastAsia="sv-SE"/>
        </w:rPr>
        <w:t xml:space="preserve"> </w:t>
      </w:r>
      <w:r>
        <w:t xml:space="preserve">För att byggnaden inte ska upplevas lång och stängd ställs krav på att entréer till skolan ska finnas i området som vetter mot Storgatan. Skolan ska ge ett välkomnande intryck från Storgatan och gående och cyklister ska ha närhet till entréerna. </w:t>
      </w:r>
    </w:p>
    <w:p>
      <w:bookmarkEnd w:id="42"/>
    </w:p>
    <w:p/>
    <w:p>
      <w:pPr>
        <w:rPr>
          <w:b w:val="1"/>
          <w:bCs w:val="1"/>
        </w:rPr>
      </w:pPr>
    </w:p>
    <w:p>
      <w:pPr>
        <w:pStyle w:val="P2"/>
      </w:pPr>
      <w:bookmarkStart w:id="43" w:name="_Toc191546064"/>
      <w:r>
        <w:t>Genomförandetid</w:t>
      </w:r>
      <w:bookmarkEnd w:id="43"/>
    </w:p>
    <w:p>
      <w:pPr>
        <w:tabs>
          <w:tab w:val="left" w:pos="284" w:leader="none"/>
        </w:tabs>
      </w:pPr>
      <w:bookmarkStart w:id="44" w:name="be_genomförandetid01"/>
      <w:r>
        <w:t>Före genomförandetidens utgång, det vill säga både innan genomförandetiden börjar gälla och under genomförandetiden, får planen inte ändras, ersättas eller upphävas mot berörda fastighetsägares vilja.</w:t>
      </w:r>
    </w:p>
    <w:p>
      <w:pPr>
        <w:tabs>
          <w:tab w:val="left" w:pos="284" w:leader="none"/>
        </w:tabs>
      </w:pPr>
      <w:r>
        <w:t>Genomförandetiden i planförslaget är 5 år från den dag då planen får laga kraft. Genomförandetiden ger en skälig tid för en utbyggnad av området.</w:t>
      </w:r>
    </w:p>
    <w:p>
      <w:pPr>
        <w:pStyle w:val="P1"/>
      </w:pPr>
      <w:bookmarkEnd w:id="44"/>
      <w:bookmarkStart w:id="45" w:name="_Toc191546065"/>
      <w:r>
        <w:t>Planeringsförutsättningar och konsekvenser</w:t>
      </w:r>
      <w:bookmarkEnd w:id="45"/>
    </w:p>
    <w:p>
      <w:pPr>
        <w:pStyle w:val="P2"/>
      </w:pPr>
      <w:bookmarkStart w:id="46" w:name="_Toc191546066"/>
      <w:r>
        <w:t>Kommunala ställningstagande</w:t>
      </w:r>
      <w:bookmarkEnd w:id="46"/>
    </w:p>
    <w:p>
      <w:pPr>
        <w:pStyle w:val="P3"/>
      </w:pPr>
      <w:bookmarkStart w:id="47" w:name="_Toc191546067"/>
      <w:r>
        <w:t>Översiktsplan</w:t>
      </w:r>
      <w:bookmarkEnd w:id="47"/>
    </w:p>
    <w:p>
      <w:bookmarkStart w:id="48" w:name="pf_översiktsplan01"/>
      <w:r>
        <w:t xml:space="preserve">Gällande översiktsplan antogs av kommunfullmäktige den 14:e september 2020, Översiktsplan – 6000 invånare. I översiktsplanen är planområdet markerat som användning för offentlig service och är specifikt utpekat som ett utvecklingsområde för allmänt ändamål – skola. Utmed Storgatan, Järnvägsgatan och Kungsvägen är det utpekat i översiktsplanen för nya cykellänkar för att koppla ihop cykelnätet till och från centrum och skolområdet. Grönstruktur är utpekat utmed Storgatan och kan vara trädplanteringar i samband med gång- och cykelvägen samt för att knyta ihop centrum, centrumparken och skolområdet. </w:t>
      </w:r>
    </w:p>
    <w:p>
      <w:r>
        <w:rPr>
          <w:noProof w:val="1"/>
        </w:rPr>
        <w:drawing>
          <wp:inline xmlns:wp="http://schemas.openxmlformats.org/drawingml/2006/wordprocessingDrawing" distT="0" distB="0" distL="0" distR="0">
            <wp:extent cx="4679950" cy="3945255"/>
            <wp:effectExtent l="0" t="0" r="6350" b="0"/>
            <wp:docPr id="3" name="Bildobjek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77"/>
                    <pic:cNvPicPr/>
                  </pic:nvPicPr>
                  <pic:blipFill dpi="0">
                    <a:blip xmlns:r="http://schemas.openxmlformats.org/officeDocument/2006/relationships" r:embed="Relimage6"/>
                    <a:srcRect/>
                    <a:stretch>
                      <a:fillRect/>
                    </a:stretch>
                  </pic:blipFill>
                  <pic:spPr>
                    <a:xfrm>
                      <a:off x="0" y="0"/>
                      <a:ext cx="4679950" cy="3945255"/>
                    </a:xfrm>
                    <a:prstGeom prst="rect"/>
                  </pic:spPr>
                </pic:pic>
              </a:graphicData>
            </a:graphic>
          </wp:inline>
        </w:drawing>
      </w:r>
      <w:r>
        <w:br w:type="textWrapping"/>
      </w:r>
      <w:r>
        <w:rPr>
          <w:i w:val="1"/>
          <w:iCs w:val="1"/>
          <w:sz w:val="18"/>
          <w:szCs w:val="18"/>
        </w:rPr>
        <w:t>Bild visar kommunens översiktsplan där orange markerat område är utvecklingsområde – Skola.</w:t>
      </w:r>
    </w:p>
    <w:p>
      <w:pPr>
        <w:pStyle w:val="P3"/>
      </w:pPr>
      <w:bookmarkEnd w:id="48"/>
      <w:bookmarkStart w:id="49" w:name="_Toc191546068"/>
      <w:r>
        <w:t>Detaljplan</w:t>
      </w:r>
      <w:bookmarkEnd w:id="49"/>
      <w:r>
        <w:t xml:space="preserve"> </w:t>
      </w:r>
    </w:p>
    <w:p>
      <w:bookmarkStart w:id="50" w:name="pf_detaljplan01"/>
      <w:r>
        <w:t>Gällande detaljplaner för området är:</w:t>
      </w:r>
    </w:p>
    <w:p>
      <w:r>
        <w:t xml:space="preserve">Stadsplan för del av Ödeshög (kv. Domaren, Hjälmen m.fl.), antagen 1948-10-15 </w:t>
      </w:r>
    </w:p>
    <w:p>
      <w:r>
        <w:t xml:space="preserve">Detaljplan Apotekaren m.fl. 1991-07-26 </w:t>
      </w:r>
    </w:p>
    <w:p>
      <w:r>
        <w:t xml:space="preserve">Stadsplan Ödeshög (Område invid Södra vägen m.m.), antagen 1953-08-07 </w:t>
      </w:r>
    </w:p>
    <w:p>
      <w:r>
        <w:t>Stadsplan Domaren, Hjälmen m.m. 1948-10-15 –</w:t>
      </w:r>
    </w:p>
    <w:p>
      <w:r>
        <w:t xml:space="preserve">Stadsplan Kv. Gipen m.fl., antagen 1976-02-02 </w:t>
      </w:r>
    </w:p>
    <w:p>
      <w:r>
        <w:t xml:space="preserve">Stadsplan Kv. Riddaren m.fl., antagen 1983-09-29 </w:t>
      </w:r>
    </w:p>
    <w:p>
      <w:r>
        <w:t xml:space="preserve">Stadsplan Ödeshög (Kungsvägen), antagen 1949-09-02 </w:t>
      </w:r>
    </w:p>
    <w:p>
      <w:r>
        <w:t xml:space="preserve">Stadsplan Stationsområdet m.m., antagen 1953-05-30 </w:t>
      </w:r>
    </w:p>
    <w:p>
      <w:pPr>
        <w:pStyle w:val="P3"/>
      </w:pPr>
      <w:bookmarkEnd w:id="50"/>
      <w:bookmarkStart w:id="51" w:name="_Toc191546069"/>
      <w:r>
        <w:t>Planbesked</w:t>
      </w:r>
      <w:bookmarkEnd w:id="51"/>
      <w:r>
        <w:t xml:space="preserve"> </w:t>
      </w:r>
    </w:p>
    <w:p>
      <w:bookmarkStart w:id="52" w:name="pf_planbesked01"/>
      <w:r>
        <w:t>Den 14 mars 2023 får samhällsbyggnadsnämnden uppdrag av kommunstyrelsen att ta fram en detaljplan för Fridtjuv Bergskolans område med syfte att möjliggöra en F-6 skola (KS 2023/97).</w:t>
      </w:r>
    </w:p>
    <w:p>
      <w:pPr>
        <w:pStyle w:val="P3"/>
      </w:pPr>
      <w:bookmarkEnd w:id="52"/>
      <w:bookmarkStart w:id="53" w:name="_Toc191546070"/>
      <w:r>
        <w:t>Gestaltningsprogrammet</w:t>
      </w:r>
      <w:bookmarkEnd w:id="53"/>
    </w:p>
    <w:p>
      <w:bookmarkStart w:id="54" w:name="be_heladetaljplan03"/>
      <w:r>
        <w:t xml:space="preserve">Kommunen har ett av kommunfullmäktige antaget gestaltningsprogram som är vägledande i gestaltning av det offentliga rummet. </w:t>
      </w:r>
    </w:p>
    <w:p>
      <w:r>
        <w:t>Arkitektur, form och design ska bidra till ett hållbart, jämlikt och mindre segregerat samhälle. Ödeshögs kommun tog under 2022 fram ett gestaltningsprogram som ett stöd för planering och utformning av den offentliga miljön inom kommunen. Kommunen eftersträvar att det offentliga ska agera förebildligt gällande arkitektur och utformning. Nya byggnader ska vara ett modernt tillskott till Ödeshögs centrum.</w:t>
      </w:r>
    </w:p>
    <w:p>
      <w:r>
        <w:t xml:space="preserve">Gestaltningsprogrammet innehåller gestaltningsprinciper som ska vara vägledande vid utformning av skolbyggnaden och dess utemiljö. </w:t>
      </w:r>
    </w:p>
    <w:p>
      <w:r>
        <w:t xml:space="preserve">Arkitekturen ska vara i mänsklig skala och med människan i fokus. Den gestaltade livsmiljön ska ge ett inbjudande intryck och medföra att invånarna upplever sin omgivning som vacker, intressant, säker och trygg.  Variation av funktioner, former och andra estetiska uttryck ska bidra till att den gestaltade miljön får ett positivt helhetsintryck. God orienterbarhet ska göra det lätt att hitta i det offentliga rummet. Helhetssyn ska tas i beaktande vid utformningen. Byggnader ska ha en sammanhållen struktur och ett gemensamt uttryck och samspela med omgivningen och centrumparken. </w:t>
      </w:r>
    </w:p>
    <w:p>
      <w:r>
        <w:t xml:space="preserve">Tillskott i staden ska utgå från platsens förutsättningar genom att utreda kulturmiljö, kulturhistoriska värden och andra värden i landskapet som är viktiga att bevara och värna om. I arbetet med utformning och gestaltning bör sol, skugga och vind beaktas för att uppnå ett bra mikroklimat. Trädplantering och vegetation ger ökad trivsel och skönhet i centrum. Dessutom ger de insynsskydd och skuggning av lokaler. </w:t>
      </w:r>
    </w:p>
    <w:p>
      <w:r>
        <w:t xml:space="preserve">Planeringen ska genomsyras av ett medvetet tänkande där hållbara materialval och långsiktighet främjar en god hushållning av resurser. </w:t>
      </w:r>
    </w:p>
    <w:p>
      <w:r>
        <w:t xml:space="preserve">Skolans placering i stadsrummet ska bidra med fler funktioner visuellt sett från Storgatan dit entrén bör placeras. Placeringen av nya byggnader ska förstärka siktlinjer och gaturummet. Angöring och parkering för besökare ska kunna lösas på tillfredställande sätt för alla typer av trafikslag. </w:t>
      </w:r>
    </w:p>
    <w:p>
      <w:pPr>
        <w:pStyle w:val="P2"/>
      </w:pPr>
      <w:bookmarkEnd w:id="54"/>
      <w:bookmarkStart w:id="55" w:name="_Toc191546071"/>
      <w:r>
        <w:t>Riksintressen</w:t>
      </w:r>
      <w:bookmarkEnd w:id="55"/>
    </w:p>
    <w:p>
      <w:pPr>
        <w:pStyle w:val="P3"/>
      </w:pPr>
      <w:bookmarkStart w:id="56" w:name="_Toc191546072"/>
      <w:r>
        <w:t>Luftfart</w:t>
      </w:r>
      <w:bookmarkEnd w:id="56"/>
    </w:p>
    <w:p>
      <w:bookmarkStart w:id="57" w:name="pf_luftfart01"/>
      <w:r>
        <w:t>Planområdet ligger delvis inom riksintresse för luftfart. För att påverka detta riksintresse krävs att man planerar för byggnader på höjd över 20 meter. Inga sådana höjder på byggnader eller andra anordningar kommer möjliggöras inom planområdet.</w:t>
      </w:r>
    </w:p>
    <w:p>
      <w:pPr>
        <w:pStyle w:val="P2"/>
      </w:pPr>
      <w:bookmarkEnd w:id="57"/>
      <w:bookmarkStart w:id="58" w:name="_Toc191546073"/>
      <w:r>
        <w:t>Geotekniska förhållanden</w:t>
      </w:r>
      <w:bookmarkEnd w:id="58"/>
    </w:p>
    <w:p>
      <w:pPr>
        <w:rPr>
          <w:i w:val="1"/>
          <w:iCs w:val="1"/>
          <w:sz w:val="18"/>
          <w:szCs w:val="18"/>
        </w:rPr>
      </w:pPr>
      <w:bookmarkStart w:id="59" w:name="pf_geotekniskaförhållanden01"/>
      <w:r>
        <w:t>Enligt SGU:s jordartskarta utgörs ytliga jordlager inom undersökningsområdet av berg i dagen och finkorniga jordlager som moränlera och glacialt silt, se nedan bild.</w:t>
      </w:r>
      <w:r>
        <w:rPr>
          <w:noProof w:val="1"/>
          <w:lang w:eastAsia="sv-SE"/>
        </w:rPr>
        <w:t xml:space="preserve"> Jorddjupet inom enligt SGU:s jorddjupskarta är 3 till 16 meter.</w:t>
      </w:r>
      <w:r>
        <w:rPr>
          <w:noProof w:val="1"/>
        </w:rPr>
        <w:drawing>
          <wp:inline xmlns:wp="http://schemas.openxmlformats.org/drawingml/2006/wordprocessingDrawing" distT="0" distB="0" distL="0" distR="0">
            <wp:extent cx="4679950" cy="3356610"/>
            <wp:effectExtent l="0" t="0" r="6350" b="0"/>
            <wp:docPr id="4" name="Bildobjekt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78"/>
                    <pic:cNvPicPr/>
                  </pic:nvPicPr>
                  <pic:blipFill dpi="0">
                    <a:blip xmlns:r="http://schemas.openxmlformats.org/officeDocument/2006/relationships" r:embed="Relimage7"/>
                    <a:srcRect/>
                    <a:stretch>
                      <a:fillRect/>
                    </a:stretch>
                  </pic:blipFill>
                  <pic:spPr>
                    <a:xfrm>
                      <a:off x="0" y="0"/>
                      <a:ext cx="4679950" cy="3356610"/>
                    </a:xfrm>
                    <a:prstGeom prst="rect"/>
                  </pic:spPr>
                </pic:pic>
              </a:graphicData>
            </a:graphic>
          </wp:inline>
        </w:drawing>
      </w:r>
      <w:r>
        <w:br w:type="textWrapping"/>
      </w:r>
      <w:r>
        <w:rPr>
          <w:i w:val="1"/>
          <w:iCs w:val="1"/>
          <w:sz w:val="18"/>
          <w:szCs w:val="18"/>
        </w:rPr>
        <w:t>Bild visar karta över planområdet med de olika jordarterna. Grönskafferat visar moränlera, rött visar berg i dagen, gult med streck glacial silt, grön isälvssediment, ljusblå med prickar sandig morän, orange med prickar postglacial sand och ljusrosa med L moränlera eller lerig morän (SGU, 2024a).</w:t>
      </w:r>
    </w:p>
    <w:p>
      <w:pPr>
        <w:rPr>
          <w:i w:val="1"/>
          <w:iCs w:val="1"/>
          <w:sz w:val="18"/>
          <w:szCs w:val="18"/>
        </w:rPr>
      </w:pPr>
      <w:bookmarkEnd w:id="59"/>
    </w:p>
    <w:p>
      <w:pPr>
        <w:rPr>
          <w:i w:val="1"/>
          <w:iCs w:val="1"/>
          <w:sz w:val="18"/>
          <w:szCs w:val="18"/>
        </w:rPr>
      </w:pPr>
    </w:p>
    <w:p/>
    <w:p>
      <w:pPr>
        <w:pStyle w:val="P2"/>
      </w:pPr>
      <w:bookmarkStart w:id="60" w:name="_Toc191546074"/>
      <w:r>
        <w:t>Hälsa säkerhet</w:t>
      </w:r>
      <w:bookmarkEnd w:id="60"/>
      <w:r>
        <w:t xml:space="preserve"> </w:t>
      </w:r>
    </w:p>
    <w:p>
      <w:pPr>
        <w:pStyle w:val="P3"/>
      </w:pPr>
      <w:bookmarkStart w:id="61" w:name="_Toc191546075"/>
      <w:r>
        <w:t>Radon</w:t>
      </w:r>
      <w:bookmarkEnd w:id="61"/>
      <w:r>
        <w:t xml:space="preserve"> </w:t>
      </w:r>
    </w:p>
    <w:p>
      <w:bookmarkStart w:id="62" w:name="be_heladetaljplan04"/>
      <w:r>
        <w:t>Ödeshög klassas generellt som ett högriskområde avseende radonförekomst. Radonsäkert byggande tillämpas vid all byggnation i Ödeshögs kommun.</w:t>
      </w:r>
    </w:p>
    <w:p>
      <w:pPr>
        <w:pStyle w:val="P3"/>
      </w:pPr>
      <w:bookmarkEnd w:id="62"/>
      <w:bookmarkStart w:id="63" w:name="_Toc191546076"/>
      <w:r>
        <w:t>Förorenad mark</w:t>
      </w:r>
      <w:bookmarkEnd w:id="63"/>
    </w:p>
    <w:p>
      <w:pPr>
        <w:spacing w:lineRule="auto" w:line="240" w:after="0" w:beforeAutospacing="0" w:afterAutospacing="0"/>
        <w:rPr>
          <w:i w:val="1"/>
          <w:iCs w:val="1"/>
        </w:rPr>
      </w:pPr>
      <w:bookmarkStart w:id="64" w:name="pf_hälsaochsäkerhet01"/>
      <w:r>
        <w:t xml:space="preserve">Marken har inte tidigare undersökts för markföroreningar men kringområdet till planområdet består av flera verksamheter som historiskt hanterat miljöfarliga ämnen. Det ligger två objekt söder om skolan som tidigare varit kemtvättar samt norr om området utgörs en fastighet av före detta, tungmetallgjuteri, bilvårdsanläggning och bilverkstad. Tyréns fick i uppdrag av kommunen att undersöka skolområdet utifrån de omgivande verksamheterna. För en mer detaljerad beskrivning av undersökningen bifogas rapporten till planhandlingarna – </w:t>
      </w:r>
      <w:r>
        <w:rPr>
          <w:i w:val="1"/>
          <w:iCs w:val="1"/>
        </w:rPr>
        <w:t>Översiktlig miljöteknisk markundersökning – Detaljplan Fridtjuv Berg.</w:t>
      </w:r>
    </w:p>
    <w:p/>
    <w:p>
      <w:pPr>
        <w:spacing w:lineRule="auto" w:line="240" w:after="0" w:beforeAutospacing="0" w:afterAutospacing="0"/>
      </w:pPr>
      <w:r>
        <w:t>Undersökningen genomfördes under våren/sommaren år 2024.</w:t>
      </w:r>
    </w:p>
    <w:p>
      <w:pPr>
        <w:spacing w:lineRule="auto" w:line="240" w:after="0" w:beforeAutospacing="0" w:afterAutospacing="0"/>
      </w:pPr>
      <w:r>
        <w:t>Undersökningen omfattade jordprovtagning med skruv på borrbandvagn i sju</w:t>
      </w:r>
    </w:p>
    <w:p>
      <w:pPr>
        <w:spacing w:lineRule="auto" w:line="240" w:after="0" w:beforeAutospacing="0" w:afterAutospacing="0"/>
      </w:pPr>
      <w:r>
        <w:t>provpunkter, varav ett grundvattenrör installerades och provtogs i en</w:t>
      </w:r>
    </w:p>
    <w:p>
      <w:pPr>
        <w:spacing w:lineRule="auto" w:line="240" w:after="0" w:beforeAutospacing="0" w:afterAutospacing="0"/>
      </w:pPr>
      <w:r>
        <w:t xml:space="preserve">provpunkt där grundvatten påträffades. Porluftprovtagning utfördes i sex provpunkter. </w:t>
      </w:r>
    </w:p>
    <w:p/>
    <w:p>
      <w:r>
        <w:t xml:space="preserve">Vid bedömning av resultaten används Naturvårdsverkets generella riktvärde för två typer av markanvändning, Känslig Markanvändning (KM) och Mindre Känslig Markanvändning (MKM). Riktvärden är ett hjälpmedel för utvärdering av förorenade områden och indikerar föroreningsnivåer som inte innebär acceptabla risker för människor och miljö. Eftersom områdets primära användning är skola men även i en avgränsad del tillåter bostäder tillämpas riktvärdet för KM. </w:t>
      </w:r>
    </w:p>
    <w:p>
      <w:pPr>
        <w:spacing w:lineRule="auto" w:line="240" w:after="0" w:beforeAutospacing="0" w:afterAutospacing="0"/>
      </w:pPr>
      <w:r>
        <w:t>Av de prov som analyserades var det på två platser som visade förhöjda värden där riktvärderna överskred KM. I provpunkten (24T01MG) uppmättes PFAS över riktvärdet och i provpunkten (24TY07MG) överstegs riktvärdet för kadmium och och PAH H. Övriga provpunkter hade inga värden som översteg några riktvärde för KM.</w:t>
      </w:r>
    </w:p>
    <w:p>
      <w:pPr>
        <w:spacing w:lineRule="auto" w:line="240" w:after="0" w:beforeAutospacing="0" w:afterAutospacing="0"/>
      </w:pPr>
    </w:p>
    <w:p>
      <w:r>
        <w:rPr>
          <w:noProof w:val="1"/>
        </w:rPr>
        <w:drawing>
          <wp:inline xmlns:wp="http://schemas.openxmlformats.org/drawingml/2006/wordprocessingDrawing" distT="0" distB="0" distL="0" distR="0">
            <wp:extent cx="4679950" cy="3157855"/>
            <wp:effectExtent l="0" t="0" r="6350" b="4445"/>
            <wp:docPr id="11" name="Bildobjekt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79"/>
                    <pic:cNvPicPr/>
                  </pic:nvPicPr>
                  <pic:blipFill dpi="0">
                    <a:blip xmlns:r="http://schemas.openxmlformats.org/officeDocument/2006/relationships" r:embed="Relimage8"/>
                    <a:srcRect/>
                    <a:stretch>
                      <a:fillRect/>
                    </a:stretch>
                  </pic:blipFill>
                  <pic:spPr>
                    <a:xfrm>
                      <a:off x="0" y="0"/>
                      <a:ext cx="4679950" cy="3157855"/>
                    </a:xfrm>
                    <a:prstGeom prst="rect"/>
                  </pic:spPr>
                </pic:pic>
              </a:graphicData>
            </a:graphic>
          </wp:inline>
        </w:drawing>
      </w:r>
      <w:r>
        <w:rPr>
          <w:i w:val="1"/>
          <w:iCs w:val="1"/>
          <w:sz w:val="18"/>
          <w:szCs w:val="18"/>
        </w:rPr>
        <w:t>Bild visar översiktskarta över placering av prover med klassning av högst uppmätta halt.</w:t>
      </w:r>
    </w:p>
    <w:p>
      <w:pPr>
        <w:spacing w:lineRule="auto" w:line="240" w:after="0" w:beforeAutospacing="0" w:afterAutospacing="0"/>
      </w:pPr>
      <w:r>
        <w:t>Resultatet av undersökningen visar inga indikationer på att omgivande tidigare verksamheter i form av kemtvättar har orsakat en föroreningsspridning av klorerade lösningsmedel till skolområdet. Provtagningen indikerar att påträffad förorening av PFAS förekommer lokalt i nordöstra hörnet av fastigheten där markmiljön lokalt kan vara negativt påverkat. Dock bedöms det inte föreligga oacceptabla risker avseende människors hälsa eller miljön utifrån planerad markanvändning. Avseende föroreningen av PAH H bedöms det föreligga teoretiska risker för odling och intag av växter. Eftersom ingen odling av ätbara växter planeras på skolområdet bedöms exponeringsrisken som liten.</w:t>
      </w:r>
    </w:p>
    <w:p>
      <w:pPr>
        <w:spacing w:lineRule="auto" w:line="240" w:after="0" w:beforeAutospacing="0" w:afterAutospacing="0"/>
      </w:pPr>
    </w:p>
    <w:p>
      <w:pPr>
        <w:spacing w:lineRule="auto" w:line="240" w:after="0" w:beforeAutospacing="0" w:afterAutospacing="0"/>
        <w:rPr>
          <w:i w:val="1"/>
          <w:iCs w:val="1"/>
        </w:rPr>
      </w:pPr>
      <w:r>
        <w:t xml:space="preserve">Avseende föroreningen av kadmium i jord bedöms de risker som kan föreligga som acceptabla. Utifrån uppmätta halter i grundvatten och i porluften bedömer Tyréns att det inte föreligger några risker för människors hälsa eller miljön med den planerade skolan. Tyréns bedömer att det inte föreligger något ytterligare undersökningsbehov eller riskreducerande åtgärder utifrån planerad markanvändning. </w:t>
      </w:r>
    </w:p>
    <w:p>
      <w:pPr>
        <w:spacing w:lineRule="auto" w:line="240" w:after="0" w:beforeAutospacing="0" w:afterAutospacing="0"/>
      </w:pPr>
      <w:bookmarkEnd w:id="64"/>
    </w:p>
    <w:p>
      <w:pPr>
        <w:rPr>
          <w:b w:val="1"/>
          <w:i w:val="1"/>
          <w:bCs w:val="1"/>
          <w:iCs w:val="1"/>
        </w:rPr>
      </w:pPr>
      <w:r>
        <w:rPr>
          <w:b w:val="1"/>
          <w:i w:val="1"/>
          <w:bCs w:val="1"/>
          <w:iCs w:val="1"/>
        </w:rPr>
        <w:t>Konsekvenser</w:t>
      </w:r>
    </w:p>
    <w:p>
      <w:bookmarkStart w:id="65" w:name="ko_miljö01"/>
      <w:r>
        <w:t xml:space="preserve">Utifrån resultat av undersökningen bedöms att marken är lämplig för de användningar som är planerade. Platsen för föroreningen PAH där en teoretisk risk finns för intag av ätbara växter/grödor är placerad i skolans framtida entréområde till skolan som planeras som torgyta. Att odling skulle ske direkt i jord i sådan skala som anses vara skadligt i detta område bedöms ej sannolikt. </w:t>
      </w:r>
    </w:p>
    <w:p>
      <w:pPr>
        <w:pStyle w:val="P3"/>
      </w:pPr>
      <w:bookmarkEnd w:id="65"/>
      <w:bookmarkStart w:id="66" w:name="_Toc191546077"/>
      <w:r>
        <w:t>Farligt gods</w:t>
      </w:r>
      <w:bookmarkEnd w:id="66"/>
      <w:r>
        <w:t xml:space="preserve"> </w:t>
      </w:r>
    </w:p>
    <w:p>
      <w:bookmarkStart w:id="67" w:name="pf_riskförolyckor01"/>
      <w:r>
        <w:t>Vägarna runt planområdet är inte utpekade leder för farligt gods. Tung genomfartstrafik är förbjuden förbi skolområdet längs Storgatan. E4:ans omledningsväg leds via Fabriksvägen och påverkar inte området runt planområdet.</w:t>
      </w:r>
    </w:p>
    <w:p>
      <w:pPr>
        <w:pStyle w:val="P3"/>
      </w:pPr>
      <w:bookmarkEnd w:id="67"/>
      <w:bookmarkStart w:id="68" w:name="_Toc191546078"/>
      <w:r>
        <w:t>Omgivningsbuller</w:t>
      </w:r>
      <w:bookmarkEnd w:id="68"/>
      <w:r>
        <w:t xml:space="preserve"> </w:t>
      </w:r>
    </w:p>
    <w:p>
      <w:bookmarkStart w:id="69" w:name="pf_omgivningsbuller01"/>
      <w:r>
        <w:t xml:space="preserve">Planområdet omges av lokalgator och har ett verksamhetsområde nordväst om Kungsvägen. Verksamhetsområdet har ingen störande verksamhet varav omgivande trafik är den största bullerkällan. Området har en pågående skolverksamhet och en stor del av skolgården ligger oskyddad mot Storgatan som är den gata som har mest trafik. Under hösten 2024 genomfördes trafikmätningar på områdets omgivande gator för att kunna få en mer beskrivande bild av trafikmängder runt skolan. </w:t>
      </w:r>
    </w:p>
    <w:p/>
    <w:tbl>
      <w:tblPr>
        <w:tblStyle w:val="T6"/>
        <w:tblW w:w="0" w:type="auto"/>
        <w:tblLook w:val="04A0"/>
      </w:tblPr>
      <w:tblGrid/>
      <w:tr>
        <w:tc>
          <w:tcPr>
            <w:tcW w:w="1413" w:type="dxa"/>
          </w:tcPr>
          <w:p>
            <w:r>
              <w:t>Mätplats</w:t>
            </w:r>
          </w:p>
        </w:tc>
        <w:tc>
          <w:tcPr>
            <w:tcW w:w="1276" w:type="dxa"/>
          </w:tcPr>
          <w:p>
            <w:r>
              <w:t>Dygnstrafik</w:t>
            </w:r>
          </w:p>
        </w:tc>
        <w:tc>
          <w:tcPr>
            <w:tcW w:w="850" w:type="dxa"/>
          </w:tcPr>
          <w:p>
            <w:r>
              <w:t>Vardag</w:t>
            </w:r>
          </w:p>
        </w:tc>
        <w:tc>
          <w:tcPr>
            <w:tcW w:w="1701" w:type="dxa"/>
          </w:tcPr>
          <w:p>
            <w:r>
              <w:t>Skyltad hastighet</w:t>
            </w:r>
          </w:p>
        </w:tc>
        <w:tc>
          <w:tcPr>
            <w:tcW w:w="1559" w:type="dxa"/>
          </w:tcPr>
          <w:p>
            <w:r>
              <w:t>Medelhastighet</w:t>
            </w:r>
          </w:p>
        </w:tc>
        <w:tc>
          <w:tcPr>
            <w:tcW w:w="1134" w:type="dxa"/>
          </w:tcPr>
          <w:p>
            <w:r>
              <w:t>Tung trafik</w:t>
            </w:r>
          </w:p>
        </w:tc>
      </w:tr>
      <w:tr>
        <w:tc>
          <w:tcPr>
            <w:tcW w:w="1413" w:type="dxa"/>
          </w:tcPr>
          <w:p>
            <w:r>
              <w:t>Storgatan</w:t>
            </w:r>
          </w:p>
        </w:tc>
        <w:tc>
          <w:tcPr>
            <w:tcW w:w="1276" w:type="dxa"/>
          </w:tcPr>
          <w:p>
            <w:r>
              <w:t>2 024</w:t>
            </w:r>
          </w:p>
        </w:tc>
        <w:tc>
          <w:tcPr>
            <w:tcW w:w="850" w:type="dxa"/>
          </w:tcPr>
          <w:p>
            <w:r>
              <w:t>2 186</w:t>
            </w:r>
          </w:p>
        </w:tc>
        <w:tc>
          <w:tcPr>
            <w:tcW w:w="1701" w:type="dxa"/>
          </w:tcPr>
          <w:p>
            <w:r>
              <w:t>30 km/h</w:t>
            </w:r>
          </w:p>
        </w:tc>
        <w:tc>
          <w:tcPr>
            <w:tcW w:w="1559" w:type="dxa"/>
          </w:tcPr>
          <w:p>
            <w:r>
              <w:t>31 km/h</w:t>
            </w:r>
          </w:p>
        </w:tc>
        <w:tc>
          <w:tcPr>
            <w:tcW w:w="1134" w:type="dxa"/>
          </w:tcPr>
          <w:p>
            <w:r>
              <w:t>5,9 %</w:t>
            </w:r>
          </w:p>
        </w:tc>
      </w:tr>
      <w:tr>
        <w:tc>
          <w:tcPr>
            <w:tcW w:w="1413" w:type="dxa"/>
          </w:tcPr>
          <w:p>
            <w:r>
              <w:t>Järnvägsgatan</w:t>
            </w:r>
          </w:p>
        </w:tc>
        <w:tc>
          <w:tcPr>
            <w:tcW w:w="1276" w:type="dxa"/>
          </w:tcPr>
          <w:p>
            <w:r>
              <w:t>764</w:t>
            </w:r>
          </w:p>
        </w:tc>
        <w:tc>
          <w:tcPr>
            <w:tcW w:w="850" w:type="dxa"/>
          </w:tcPr>
          <w:p>
            <w:r>
              <w:t>869</w:t>
            </w:r>
          </w:p>
        </w:tc>
        <w:tc>
          <w:tcPr>
            <w:tcW w:w="1701" w:type="dxa"/>
          </w:tcPr>
          <w:p>
            <w:r>
              <w:t>30 km/h</w:t>
            </w:r>
          </w:p>
        </w:tc>
        <w:tc>
          <w:tcPr>
            <w:tcW w:w="1559" w:type="dxa"/>
          </w:tcPr>
          <w:p>
            <w:r>
              <w:t>32 km/h</w:t>
            </w:r>
          </w:p>
        </w:tc>
        <w:tc>
          <w:tcPr>
            <w:tcW w:w="1134" w:type="dxa"/>
          </w:tcPr>
          <w:p>
            <w:r>
              <w:t>8,9 %</w:t>
            </w:r>
          </w:p>
        </w:tc>
      </w:tr>
      <w:tr>
        <w:tc>
          <w:tcPr>
            <w:tcW w:w="1413" w:type="dxa"/>
          </w:tcPr>
          <w:p>
            <w:r>
              <w:t>Kungsvägen</w:t>
            </w:r>
          </w:p>
        </w:tc>
        <w:tc>
          <w:tcPr>
            <w:tcW w:w="1276" w:type="dxa"/>
          </w:tcPr>
          <w:p>
            <w:r>
              <w:t>494</w:t>
            </w:r>
          </w:p>
        </w:tc>
        <w:tc>
          <w:tcPr>
            <w:tcW w:w="850" w:type="dxa"/>
          </w:tcPr>
          <w:p>
            <w:r>
              <w:t>576</w:t>
            </w:r>
          </w:p>
        </w:tc>
        <w:tc>
          <w:tcPr>
            <w:tcW w:w="1701" w:type="dxa"/>
          </w:tcPr>
          <w:p>
            <w:r>
              <w:t>30 km/h</w:t>
            </w:r>
          </w:p>
        </w:tc>
        <w:tc>
          <w:tcPr>
            <w:tcW w:w="1559" w:type="dxa"/>
          </w:tcPr>
          <w:p>
            <w:r>
              <w:t>25 km/h</w:t>
            </w:r>
          </w:p>
        </w:tc>
        <w:tc>
          <w:tcPr>
            <w:tcW w:w="1134" w:type="dxa"/>
          </w:tcPr>
          <w:p>
            <w:r>
              <w:t>7,0 %</w:t>
            </w:r>
          </w:p>
        </w:tc>
      </w:tr>
    </w:tbl>
    <w:p>
      <w:r>
        <w:rPr>
          <w:i w:val="1"/>
          <w:iCs w:val="1"/>
          <w:sz w:val="18"/>
          <w:szCs w:val="18"/>
        </w:rPr>
        <w:t>Tabell visar mätplatser för trafikmängd, hastighet och andel tung trafik.</w:t>
      </w:r>
      <w:r>
        <w:br w:type="textWrapping"/>
        <w:br w:type="textWrapping"/>
        <w:t>Naturvårdsverket har tagit fram en vägledning om buller från väg- och spårtrafik på skolgårdar, som ofta är den största källan till ljudstörningar på skolgårdar. Ljudnivån bör vara 50 dBA på minst hälften av skolgårdens utevistelseyta, både vid nybyggnation och vid befintliga skolgårdar. Målet är också att uppnå 50 dBA på de delar av skolbyggnadens fasader som vetter mot skolgården och utevistelseytor. För övriga ytor utomhus bör ljudnivån inte överstiga 55 dBA. Dessa värden avser dygnets genomsnittliga ljudnivå (ekvivalent ljudnivå) och syftar till att minska bullerexponeringen för elever.</w:t>
      </w:r>
    </w:p>
    <w:p>
      <w:r>
        <w:t xml:space="preserve">Utgår man från mätta hastigheter och trafikmängder på de omgivande gatorna visar bullervärden att det är inom en yta på ca 10 meter in på fastigheten från vägens mitt som ljudnivån överstiger 50 dBA men är mindre än 55 dBA. Resterande del av skolgården (nästan hela skolområdet) klarar en ljudnivå på under 50 dBA. Spridning av bullernivån beräknas översiktligt via nedan tabell. </w:t>
      </w:r>
    </w:p>
    <w:p>
      <w:r>
        <w:rPr>
          <w:noProof w:val="1"/>
        </w:rPr>
        <w:drawing>
          <wp:inline xmlns:wp="http://schemas.openxmlformats.org/drawingml/2006/wordprocessingDrawing" distT="0" distB="0" distL="0" distR="0">
            <wp:extent cx="4679950" cy="3158490"/>
            <wp:effectExtent l="0" t="0" r="6350" b="3810"/>
            <wp:docPr id="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80"/>
                    <pic:cNvPicPr/>
                  </pic:nvPicPr>
                  <pic:blipFill dpi="0">
                    <a:blip xmlns:r="http://schemas.openxmlformats.org/officeDocument/2006/relationships" r:embed="Relimage9"/>
                    <a:srcRect/>
                    <a:stretch>
                      <a:fillRect/>
                    </a:stretch>
                  </pic:blipFill>
                  <pic:spPr>
                    <a:xfrm>
                      <a:off x="0" y="0"/>
                      <a:ext cx="4679950" cy="3158490"/>
                    </a:xfrm>
                    <a:prstGeom prst="rect"/>
                  </pic:spPr>
                </pic:pic>
              </a:graphicData>
            </a:graphic>
          </wp:inline>
        </w:drawing>
      </w:r>
      <w:r>
        <w:br w:type="textWrapping"/>
      </w:r>
      <w:r>
        <w:rPr>
          <w:i w:val="1"/>
          <w:iCs w:val="1"/>
          <w:sz w:val="18"/>
          <w:szCs w:val="18"/>
        </w:rPr>
        <w:t>Tabell visar olika bullernivåer vid olika trafikmängder och hastigheter, samt ett diagram som visar hur mycket bullret minska per meter från vägmitt.</w:t>
      </w:r>
    </w:p>
    <w:p>
      <w:pPr>
        <w:rPr>
          <w:b w:val="1"/>
          <w:i w:val="1"/>
        </w:rPr>
      </w:pPr>
      <w:bookmarkEnd w:id="69"/>
      <w:r>
        <w:rPr>
          <w:b w:val="1"/>
          <w:i w:val="1"/>
        </w:rPr>
        <w:t>Konsekvenser</w:t>
      </w:r>
    </w:p>
    <w:p>
      <w:bookmarkStart w:id="70" w:name="ko_buller01"/>
      <w:r>
        <w:t xml:space="preserve">Den nya skolan kommer ha fler elever (årskurs 6) samt ett tillagningskök som kommer generera något fler fordonsrörelser jämfört med dagens situation. Däremot kommer en ny detaljplan styra att skolbyggnadens huvudbyggnad ska ligga utmed Storgatan och på så sätt möjliggöra skolgård som är skyddad från detta trafikbuller. Trafikbullret är i sammanhanget lågt på grund av hastighetsbegränsningen på 30 km/tim samt den relativt låga mängden fordon. </w:t>
      </w:r>
    </w:p>
    <w:p>
      <w:r>
        <w:t>Utifrån översiktligt beräknade förutsättningar med trafikmängd, hastighet och placering av huvudbyggnad av skola bedömer kommunen att det finns goda förutsättningar för en god skolmiljö utan specifika bulleråtgärder.</w:t>
      </w:r>
    </w:p>
    <w:p>
      <w:pPr>
        <w:pStyle w:val="P3"/>
      </w:pPr>
      <w:bookmarkEnd w:id="70"/>
      <w:bookmarkStart w:id="71" w:name="_Toc191546079"/>
      <w:r>
        <w:t>Risk för översvämning</w:t>
      </w:r>
      <w:bookmarkEnd w:id="71"/>
    </w:p>
    <w:p>
      <w:bookmarkStart w:id="72" w:name="pf_riskföröversvämning01"/>
      <w:r>
        <w:t xml:space="preserve">Vid stora skyfall kan dagvattensystem i Ödeshög ha svårt att klara av de ökade flödena, vilket medför att markområden översvämmas. En översiktlig ytavrinninganalys har tagits fram utifrån en höjdmodell för att analysera hur vattnet rinner och samlas vid ett skyfall.  Platsen för planområdet utgörs idag till stor del av hårdgjorda ytor som har snabbt avrinningsförlopp. Bilden nedan visar på att planområdet ligger i högt och vid gränsen av ett delavrinningsområde. Det bedöms därmed inte finnas några risker inom planområdet vid skyfall. Vid genomförandet och utformning av skoltomten bör avrinningen ledas mot skoltomtens nordvästra del.</w:t>
      </w:r>
    </w:p>
    <w:p>
      <w:r>
        <w:rPr>
          <w:noProof w:val="1"/>
        </w:rPr>
        <w:drawing>
          <wp:inline xmlns:wp="http://schemas.openxmlformats.org/drawingml/2006/wordprocessingDrawing" distT="0" distB="0" distL="0" distR="0">
            <wp:extent cx="3294380" cy="2927985"/>
            <wp:effectExtent l="0" t="0" r="1270" b="5715"/>
            <wp:docPr id="26" name="Bildobjekt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Karta ytavrinning 2024-08-12.jpg"/>
                    <pic:cNvPicPr/>
                  </pic:nvPicPr>
                  <pic:blipFill dpi="0">
                    <a:blip xmlns:r="http://schemas.openxmlformats.org/officeDocument/2006/relationships" r:embed="Relimage10"/>
                    <a:srcRect/>
                    <a:stretch>
                      <a:fillRect/>
                    </a:stretch>
                  </pic:blipFill>
                  <pic:spPr>
                    <a:xfrm>
                      <a:off x="0" y="0"/>
                      <a:ext cx="3297698" cy="2931237"/>
                    </a:xfrm>
                    <a:prstGeom prst="rect"/>
                  </pic:spPr>
                </pic:pic>
              </a:graphicData>
            </a:graphic>
          </wp:inline>
        </w:drawing>
      </w:r>
    </w:p>
    <w:p>
      <w:r>
        <w:rPr>
          <w:i w:val="1"/>
          <w:iCs w:val="1"/>
          <w:sz w:val="18"/>
          <w:szCs w:val="18"/>
        </w:rPr>
        <w:t>Bilden visar översiktlig ytavrinningsanalys vid skyfall. Desto mörkare blå desto mer flöde, desto rödare desto mer vatten ansamlas på platsen.</w:t>
      </w:r>
    </w:p>
    <w:p>
      <w:pPr>
        <w:pStyle w:val="P3"/>
      </w:pPr>
      <w:bookmarkEnd w:id="72"/>
      <w:bookmarkStart w:id="73" w:name="_Toc191546080"/>
      <w:r>
        <w:t>Risk för ras och skred</w:t>
      </w:r>
      <w:bookmarkEnd w:id="73"/>
      <w:r>
        <w:t xml:space="preserve"> </w:t>
      </w:r>
    </w:p>
    <w:p>
      <w:bookmarkStart w:id="74" w:name="pf_riskförskred01"/>
      <w:r>
        <w:t>Området ligger i en miljö där risk för ras eller skred inte förekommer.</w:t>
      </w:r>
    </w:p>
    <w:p>
      <w:pPr>
        <w:pStyle w:val="P2"/>
      </w:pPr>
      <w:bookmarkEnd w:id="74"/>
      <w:bookmarkStart w:id="75" w:name="_Toc191546081"/>
      <w:r>
        <w:t>Bebyggelse</w:t>
      </w:r>
      <w:bookmarkEnd w:id="75"/>
      <w:r>
        <w:t xml:space="preserve"> </w:t>
      </w:r>
    </w:p>
    <w:p>
      <w:bookmarkStart w:id="76" w:name="pf_fysiskmiljö02"/>
      <w:r>
        <w:t xml:space="preserve">Inom planområdet består bebyggelsen av äldre skolbyggnader i ett till två plan. De första skolbyggnaderna kom till i slutet av 1950-talet medan de större byggnaderna i enplan kom till i början på 1970-talet. I nordvästra delen av planområdet finns en större modulbyggnad som sattes upp 2021. I västra delen längs med Järnvägsgatan ligger ett äldre bostadshus som används som privat förskola, förskolan har ett tillfälligt bygglov då skolan inte är planenlig och lokalen inte ändamålsenlig. </w:t>
      </w:r>
    </w:p>
    <w:p>
      <w:r>
        <w:t xml:space="preserve">2019 togs det fram en översiktlig bebyggelseinventering för Ödeshögs kommun i samband med översiktsplansarbetet. Inom planområdet är det två utpekade byggnader som är klassade med klass c (visst kulturhistoriskt värde) som är den lägsta klassningen (se karta).  </w:t>
      </w:r>
    </w:p>
    <w:p>
      <w:r>
        <w:rPr>
          <w:noProof w:val="1"/>
        </w:rPr>
        <mc:AlternateContent>
          <mc:Choice Requires="wps">
            <w:drawing>
              <wp:anchor xmlns:wp="http://schemas.openxmlformats.org/drawingml/2006/wordprocessingDrawing" distT="0" distB="0" distL="114300" distR="114300" simplePos="0" relativeHeight="24" behindDoc="0" locked="0" layoutInCell="1" allowOverlap="1">
                <wp:simplePos x="0" y="0"/>
                <wp:positionH relativeFrom="column">
                  <wp:posOffset>505460</wp:posOffset>
                </wp:positionH>
                <wp:positionV relativeFrom="paragraph">
                  <wp:posOffset>1270635</wp:posOffset>
                </wp:positionV>
                <wp:extent cx="666750" cy="527050"/>
                <wp:effectExtent l="0" t="0" r="0" b="6350"/>
                <wp:wrapNone/>
                <wp:docPr id="45" name="Textruta 45"/>
                <wp:cNvGraphicFramePr/>
                <a:graphic xmlns:a="http://schemas.openxmlformats.org/drawingml/2006/main">
                  <a:graphicData uri="http://schemas.microsoft.com/office/word/2010/wordprocessingShape">
                    <wps:wsp>
                      <wps:cNvSpPr txBox="1"/>
                      <wps:spPr>
                        <a:xfrm>
                          <a:off x="0" y="0"/>
                          <a:ext cx="667196" cy="527324"/>
                        </a:xfrm>
                        <a:prstGeom prst="rect"/>
                        <a:noFill/>
                        <a:ln w="6350">
                          <a:noFill/>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rPr>
                                <w:color w:val="FF0000"/>
                              </w:rPr>
                            </w:pPr>
                            <w:r>
                              <w:rPr>
                                <w:color w:val="FF0000"/>
                              </w:rPr>
                              <w:t>Ca 1920</w:t>
                              <w:br w:type="textWrapping"/>
                              <w:t xml:space="preserve">      C</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xmlns:o="urn:schemas-microsoft-com:office:office" id="_x0000_t202" coordsize="21600,21600" o:spt="202" path="m,l,21600r21600,l21600,xe">
                <v:stroke joinstyle="miter"/>
                <v:path gradientshapeok="t" o:connecttype="rect"/>
              </v:shapetype>
              <v:shape xmlns:o="urn:schemas-microsoft-com:office:office" type="#_x0000_t202" id="Textruta 45" o:spid="_x0000_s1026" style="position:absolute;width:52.5pt;height:41.5pt;z-index:24;mso-wrap-distance-left:9pt;mso-wrap-distance-top:0pt;mso-wrap-distance-right:9pt;mso-wrap-distance-bottom:0pt;margin-left:39.8pt;margin-top:100.05pt;mso-position-horizontal:absolute;mso-position-horizontal-relative:text;mso-position-vertical:absolute;mso-position-vertical-relative:text" o:allowincell="t" filled="f" strokeweight="0.5pt" stroked="f">
                <v:textbox inset="3mm,1mm,3mm,1mm">
                  <w:txbxContent>
                    <w:p>
                      <w:pPr>
                        <w:rPr>
                          <w:color w:val="FF0000"/>
                        </w:rPr>
                      </w:pPr>
                      <w:r>
                        <w:rPr>
                          <w:color w:val="FF0000"/>
                        </w:rPr>
                        <w:t>Ca 1920</w:t>
                        <w:br w:type="textWrapping"/>
                        <w:t xml:space="preserve">      C</w:t>
                      </w:r>
                    </w:p>
                  </w:txbxContent>
                </v:textbox>
              </v:shape>
            </w:pict>
          </mc:Fallback>
        </mc:AlternateContent>
      </w:r>
      <w:r>
        <w:rPr>
          <w:noProof w:val="1"/>
        </w:rPr>
        <mc:AlternateContent>
          <mc:Choice Requires="wps">
            <w:drawing>
              <wp:anchor xmlns:wp="http://schemas.openxmlformats.org/drawingml/2006/wordprocessingDrawing" distT="0" distB="0" distL="114300" distR="114300" simplePos="0" relativeHeight="20" behindDoc="0" locked="0" layoutInCell="1" allowOverlap="1">
                <wp:simplePos x="0" y="0"/>
                <wp:positionH relativeFrom="column">
                  <wp:posOffset>1103630</wp:posOffset>
                </wp:positionH>
                <wp:positionV relativeFrom="paragraph">
                  <wp:posOffset>1064260</wp:posOffset>
                </wp:positionV>
                <wp:extent cx="487680" cy="252095"/>
                <wp:effectExtent l="0" t="0" r="0" b="0"/>
                <wp:wrapNone/>
                <wp:docPr id="41" name="Textruta 41"/>
                <wp:cNvGraphicFramePr/>
                <a:graphic xmlns:a="http://schemas.openxmlformats.org/drawingml/2006/main">
                  <a:graphicData uri="http://schemas.microsoft.com/office/word/2010/wordprocessingShape">
                    <wps:wsp>
                      <wps:cNvSpPr txBox="1"/>
                      <wps:spPr>
                        <a:xfrm>
                          <a:off x="0" y="0"/>
                          <a:ext cx="488055" cy="252442"/>
                        </a:xfrm>
                        <a:prstGeom prst="rect"/>
                        <a:noFill/>
                        <a:ln w="6350">
                          <a:noFill/>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rPr>
                                <w:color w:val="FF0000"/>
                              </w:rPr>
                            </w:pPr>
                            <w:r>
                              <w:rPr>
                                <w:color w:val="FF0000"/>
                              </w:rPr>
                              <w:t>1958</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xmlns:o="urn:schemas-microsoft-com:office:office" type="#_x0000_t202" id="Textruta 41" o:spid="_x0000_s1027" style="position:absolute;width:38.4pt;height:19.85pt;z-index:20;mso-wrap-distance-left:9pt;mso-wrap-distance-top:0pt;mso-wrap-distance-right:9pt;mso-wrap-distance-bottom:0pt;margin-left:86.9pt;margin-top:83.8pt;mso-position-horizontal:absolute;mso-position-horizontal-relative:text;mso-position-vertical:absolute;mso-position-vertical-relative:text" o:allowincell="t" filled="f" strokeweight="0.5pt" stroked="f">
                <v:textbox inset="3mm,1mm,3mm,1mm">
                  <w:txbxContent>
                    <w:p>
                      <w:pPr>
                        <w:rPr>
                          <w:color w:val="FF0000"/>
                        </w:rPr>
                      </w:pPr>
                      <w:r>
                        <w:rPr>
                          <w:color w:val="FF0000"/>
                        </w:rPr>
                        <w:t>1958</w:t>
                      </w:r>
                    </w:p>
                  </w:txbxContent>
                </v:textbox>
              </v:shape>
            </w:pict>
          </mc:Fallback>
        </mc:AlternateContent>
      </w:r>
      <w:r>
        <w:rPr>
          <w:noProof w:val="1"/>
        </w:rPr>
        <mc:AlternateContent>
          <mc:Choice Requires="wps">
            <w:drawing>
              <wp:anchor xmlns:wp="http://schemas.openxmlformats.org/drawingml/2006/wordprocessingDrawing" distT="0" distB="0" distL="114300" distR="114300" simplePos="0" relativeHeight="19" behindDoc="0" locked="0" layoutInCell="1" allowOverlap="1">
                <wp:simplePos x="0" y="0"/>
                <wp:positionH relativeFrom="column">
                  <wp:posOffset>1235075</wp:posOffset>
                </wp:positionH>
                <wp:positionV relativeFrom="paragraph">
                  <wp:posOffset>641985</wp:posOffset>
                </wp:positionV>
                <wp:extent cx="487680" cy="252095"/>
                <wp:effectExtent l="0" t="0" r="0" b="0"/>
                <wp:wrapNone/>
                <wp:docPr id="40" name="Textruta 40"/>
                <wp:cNvGraphicFramePr/>
                <a:graphic xmlns:a="http://schemas.openxmlformats.org/drawingml/2006/main">
                  <a:graphicData uri="http://schemas.microsoft.com/office/word/2010/wordprocessingShape">
                    <wps:wsp>
                      <wps:cNvSpPr txBox="1"/>
                      <wps:spPr>
                        <a:xfrm>
                          <a:off x="0" y="0"/>
                          <a:ext cx="488055" cy="252442"/>
                        </a:xfrm>
                        <a:prstGeom prst="rect"/>
                        <a:noFill/>
                        <a:ln w="6350">
                          <a:noFill/>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rPr>
                                <w:color w:val="FF0000"/>
                              </w:rPr>
                            </w:pPr>
                            <w:r>
                              <w:rPr>
                                <w:color w:val="FF0000"/>
                              </w:rPr>
                              <w:t>1972</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xmlns:o="urn:schemas-microsoft-com:office:office" type="#_x0000_t202" id="Textruta 40" o:spid="_x0000_s1028" style="position:absolute;width:38.4pt;height:19.85pt;z-index:19;mso-wrap-distance-left:9pt;mso-wrap-distance-top:0pt;mso-wrap-distance-right:9pt;mso-wrap-distance-bottom:0pt;margin-left:97.25pt;margin-top:50.55pt;mso-position-horizontal:absolute;mso-position-horizontal-relative:text;mso-position-vertical:absolute;mso-position-vertical-relative:text" o:allowincell="t" filled="f" strokeweight="0.5pt" stroked="f">
                <v:textbox inset="3mm,1mm,3mm,1mm">
                  <w:txbxContent>
                    <w:p>
                      <w:pPr>
                        <w:rPr>
                          <w:color w:val="FF0000"/>
                        </w:rPr>
                      </w:pPr>
                      <w:r>
                        <w:rPr>
                          <w:color w:val="FF0000"/>
                        </w:rPr>
                        <w:t>1972</w:t>
                      </w:r>
                    </w:p>
                  </w:txbxContent>
                </v:textbox>
              </v:shape>
            </w:pict>
          </mc:Fallback>
        </mc:AlternateContent>
      </w:r>
      <w:r>
        <w:rPr>
          <w:noProof w:val="1"/>
        </w:rPr>
        <mc:AlternateContent>
          <mc:Choice Requires="wps">
            <w:drawing>
              <wp:anchor xmlns:wp="http://schemas.openxmlformats.org/drawingml/2006/wordprocessingDrawing" distT="0" distB="0" distL="114300" distR="114300" simplePos="0" relativeHeight="23" behindDoc="0" locked="0" layoutInCell="1" allowOverlap="1">
                <wp:simplePos x="0" y="0"/>
                <wp:positionH relativeFrom="column">
                  <wp:posOffset>1558925</wp:posOffset>
                </wp:positionH>
                <wp:positionV relativeFrom="paragraph">
                  <wp:posOffset>1628140</wp:posOffset>
                </wp:positionV>
                <wp:extent cx="487680" cy="252095"/>
                <wp:effectExtent l="0" t="0" r="0" b="0"/>
                <wp:wrapNone/>
                <wp:docPr id="44" name="Textruta 44"/>
                <wp:cNvGraphicFramePr/>
                <a:graphic xmlns:a="http://schemas.openxmlformats.org/drawingml/2006/main">
                  <a:graphicData uri="http://schemas.microsoft.com/office/word/2010/wordprocessingShape">
                    <wps:wsp>
                      <wps:cNvSpPr txBox="1"/>
                      <wps:spPr>
                        <a:xfrm>
                          <a:off x="0" y="0"/>
                          <a:ext cx="488055" cy="252442"/>
                        </a:xfrm>
                        <a:prstGeom prst="rect"/>
                        <a:noFill/>
                        <a:ln w="6350">
                          <a:noFill/>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rPr>
                                <w:color w:val="FF0000"/>
                              </w:rPr>
                            </w:pPr>
                            <w:r>
                              <w:rPr>
                                <w:color w:val="FF0000"/>
                              </w:rPr>
                              <w:t>1972</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xmlns:o="urn:schemas-microsoft-com:office:office" type="#_x0000_t202" id="Textruta 44" o:spid="_x0000_s1029" style="position:absolute;width:38.4pt;height:19.85pt;z-index:23;mso-wrap-distance-left:9pt;mso-wrap-distance-top:0pt;mso-wrap-distance-right:9pt;mso-wrap-distance-bottom:0pt;margin-left:122.75pt;margin-top:128.2pt;mso-position-horizontal:absolute;mso-position-horizontal-relative:text;mso-position-vertical:absolute;mso-position-vertical-relative:text" o:allowincell="t" filled="f" strokeweight="0.5pt" stroked="f">
                <v:textbox inset="3mm,1mm,3mm,1mm">
                  <w:txbxContent>
                    <w:p>
                      <w:pPr>
                        <w:rPr>
                          <w:color w:val="FF0000"/>
                        </w:rPr>
                      </w:pPr>
                      <w:r>
                        <w:rPr>
                          <w:color w:val="FF0000"/>
                        </w:rPr>
                        <w:t>1972</w:t>
                      </w:r>
                    </w:p>
                  </w:txbxContent>
                </v:textbox>
              </v:shape>
            </w:pict>
          </mc:Fallback>
        </mc:AlternateContent>
      </w:r>
      <w:r>
        <w:rPr>
          <w:noProof w:val="1"/>
        </w:rPr>
        <mc:AlternateContent>
          <mc:Choice Requires="wps">
            <w:drawing>
              <wp:anchor xmlns:wp="http://schemas.openxmlformats.org/drawingml/2006/wordprocessingDrawing" distT="0" distB="0" distL="114300" distR="114300" simplePos="0" relativeHeight="21" behindDoc="0" locked="0" layoutInCell="1" allowOverlap="1">
                <wp:simplePos x="0" y="0"/>
                <wp:positionH relativeFrom="margin">
                  <wp:posOffset>1434465</wp:posOffset>
                </wp:positionH>
                <wp:positionV relativeFrom="paragraph">
                  <wp:posOffset>993140</wp:posOffset>
                </wp:positionV>
                <wp:extent cx="487680" cy="252095"/>
                <wp:effectExtent l="0" t="0" r="0" b="0"/>
                <wp:wrapNone/>
                <wp:docPr id="42" name="Textruta 42"/>
                <wp:cNvGraphicFramePr/>
                <a:graphic xmlns:a="http://schemas.openxmlformats.org/drawingml/2006/main">
                  <a:graphicData uri="http://schemas.microsoft.com/office/word/2010/wordprocessingShape">
                    <wps:wsp>
                      <wps:cNvSpPr txBox="1"/>
                      <wps:spPr>
                        <a:xfrm>
                          <a:off x="0" y="0"/>
                          <a:ext cx="488055" cy="252442"/>
                        </a:xfrm>
                        <a:prstGeom prst="rect"/>
                        <a:noFill/>
                        <a:ln w="6350">
                          <a:noFill/>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rPr>
                                <w:color w:val="FF0000"/>
                              </w:rPr>
                            </w:pPr>
                            <w:r>
                              <w:rPr>
                                <w:color w:val="FF0000"/>
                              </w:rPr>
                              <w:t>1972</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xmlns:o="urn:schemas-microsoft-com:office:office" type="#_x0000_t202" id="Textruta 42" o:spid="_x0000_s1030" style="position:absolute;width:38.4pt;height:19.85pt;z-index:21;mso-wrap-distance-left:9pt;mso-wrap-distance-top:0pt;mso-wrap-distance-right:9pt;mso-wrap-distance-bottom:0pt;margin-left:112.95pt;margin-top:78.2pt;mso-position-horizontal:absolute;mso-position-horizontal-relative:margin;mso-position-vertical:absolute;mso-position-vertical-relative:text" o:allowincell="t" filled="f" strokeweight="0.5pt" stroked="f">
                <v:textbox inset="3mm,1mm,3mm,1mm">
                  <w:txbxContent>
                    <w:p>
                      <w:pPr>
                        <w:rPr>
                          <w:color w:val="FF0000"/>
                        </w:rPr>
                      </w:pPr>
                      <w:r>
                        <w:rPr>
                          <w:color w:val="FF0000"/>
                        </w:rPr>
                        <w:t>1972</w:t>
                      </w:r>
                    </w:p>
                  </w:txbxContent>
                </v:textbox>
              </v:shape>
            </w:pict>
          </mc:Fallback>
        </mc:AlternateContent>
      </w:r>
      <w:r>
        <w:rPr>
          <w:noProof w:val="1"/>
        </w:rPr>
        <mc:AlternateContent>
          <mc:Choice Requires="wps">
            <w:drawing>
              <wp:anchor xmlns:wp="http://schemas.openxmlformats.org/drawingml/2006/wordprocessingDrawing" distT="0" distB="0" distL="114300" distR="114300" simplePos="0" relativeHeight="22" behindDoc="0" locked="0" layoutInCell="1" allowOverlap="1">
                <wp:simplePos x="0" y="0"/>
                <wp:positionH relativeFrom="column">
                  <wp:posOffset>2061210</wp:posOffset>
                </wp:positionH>
                <wp:positionV relativeFrom="paragraph">
                  <wp:posOffset>875030</wp:posOffset>
                </wp:positionV>
                <wp:extent cx="487680" cy="442595"/>
                <wp:effectExtent l="0" t="0" r="0" b="0"/>
                <wp:wrapNone/>
                <wp:docPr id="43" name="Textruta 43"/>
                <wp:cNvGraphicFramePr/>
                <a:graphic xmlns:a="http://schemas.openxmlformats.org/drawingml/2006/main">
                  <a:graphicData uri="http://schemas.microsoft.com/office/word/2010/wordprocessingShape">
                    <wps:wsp>
                      <wps:cNvSpPr txBox="1"/>
                      <wps:spPr>
                        <a:xfrm>
                          <a:off x="0" y="0"/>
                          <a:ext cx="487680" cy="443176"/>
                        </a:xfrm>
                        <a:prstGeom prst="rect"/>
                        <a:noFill/>
                        <a:ln w="6350">
                          <a:noFill/>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rPr>
                                <w:color w:val="FF0000"/>
                              </w:rPr>
                            </w:pPr>
                            <w:r>
                              <w:rPr>
                                <w:color w:val="FF0000"/>
                              </w:rPr>
                              <w:t>1972</w:t>
                              <w:br w:type="textWrapping"/>
                              <w:t xml:space="preserve">   C</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xmlns:o="urn:schemas-microsoft-com:office:office" type="#_x0000_t202" id="Textruta 43" o:spid="_x0000_s1031" style="position:absolute;width:38.4pt;height:34.85pt;z-index:22;mso-wrap-distance-left:9pt;mso-wrap-distance-top:0pt;mso-wrap-distance-right:9pt;mso-wrap-distance-bottom:0pt;margin-left:162.3pt;margin-top:68.9pt;mso-position-horizontal:absolute;mso-position-horizontal-relative:text;mso-position-vertical:absolute;mso-position-vertical-relative:text" o:allowincell="t" filled="f" strokeweight="0.5pt" stroked="f">
                <v:textbox inset="3mm,1mm,3mm,1mm">
                  <w:txbxContent>
                    <w:p>
                      <w:pPr>
                        <w:rPr>
                          <w:color w:val="FF0000"/>
                        </w:rPr>
                      </w:pPr>
                      <w:r>
                        <w:rPr>
                          <w:color w:val="FF0000"/>
                        </w:rPr>
                        <w:t>1972</w:t>
                        <w:br w:type="textWrapping"/>
                        <w:t xml:space="preserve">   C</w:t>
                      </w:r>
                    </w:p>
                  </w:txbxContent>
                </v:textbox>
              </v:shape>
            </w:pict>
          </mc:Fallback>
        </mc:AlternateContent>
      </w:r>
      <w:r>
        <w:rPr>
          <w:noProof w:val="1"/>
        </w:rPr>
        <mc:AlternateContent>
          <mc:Choice Requires="wps">
            <w:drawing>
              <wp:anchor xmlns:wp="http://schemas.openxmlformats.org/drawingml/2006/wordprocessingDrawing" distT="0" distB="0" distL="114300" distR="114300" simplePos="0" relativeHeight="18" behindDoc="0" locked="0" layoutInCell="1" allowOverlap="1">
                <wp:simplePos x="0" y="0"/>
                <wp:positionH relativeFrom="column">
                  <wp:posOffset>1689100</wp:posOffset>
                </wp:positionH>
                <wp:positionV relativeFrom="paragraph">
                  <wp:posOffset>381000</wp:posOffset>
                </wp:positionV>
                <wp:extent cx="487680" cy="252095"/>
                <wp:effectExtent l="0" t="0" r="0" b="7620"/>
                <wp:wrapNone/>
                <wp:docPr id="22" name="Textruta 22"/>
                <wp:cNvGraphicFramePr/>
                <a:graphic xmlns:a="http://schemas.openxmlformats.org/drawingml/2006/main">
                  <a:graphicData uri="http://schemas.microsoft.com/office/word/2010/wordprocessingShape">
                    <wps:wsp>
                      <wps:cNvSpPr txBox="1"/>
                      <wps:spPr>
                        <a:xfrm>
                          <a:off x="0" y="0"/>
                          <a:ext cx="488055" cy="252442"/>
                        </a:xfrm>
                        <a:prstGeom prst="rect"/>
                        <a:noFill/>
                        <a:ln w="6350">
                          <a:noFill/>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rPr>
                                <w:color w:val="FF0000"/>
                              </w:rPr>
                            </w:pPr>
                            <w:r>
                              <w:rPr>
                                <w:color w:val="FF0000"/>
                              </w:rPr>
                              <w:t>2021</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xmlns:o="urn:schemas-microsoft-com:office:office" type="#_x0000_t202" id="Textruta 22" o:spid="_x0000_s1032" style="position:absolute;width:38.4pt;height:19.85pt;z-index:18;mso-wrap-distance-left:9pt;mso-wrap-distance-top:0pt;mso-wrap-distance-right:9pt;mso-wrap-distance-bottom:0pt;margin-left:133pt;margin-top:30pt;mso-position-horizontal:absolute;mso-position-horizontal-relative:text;mso-position-vertical:absolute;mso-position-vertical-relative:text" o:allowincell="t" filled="f" strokeweight="0.5pt" stroked="f">
                <v:textbox inset="3mm,1mm,3mm,1mm">
                  <w:txbxContent>
                    <w:p>
                      <w:pPr>
                        <w:rPr>
                          <w:color w:val="FF0000"/>
                        </w:rPr>
                      </w:pPr>
                      <w:r>
                        <w:rPr>
                          <w:color w:val="FF0000"/>
                        </w:rPr>
                        <w:t>2021</w:t>
                      </w:r>
                    </w:p>
                  </w:txbxContent>
                </v:textbox>
              </v:shape>
            </w:pict>
          </mc:Fallback>
        </mc:AlternateContent>
      </w:r>
      <w:r>
        <w:rPr>
          <w:noProof w:val="1"/>
        </w:rPr>
        <w:t xml:space="preserve"> </w:t>
      </w:r>
      <w:r>
        <w:rPr>
          <w:noProof w:val="1"/>
        </w:rPr>
        <w:drawing>
          <wp:inline xmlns:wp="http://schemas.openxmlformats.org/drawingml/2006/wordprocessingDrawing" distT="0" distB="0" distL="0" distR="0">
            <wp:extent cx="3670300" cy="2528570"/>
            <wp:effectExtent l="0" t="0" r="6350" b="5080"/>
            <wp:docPr id="21" name="Bildobjekt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81"/>
                    <pic:cNvPicPr/>
                  </pic:nvPicPr>
                  <pic:blipFill dpi="0">
                    <a:blip xmlns:r="http://schemas.openxmlformats.org/officeDocument/2006/relationships" r:embed="Relimage11"/>
                    <a:srcRect/>
                    <a:stretch>
                      <a:fillRect/>
                    </a:stretch>
                  </pic:blipFill>
                  <pic:spPr>
                    <a:xfrm>
                      <a:off x="0" y="0"/>
                      <a:ext cx="3712748" cy="2558118"/>
                    </a:xfrm>
                    <a:prstGeom prst="rect"/>
                  </pic:spPr>
                </pic:pic>
              </a:graphicData>
            </a:graphic>
          </wp:inline>
        </w:drawing>
      </w:r>
      <w:r>
        <w:br w:type="textWrapping"/>
      </w:r>
      <w:r>
        <w:rPr>
          <w:i w:val="1"/>
          <w:iCs w:val="1"/>
          <w:sz w:val="18"/>
          <w:szCs w:val="18"/>
        </w:rPr>
        <w:t>Bild visar översikt över planområde med skolbyggnader har utskrivna år för uppförande.</w:t>
      </w:r>
    </w:p>
    <w:p>
      <w:r>
        <w:t xml:space="preserve">Den ena byggnaden med c-klassning är befintlig förskolan. Byggnaden som genom åren förändrats från boende till skola har sitt kulturhistoriska värde kopplat till sitt ursprungliga utseende/karaktär.  </w:t>
      </w:r>
    </w:p>
    <w:p>
      <w:r>
        <w:t xml:space="preserve">Bebyggelsen runt planområdet beskrivs som lokalt värdefull där husen längs Nygatan präglas av tidigt 1900-talsbebyggelse och Storgatan med historiska handelsbodar från 1800-talet och småskalig handel medan väster ut står stora villor från början av 1900-talet.  </w:t>
      </w:r>
    </w:p>
    <w:p>
      <w:pPr>
        <w:rPr>
          <w:b w:val="1"/>
          <w:i w:val="1"/>
        </w:rPr>
      </w:pPr>
      <w:bookmarkEnd w:id="76"/>
      <w:r>
        <w:rPr>
          <w:b w:val="1"/>
          <w:i w:val="1"/>
        </w:rPr>
        <w:t>Konsekvenser</w:t>
      </w:r>
    </w:p>
    <w:p>
      <w:pPr>
        <w:rPr>
          <w:highlight w:val="yellow"/>
        </w:rPr>
      </w:pPr>
      <w:bookmarkStart w:id="77" w:name="ko_annat01"/>
      <w:r>
        <w:t xml:space="preserve">Vid byggnation av ny skola kommer befintliga byggnader att rivas för att skapa plats för skolgård och ny skolbyggnad. Huvudbyggnaden kommer placeras ut mot Storgatan och ge ett annat uttryck i stadsmiljön än nuvarande skolbyggnader som ligger längre in på tomten. Skolan kommer till huvuddelen vara samlad i en byggnad där detaljplanen möjliggör högre höjd än befintliga byggnader. Även om den nya skolans huvudbyggnad kommer att bli större än befintlig sett till antal elever och inomhusytor kommer den uppta en mindre markyta vilket möjliggör mer plats för skolgård och andra ytor som är viktigt för skolans funktion. Förskolans kulturhistoriska värde är kopplat till sitt ursprungliga utseende/karaktär. Eftersom byggnaden är kraftigt förändrad sett från ursprunget och ligger inom ett område som är skolgård bedöms det inte finnas skäl att skydda byggnaden i planen. Den andra skolbyggnaden med c-klass är i dåligt skick och behöver ersättas med ny skola. </w:t>
      </w:r>
    </w:p>
    <w:p>
      <w:pPr>
        <w:pStyle w:val="P2"/>
      </w:pPr>
      <w:bookmarkEnd w:id="77"/>
      <w:bookmarkStart w:id="78" w:name="_Toc191546082"/>
      <w:r>
        <w:t>Service</w:t>
      </w:r>
      <w:bookmarkEnd w:id="78"/>
      <w:r>
        <w:t xml:space="preserve"> </w:t>
      </w:r>
    </w:p>
    <w:p>
      <w:bookmarkStart w:id="79" w:name="pf_fysiskmiljö03"/>
      <w:r>
        <w:t>Planområdet ligger ca 150 meter från Ödeshögs centrum. Närliggande högstadieskola Lysingsskolan ligger ca 200 meter från området. Inom detta område finns service i form av matbutik, restaurang, apotek m.m.</w:t>
      </w:r>
    </w:p>
    <w:p>
      <w:bookmarkEnd w:id="79"/>
    </w:p>
    <w:p/>
    <w:p>
      <w:pPr>
        <w:pStyle w:val="P2"/>
      </w:pPr>
      <w:bookmarkStart w:id="80" w:name="_Toc191546083"/>
      <w:r>
        <w:t>Natur och rekreation</w:t>
      </w:r>
      <w:bookmarkEnd w:id="80"/>
      <w:r>
        <w:t xml:space="preserve"> </w:t>
      </w:r>
    </w:p>
    <w:p>
      <w:bookmarkStart w:id="81" w:name="ko_natur03"/>
      <w:r>
        <w:t>Planområdet omfattar grusplaner, asfalterade ytor, lekplatser och gräsmattor i närheten av flera skolbyggnader. Det finns omkring 25 träd i området, främst björkar och lindar, men även lönn, körsbär, päron och hästkastanj bland andra. Området är relativt avskilt från platser med högre naturvärden som är kopplade till ensamt stående lövträd, de närmaste sådana platserna ligger drygt en kilometer bort i väster och söder. Området har inventerats (</w:t>
      </w:r>
      <w:r>
        <w:rPr>
          <w:i w:val="1"/>
          <w:iCs w:val="1"/>
        </w:rPr>
        <w:t>se Naturvärdesinventerig, Fennicus natur</w:t>
      </w:r>
      <w:r>
        <w:t xml:space="preserve">) och bedömts utifrån träd och arter i området. Utanför planområdet finns ett parkområde i direkt anslutning till skolan som delvis används som skolgård, detta område har även ingått i inventeringen. </w:t>
      </w:r>
    </w:p>
    <w:p>
      <w:r>
        <w:t xml:space="preserve">Vid inventeringen identifierades inga naturvärdesbiotoper men flera av träden bedömdes dock ha naturvärden (värdeelement). </w:t>
      </w:r>
    </w:p>
    <w:p>
      <w:pPr>
        <w:pStyle w:val="P3"/>
      </w:pPr>
      <w:bookmarkEnd w:id="81"/>
      <w:bookmarkStart w:id="82" w:name="_Toc191546084"/>
      <w:r>
        <w:t>Skyddsvärda träd</w:t>
      </w:r>
      <w:bookmarkEnd w:id="82"/>
    </w:p>
    <w:p>
      <w:bookmarkStart w:id="83" w:name="ko_natur02"/>
      <w:r>
        <w:t>Med värdeelement avses små områden eller avvikande företeelser som är av särskild betydelse för att bevara biologisk mångfald. Dessa kan inkludera gamla träd eller hålträd, men även murar, rösen, stora stenblock, små ytor med blottad sand eller ett litet vattenhål. Inom inventeringsområdet har flera träd identifierats som värdeelement. Fyra av dessa klassificeras som särskilt värdefulla enligt Naturvårdsverkets definition (tre grova hålträd och ett jätteträd). Värdeelementen redovisas på kartan och i tabellen nedan.</w:t>
      </w:r>
    </w:p>
    <w:p>
      <w:r>
        <w:rPr>
          <w:noProof w:val="1"/>
        </w:rPr>
        <w:drawing>
          <wp:inline xmlns:wp="http://schemas.openxmlformats.org/drawingml/2006/wordprocessingDrawing" distT="0" distB="0" distL="0" distR="0">
            <wp:extent cx="4679950" cy="3479800"/>
            <wp:effectExtent l="0" t="0" r="6350" b="6350"/>
            <wp:docPr id="16" name="Bildobjekt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82"/>
                    <pic:cNvPicPr/>
                  </pic:nvPicPr>
                  <pic:blipFill dpi="0">
                    <a:blip xmlns:r="http://schemas.openxmlformats.org/officeDocument/2006/relationships" r:embed="Relimage12"/>
                    <a:srcRect/>
                    <a:stretch>
                      <a:fillRect/>
                    </a:stretch>
                  </pic:blipFill>
                  <pic:spPr>
                    <a:xfrm>
                      <a:off x="0" y="0"/>
                      <a:ext cx="4679950" cy="3479800"/>
                    </a:xfrm>
                    <a:prstGeom prst="rect"/>
                  </pic:spPr>
                </pic:pic>
              </a:graphicData>
            </a:graphic>
          </wp:inline>
        </w:drawing>
      </w:r>
      <w:r>
        <w:br w:type="textWrapping"/>
      </w:r>
      <w:r>
        <w:rPr>
          <w:i w:val="1"/>
          <w:iCs w:val="1"/>
          <w:sz w:val="18"/>
          <w:szCs w:val="18"/>
        </w:rPr>
        <w:t>Bild visar särskilt skyddsvärda träd med röd prick och träd med visst naturvärde med grön prick.</w:t>
      </w:r>
    </w:p>
    <w:p/>
    <w:p/>
    <w:tbl>
      <w:tblPr>
        <w:tblStyle w:val="T7"/>
        <w:tblW w:w="0" w:type="auto"/>
        <w:tblLook w:val="04A0"/>
      </w:tblPr>
      <w:tblGrid/>
      <w:tr>
        <w:trPr>
          <w:trHeight w:hRule="atLeast" w:val="20"/>
        </w:trPr>
        <w:tc>
          <w:tcPr>
            <w:tcW w:w="708" w:type="dxa"/>
          </w:tcPr>
          <w:p>
            <w:pPr>
              <w:rPr>
                <w:sz w:val="16"/>
                <w:szCs w:val="16"/>
              </w:rPr>
            </w:pPr>
            <w:r>
              <w:rPr>
                <w:sz w:val="16"/>
                <w:szCs w:val="16"/>
              </w:rPr>
              <w:t>Nr</w:t>
            </w:r>
          </w:p>
        </w:tc>
        <w:tc>
          <w:tcPr>
            <w:tcW w:w="850" w:type="dxa"/>
          </w:tcPr>
          <w:p>
            <w:pPr>
              <w:rPr>
                <w:sz w:val="16"/>
                <w:szCs w:val="16"/>
              </w:rPr>
            </w:pPr>
            <w:r>
              <w:rPr>
                <w:sz w:val="16"/>
                <w:szCs w:val="16"/>
              </w:rPr>
              <w:t>Trädslag</w:t>
            </w:r>
          </w:p>
        </w:tc>
        <w:tc>
          <w:tcPr>
            <w:tcW w:w="2123" w:type="dxa"/>
          </w:tcPr>
          <w:p>
            <w:pPr>
              <w:rPr>
                <w:sz w:val="16"/>
                <w:szCs w:val="16"/>
              </w:rPr>
            </w:pPr>
            <w:r>
              <w:rPr>
                <w:sz w:val="16"/>
                <w:szCs w:val="16"/>
              </w:rPr>
              <w:t>Kategori</w:t>
            </w:r>
          </w:p>
        </w:tc>
        <w:tc>
          <w:tcPr>
            <w:tcW w:w="3679" w:type="dxa"/>
          </w:tcPr>
          <w:p>
            <w:pPr>
              <w:rPr>
                <w:sz w:val="16"/>
                <w:szCs w:val="16"/>
              </w:rPr>
            </w:pPr>
            <w:r>
              <w:rPr>
                <w:sz w:val="16"/>
                <w:szCs w:val="16"/>
              </w:rPr>
              <w:t>Bedömningsgrund</w:t>
            </w:r>
          </w:p>
        </w:tc>
      </w:tr>
      <w:tr>
        <w:trPr>
          <w:trHeight w:hRule="atLeast" w:val="20"/>
        </w:trPr>
        <w:tc>
          <w:tcPr>
            <w:tcW w:w="708" w:type="dxa"/>
          </w:tcPr>
          <w:p>
            <w:pPr>
              <w:rPr>
                <w:sz w:val="16"/>
                <w:szCs w:val="16"/>
              </w:rPr>
            </w:pPr>
            <w:r>
              <w:rPr>
                <w:sz w:val="16"/>
                <w:szCs w:val="16"/>
              </w:rPr>
              <w:t>1</w:t>
            </w:r>
          </w:p>
        </w:tc>
        <w:tc>
          <w:tcPr>
            <w:tcW w:w="850" w:type="dxa"/>
          </w:tcPr>
          <w:p>
            <w:pPr>
              <w:rPr>
                <w:sz w:val="16"/>
                <w:szCs w:val="16"/>
              </w:rPr>
            </w:pPr>
            <w:r>
              <w:rPr>
                <w:sz w:val="16"/>
                <w:szCs w:val="16"/>
              </w:rPr>
              <w:t>Björk</w:t>
            </w:r>
          </w:p>
        </w:tc>
        <w:tc>
          <w:tcPr>
            <w:tcW w:w="2123" w:type="dxa"/>
          </w:tcPr>
          <w:p>
            <w:pPr>
              <w:rPr>
                <w:sz w:val="16"/>
                <w:szCs w:val="16"/>
              </w:rPr>
            </w:pPr>
            <w:r>
              <w:rPr>
                <w:sz w:val="16"/>
                <w:szCs w:val="16"/>
              </w:rPr>
              <w:t>Särskilt skyddsvärt träd</w:t>
            </w:r>
          </w:p>
        </w:tc>
        <w:tc>
          <w:tcPr>
            <w:tcW w:w="3679" w:type="dxa"/>
          </w:tcPr>
          <w:p>
            <w:pPr>
              <w:rPr>
                <w:sz w:val="16"/>
                <w:szCs w:val="16"/>
              </w:rPr>
            </w:pPr>
            <w:r>
              <w:rPr>
                <w:sz w:val="16"/>
                <w:szCs w:val="16"/>
              </w:rPr>
              <w:t>Grovt hålträd</w:t>
            </w:r>
          </w:p>
        </w:tc>
      </w:tr>
      <w:tr>
        <w:trPr>
          <w:trHeight w:hRule="atLeast" w:val="20"/>
        </w:trPr>
        <w:tc>
          <w:tcPr>
            <w:tcW w:w="708" w:type="dxa"/>
          </w:tcPr>
          <w:p>
            <w:pPr>
              <w:rPr>
                <w:sz w:val="16"/>
                <w:szCs w:val="16"/>
              </w:rPr>
            </w:pPr>
            <w:r>
              <w:rPr>
                <w:sz w:val="16"/>
                <w:szCs w:val="16"/>
              </w:rPr>
              <w:t>2</w:t>
            </w:r>
          </w:p>
        </w:tc>
        <w:tc>
          <w:tcPr>
            <w:tcW w:w="850" w:type="dxa"/>
          </w:tcPr>
          <w:p>
            <w:pPr>
              <w:rPr>
                <w:sz w:val="16"/>
                <w:szCs w:val="16"/>
              </w:rPr>
            </w:pPr>
            <w:r>
              <w:rPr>
                <w:sz w:val="16"/>
                <w:szCs w:val="16"/>
              </w:rPr>
              <w:t>Bok</w:t>
            </w:r>
          </w:p>
        </w:tc>
        <w:tc>
          <w:tcPr>
            <w:tcW w:w="2123" w:type="dxa"/>
          </w:tcPr>
          <w:p>
            <w:pPr>
              <w:rPr>
                <w:sz w:val="16"/>
                <w:szCs w:val="16"/>
              </w:rPr>
            </w:pPr>
            <w:r>
              <w:rPr>
                <w:sz w:val="16"/>
                <w:szCs w:val="16"/>
              </w:rPr>
              <w:t>Särskilt skyddsvärt träd</w:t>
            </w:r>
          </w:p>
        </w:tc>
        <w:tc>
          <w:tcPr>
            <w:tcW w:w="3679" w:type="dxa"/>
          </w:tcPr>
          <w:p>
            <w:pPr>
              <w:rPr>
                <w:sz w:val="16"/>
                <w:szCs w:val="16"/>
              </w:rPr>
            </w:pPr>
            <w:r>
              <w:rPr>
                <w:sz w:val="16"/>
                <w:szCs w:val="16"/>
              </w:rPr>
              <w:t>Jätteträd</w:t>
            </w:r>
          </w:p>
        </w:tc>
      </w:tr>
      <w:tr>
        <w:trPr>
          <w:trHeight w:hRule="atLeast" w:val="20"/>
        </w:trPr>
        <w:tc>
          <w:tcPr>
            <w:tcW w:w="708" w:type="dxa"/>
          </w:tcPr>
          <w:p>
            <w:pPr>
              <w:rPr>
                <w:sz w:val="16"/>
                <w:szCs w:val="16"/>
              </w:rPr>
            </w:pPr>
            <w:r>
              <w:rPr>
                <w:sz w:val="16"/>
                <w:szCs w:val="16"/>
              </w:rPr>
              <w:t>3</w:t>
            </w:r>
          </w:p>
        </w:tc>
        <w:tc>
          <w:tcPr>
            <w:tcW w:w="850" w:type="dxa"/>
          </w:tcPr>
          <w:p>
            <w:pPr>
              <w:rPr>
                <w:sz w:val="16"/>
                <w:szCs w:val="16"/>
              </w:rPr>
            </w:pPr>
            <w:r>
              <w:rPr>
                <w:sz w:val="16"/>
                <w:szCs w:val="16"/>
              </w:rPr>
              <w:t>Björk</w:t>
            </w:r>
          </w:p>
        </w:tc>
        <w:tc>
          <w:tcPr>
            <w:tcW w:w="2123" w:type="dxa"/>
          </w:tcPr>
          <w:p>
            <w:pPr>
              <w:rPr>
                <w:sz w:val="16"/>
                <w:szCs w:val="16"/>
              </w:rPr>
            </w:pPr>
            <w:r>
              <w:rPr>
                <w:sz w:val="16"/>
                <w:szCs w:val="16"/>
              </w:rPr>
              <w:t>Särskilt skyddsvärt träd</w:t>
            </w:r>
          </w:p>
        </w:tc>
        <w:tc>
          <w:tcPr>
            <w:tcW w:w="3679" w:type="dxa"/>
          </w:tcPr>
          <w:p>
            <w:pPr>
              <w:rPr>
                <w:sz w:val="16"/>
                <w:szCs w:val="16"/>
              </w:rPr>
            </w:pPr>
            <w:r>
              <w:rPr>
                <w:sz w:val="16"/>
                <w:szCs w:val="16"/>
              </w:rPr>
              <w:t>Grovt hålträd</w:t>
            </w:r>
          </w:p>
        </w:tc>
      </w:tr>
      <w:tr>
        <w:trPr>
          <w:trHeight w:hRule="atLeast" w:val="20"/>
        </w:trPr>
        <w:tc>
          <w:tcPr>
            <w:tcW w:w="708" w:type="dxa"/>
          </w:tcPr>
          <w:p>
            <w:pPr>
              <w:rPr>
                <w:sz w:val="16"/>
                <w:szCs w:val="16"/>
              </w:rPr>
            </w:pPr>
            <w:r>
              <w:rPr>
                <w:sz w:val="16"/>
                <w:szCs w:val="16"/>
              </w:rPr>
              <w:t>4</w:t>
            </w:r>
          </w:p>
        </w:tc>
        <w:tc>
          <w:tcPr>
            <w:tcW w:w="850" w:type="dxa"/>
          </w:tcPr>
          <w:p>
            <w:pPr>
              <w:rPr>
                <w:sz w:val="16"/>
                <w:szCs w:val="16"/>
              </w:rPr>
            </w:pPr>
            <w:r>
              <w:rPr>
                <w:sz w:val="16"/>
                <w:szCs w:val="16"/>
              </w:rPr>
              <w:t>Björk</w:t>
            </w:r>
          </w:p>
        </w:tc>
        <w:tc>
          <w:tcPr>
            <w:tcW w:w="2123" w:type="dxa"/>
          </w:tcPr>
          <w:p>
            <w:pPr>
              <w:rPr>
                <w:sz w:val="16"/>
                <w:szCs w:val="16"/>
              </w:rPr>
            </w:pPr>
            <w:r>
              <w:rPr>
                <w:sz w:val="16"/>
                <w:szCs w:val="16"/>
              </w:rPr>
              <w:t>Särskilt skyddsvärt träd</w:t>
            </w:r>
          </w:p>
        </w:tc>
        <w:tc>
          <w:tcPr>
            <w:tcW w:w="3679" w:type="dxa"/>
          </w:tcPr>
          <w:p>
            <w:pPr>
              <w:rPr>
                <w:sz w:val="16"/>
                <w:szCs w:val="16"/>
              </w:rPr>
            </w:pPr>
            <w:r>
              <w:rPr>
                <w:sz w:val="16"/>
                <w:szCs w:val="16"/>
              </w:rPr>
              <w:t>Grovt hålträd</w:t>
            </w:r>
          </w:p>
        </w:tc>
      </w:tr>
      <w:tr>
        <w:trPr>
          <w:trHeight w:hRule="atLeast" w:val="20"/>
        </w:trPr>
        <w:tc>
          <w:tcPr>
            <w:tcW w:w="708" w:type="dxa"/>
          </w:tcPr>
          <w:p>
            <w:pPr>
              <w:rPr>
                <w:sz w:val="16"/>
                <w:szCs w:val="16"/>
              </w:rPr>
            </w:pPr>
            <w:r>
              <w:rPr>
                <w:sz w:val="16"/>
                <w:szCs w:val="16"/>
              </w:rPr>
              <w:t>5</w:t>
            </w:r>
          </w:p>
        </w:tc>
        <w:tc>
          <w:tcPr>
            <w:tcW w:w="850" w:type="dxa"/>
          </w:tcPr>
          <w:p>
            <w:pPr>
              <w:rPr>
                <w:sz w:val="16"/>
                <w:szCs w:val="16"/>
              </w:rPr>
            </w:pPr>
            <w:r>
              <w:rPr>
                <w:sz w:val="16"/>
                <w:szCs w:val="16"/>
              </w:rPr>
              <w:t>Lönn</w:t>
            </w:r>
          </w:p>
        </w:tc>
        <w:tc>
          <w:tcPr>
            <w:tcW w:w="2123" w:type="dxa"/>
          </w:tcPr>
          <w:p>
            <w:pPr>
              <w:rPr>
                <w:sz w:val="16"/>
                <w:szCs w:val="16"/>
              </w:rPr>
            </w:pPr>
            <w:r>
              <w:rPr>
                <w:sz w:val="16"/>
                <w:szCs w:val="16"/>
              </w:rPr>
              <w:t>Träd med visst värde</w:t>
            </w:r>
          </w:p>
        </w:tc>
        <w:tc>
          <w:tcPr>
            <w:tcW w:w="3679" w:type="dxa"/>
          </w:tcPr>
          <w:p>
            <w:pPr>
              <w:rPr>
                <w:sz w:val="16"/>
                <w:szCs w:val="16"/>
              </w:rPr>
            </w:pPr>
            <w:r>
              <w:rPr>
                <w:sz w:val="16"/>
                <w:szCs w:val="16"/>
              </w:rPr>
              <w:t>Hamlat (återkommande beskuret)</w:t>
            </w:r>
          </w:p>
        </w:tc>
      </w:tr>
      <w:tr>
        <w:trPr>
          <w:trHeight w:hRule="atLeast" w:val="20"/>
        </w:trPr>
        <w:tc>
          <w:tcPr>
            <w:tcW w:w="708" w:type="dxa"/>
          </w:tcPr>
          <w:p>
            <w:pPr>
              <w:rPr>
                <w:sz w:val="16"/>
                <w:szCs w:val="16"/>
              </w:rPr>
            </w:pPr>
            <w:r>
              <w:rPr>
                <w:sz w:val="16"/>
                <w:szCs w:val="16"/>
              </w:rPr>
              <w:t>6</w:t>
            </w:r>
          </w:p>
        </w:tc>
        <w:tc>
          <w:tcPr>
            <w:tcW w:w="850" w:type="dxa"/>
          </w:tcPr>
          <w:p>
            <w:pPr>
              <w:rPr>
                <w:sz w:val="16"/>
                <w:szCs w:val="16"/>
              </w:rPr>
            </w:pPr>
            <w:r>
              <w:rPr>
                <w:sz w:val="16"/>
                <w:szCs w:val="16"/>
              </w:rPr>
              <w:t>Lönn</w:t>
            </w:r>
          </w:p>
        </w:tc>
        <w:tc>
          <w:tcPr>
            <w:tcW w:w="2123" w:type="dxa"/>
          </w:tcPr>
          <w:p>
            <w:pPr>
              <w:rPr>
                <w:sz w:val="16"/>
                <w:szCs w:val="16"/>
              </w:rPr>
            </w:pPr>
            <w:r>
              <w:rPr>
                <w:sz w:val="16"/>
                <w:szCs w:val="16"/>
              </w:rPr>
              <w:t>Träd med visst värde</w:t>
            </w:r>
          </w:p>
        </w:tc>
        <w:tc>
          <w:tcPr>
            <w:tcW w:w="3679" w:type="dxa"/>
          </w:tcPr>
          <w:p>
            <w:pPr>
              <w:rPr>
                <w:sz w:val="16"/>
                <w:szCs w:val="16"/>
              </w:rPr>
            </w:pPr>
            <w:r>
              <w:rPr>
                <w:sz w:val="16"/>
                <w:szCs w:val="16"/>
              </w:rPr>
              <w:t>Hamlat (återkommande beskuret)</w:t>
            </w:r>
          </w:p>
        </w:tc>
      </w:tr>
      <w:tr>
        <w:trPr>
          <w:trHeight w:hRule="atLeast" w:val="20"/>
        </w:trPr>
        <w:tc>
          <w:tcPr>
            <w:tcW w:w="708" w:type="dxa"/>
          </w:tcPr>
          <w:p>
            <w:pPr>
              <w:rPr>
                <w:sz w:val="16"/>
                <w:szCs w:val="16"/>
              </w:rPr>
            </w:pPr>
            <w:r>
              <w:rPr>
                <w:sz w:val="16"/>
                <w:szCs w:val="16"/>
              </w:rPr>
              <w:t>7</w:t>
            </w:r>
          </w:p>
        </w:tc>
        <w:tc>
          <w:tcPr>
            <w:tcW w:w="850" w:type="dxa"/>
          </w:tcPr>
          <w:p>
            <w:pPr>
              <w:rPr>
                <w:sz w:val="16"/>
                <w:szCs w:val="16"/>
              </w:rPr>
            </w:pPr>
            <w:r>
              <w:rPr>
                <w:sz w:val="16"/>
                <w:szCs w:val="16"/>
              </w:rPr>
              <w:t>Lönn</w:t>
            </w:r>
          </w:p>
        </w:tc>
        <w:tc>
          <w:tcPr>
            <w:tcW w:w="2123" w:type="dxa"/>
          </w:tcPr>
          <w:p>
            <w:pPr>
              <w:rPr>
                <w:sz w:val="16"/>
                <w:szCs w:val="16"/>
              </w:rPr>
            </w:pPr>
            <w:r>
              <w:rPr>
                <w:sz w:val="16"/>
                <w:szCs w:val="16"/>
              </w:rPr>
              <w:t>Träd med visst värde</w:t>
            </w:r>
          </w:p>
        </w:tc>
        <w:tc>
          <w:tcPr>
            <w:tcW w:w="3679" w:type="dxa"/>
          </w:tcPr>
          <w:p>
            <w:pPr>
              <w:rPr>
                <w:sz w:val="16"/>
                <w:szCs w:val="16"/>
              </w:rPr>
            </w:pPr>
            <w:r>
              <w:rPr>
                <w:sz w:val="16"/>
                <w:szCs w:val="16"/>
              </w:rPr>
              <w:t>Hamlat (återkommande beskuret)</w:t>
            </w:r>
          </w:p>
        </w:tc>
      </w:tr>
      <w:tr>
        <w:trPr>
          <w:trHeight w:hRule="atLeast" w:val="20"/>
        </w:trPr>
        <w:tc>
          <w:tcPr>
            <w:tcW w:w="708" w:type="dxa"/>
          </w:tcPr>
          <w:p>
            <w:pPr>
              <w:rPr>
                <w:sz w:val="16"/>
                <w:szCs w:val="16"/>
              </w:rPr>
            </w:pPr>
            <w:r>
              <w:rPr>
                <w:sz w:val="16"/>
                <w:szCs w:val="16"/>
              </w:rPr>
              <w:t>8</w:t>
            </w:r>
          </w:p>
        </w:tc>
        <w:tc>
          <w:tcPr>
            <w:tcW w:w="850" w:type="dxa"/>
          </w:tcPr>
          <w:p>
            <w:pPr>
              <w:rPr>
                <w:sz w:val="16"/>
                <w:szCs w:val="16"/>
              </w:rPr>
            </w:pPr>
            <w:r>
              <w:rPr>
                <w:sz w:val="16"/>
                <w:szCs w:val="16"/>
              </w:rPr>
              <w:t>Päron</w:t>
            </w:r>
          </w:p>
        </w:tc>
        <w:tc>
          <w:tcPr>
            <w:tcW w:w="2123" w:type="dxa"/>
          </w:tcPr>
          <w:p>
            <w:pPr>
              <w:rPr>
                <w:sz w:val="16"/>
                <w:szCs w:val="16"/>
              </w:rPr>
            </w:pPr>
            <w:r>
              <w:rPr>
                <w:sz w:val="16"/>
                <w:szCs w:val="16"/>
              </w:rPr>
              <w:t>Träd med visst värde</w:t>
            </w:r>
          </w:p>
        </w:tc>
        <w:tc>
          <w:tcPr>
            <w:tcW w:w="3679" w:type="dxa"/>
          </w:tcPr>
          <w:p>
            <w:pPr>
              <w:rPr>
                <w:sz w:val="16"/>
                <w:szCs w:val="16"/>
              </w:rPr>
            </w:pPr>
            <w:r>
              <w:rPr>
                <w:sz w:val="16"/>
                <w:szCs w:val="16"/>
              </w:rPr>
              <w:t>Begynnande hål</w:t>
            </w:r>
          </w:p>
        </w:tc>
      </w:tr>
      <w:tr>
        <w:trPr>
          <w:trHeight w:hRule="atLeast" w:val="20"/>
        </w:trPr>
        <w:tc>
          <w:tcPr>
            <w:tcW w:w="708" w:type="dxa"/>
          </w:tcPr>
          <w:p>
            <w:pPr>
              <w:rPr>
                <w:sz w:val="16"/>
                <w:szCs w:val="16"/>
              </w:rPr>
            </w:pPr>
            <w:r>
              <w:rPr>
                <w:sz w:val="16"/>
                <w:szCs w:val="16"/>
              </w:rPr>
              <w:t>9</w:t>
            </w:r>
          </w:p>
        </w:tc>
        <w:tc>
          <w:tcPr>
            <w:tcW w:w="850" w:type="dxa"/>
          </w:tcPr>
          <w:p>
            <w:pPr>
              <w:rPr>
                <w:sz w:val="16"/>
                <w:szCs w:val="16"/>
              </w:rPr>
            </w:pPr>
            <w:r>
              <w:rPr>
                <w:sz w:val="16"/>
                <w:szCs w:val="16"/>
              </w:rPr>
              <w:t>Körsbär</w:t>
            </w:r>
          </w:p>
        </w:tc>
        <w:tc>
          <w:tcPr>
            <w:tcW w:w="2123" w:type="dxa"/>
          </w:tcPr>
          <w:p>
            <w:pPr>
              <w:rPr>
                <w:sz w:val="16"/>
                <w:szCs w:val="16"/>
              </w:rPr>
            </w:pPr>
            <w:r>
              <w:rPr>
                <w:sz w:val="16"/>
                <w:szCs w:val="16"/>
              </w:rPr>
              <w:t>Träd med visst värde</w:t>
            </w:r>
          </w:p>
        </w:tc>
        <w:tc>
          <w:tcPr>
            <w:tcW w:w="3679" w:type="dxa"/>
          </w:tcPr>
          <w:p>
            <w:pPr>
              <w:rPr>
                <w:sz w:val="16"/>
                <w:szCs w:val="16"/>
              </w:rPr>
            </w:pPr>
            <w:r>
              <w:rPr>
                <w:sz w:val="16"/>
                <w:szCs w:val="16"/>
              </w:rPr>
              <w:t>Klent hålträd (basal hålighet)</w:t>
            </w:r>
          </w:p>
        </w:tc>
      </w:tr>
      <w:tr>
        <w:trPr>
          <w:trHeight w:hRule="atLeast" w:val="20"/>
        </w:trPr>
        <w:tc>
          <w:tcPr>
            <w:tcW w:w="708" w:type="dxa"/>
          </w:tcPr>
          <w:p>
            <w:pPr>
              <w:rPr>
                <w:sz w:val="16"/>
                <w:szCs w:val="16"/>
              </w:rPr>
            </w:pPr>
            <w:r>
              <w:rPr>
                <w:sz w:val="16"/>
                <w:szCs w:val="16"/>
              </w:rPr>
              <w:t>10</w:t>
            </w:r>
          </w:p>
        </w:tc>
        <w:tc>
          <w:tcPr>
            <w:tcW w:w="850" w:type="dxa"/>
          </w:tcPr>
          <w:p>
            <w:pPr>
              <w:rPr>
                <w:sz w:val="16"/>
                <w:szCs w:val="16"/>
              </w:rPr>
            </w:pPr>
            <w:r>
              <w:rPr>
                <w:sz w:val="16"/>
                <w:szCs w:val="16"/>
              </w:rPr>
              <w:t>Lind</w:t>
            </w:r>
          </w:p>
        </w:tc>
        <w:tc>
          <w:tcPr>
            <w:tcW w:w="2123" w:type="dxa"/>
          </w:tcPr>
          <w:p>
            <w:pPr>
              <w:rPr>
                <w:sz w:val="16"/>
                <w:szCs w:val="16"/>
              </w:rPr>
            </w:pPr>
            <w:r>
              <w:rPr>
                <w:sz w:val="16"/>
                <w:szCs w:val="16"/>
              </w:rPr>
              <w:t>Träd med visst värde</w:t>
            </w:r>
          </w:p>
        </w:tc>
        <w:tc>
          <w:tcPr>
            <w:tcW w:w="3679" w:type="dxa"/>
          </w:tcPr>
          <w:p>
            <w:pPr>
              <w:rPr>
                <w:sz w:val="16"/>
                <w:szCs w:val="16"/>
              </w:rPr>
            </w:pPr>
            <w:r>
              <w:rPr>
                <w:sz w:val="16"/>
                <w:szCs w:val="16"/>
              </w:rPr>
              <w:t>Hamlat (återkommande beskuret)</w:t>
            </w:r>
          </w:p>
        </w:tc>
      </w:tr>
      <w:tr>
        <w:trPr>
          <w:trHeight w:hRule="atLeast" w:val="20"/>
        </w:trPr>
        <w:tc>
          <w:tcPr>
            <w:tcW w:w="708" w:type="dxa"/>
          </w:tcPr>
          <w:p>
            <w:pPr>
              <w:rPr>
                <w:sz w:val="16"/>
                <w:szCs w:val="16"/>
              </w:rPr>
            </w:pPr>
            <w:r>
              <w:rPr>
                <w:sz w:val="16"/>
                <w:szCs w:val="16"/>
              </w:rPr>
              <w:t>11</w:t>
            </w:r>
          </w:p>
        </w:tc>
        <w:tc>
          <w:tcPr>
            <w:tcW w:w="850" w:type="dxa"/>
          </w:tcPr>
          <w:p>
            <w:pPr>
              <w:rPr>
                <w:sz w:val="16"/>
                <w:szCs w:val="16"/>
              </w:rPr>
            </w:pPr>
            <w:r>
              <w:rPr>
                <w:sz w:val="16"/>
                <w:szCs w:val="16"/>
              </w:rPr>
              <w:t>Lins</w:t>
            </w:r>
          </w:p>
        </w:tc>
        <w:tc>
          <w:tcPr>
            <w:tcW w:w="2123" w:type="dxa"/>
          </w:tcPr>
          <w:p>
            <w:pPr>
              <w:rPr>
                <w:sz w:val="16"/>
                <w:szCs w:val="16"/>
              </w:rPr>
            </w:pPr>
            <w:r>
              <w:rPr>
                <w:sz w:val="16"/>
                <w:szCs w:val="16"/>
              </w:rPr>
              <w:t>Träd med visst värde</w:t>
            </w:r>
          </w:p>
        </w:tc>
        <w:tc>
          <w:tcPr>
            <w:tcW w:w="3679" w:type="dxa"/>
          </w:tcPr>
          <w:p>
            <w:pPr>
              <w:rPr>
                <w:sz w:val="16"/>
                <w:szCs w:val="16"/>
              </w:rPr>
            </w:pPr>
            <w:r>
              <w:rPr>
                <w:sz w:val="16"/>
                <w:szCs w:val="16"/>
              </w:rPr>
              <w:t>Hamlat (återkommande beskuret)</w:t>
            </w:r>
          </w:p>
        </w:tc>
      </w:tr>
      <w:tr>
        <w:trPr>
          <w:trHeight w:hRule="atLeast" w:val="20"/>
        </w:trPr>
        <w:tc>
          <w:tcPr>
            <w:tcW w:w="708" w:type="dxa"/>
          </w:tcPr>
          <w:p>
            <w:pPr>
              <w:rPr>
                <w:sz w:val="16"/>
                <w:szCs w:val="16"/>
              </w:rPr>
            </w:pPr>
            <w:r>
              <w:rPr>
                <w:sz w:val="16"/>
                <w:szCs w:val="16"/>
              </w:rPr>
              <w:t>12</w:t>
            </w:r>
          </w:p>
        </w:tc>
        <w:tc>
          <w:tcPr>
            <w:tcW w:w="850" w:type="dxa"/>
          </w:tcPr>
          <w:p>
            <w:pPr>
              <w:rPr>
                <w:sz w:val="16"/>
                <w:szCs w:val="16"/>
              </w:rPr>
            </w:pPr>
            <w:r>
              <w:rPr>
                <w:sz w:val="16"/>
                <w:szCs w:val="16"/>
              </w:rPr>
              <w:t xml:space="preserve">Björk </w:t>
            </w:r>
          </w:p>
        </w:tc>
        <w:tc>
          <w:tcPr>
            <w:tcW w:w="2123" w:type="dxa"/>
          </w:tcPr>
          <w:p>
            <w:pPr>
              <w:rPr>
                <w:sz w:val="16"/>
                <w:szCs w:val="16"/>
              </w:rPr>
            </w:pPr>
            <w:r>
              <w:rPr>
                <w:sz w:val="16"/>
                <w:szCs w:val="16"/>
              </w:rPr>
              <w:t>Träd med visst värde</w:t>
            </w:r>
          </w:p>
        </w:tc>
        <w:tc>
          <w:tcPr>
            <w:tcW w:w="3679" w:type="dxa"/>
          </w:tcPr>
          <w:p>
            <w:pPr>
              <w:rPr>
                <w:sz w:val="16"/>
                <w:szCs w:val="16"/>
              </w:rPr>
            </w:pPr>
            <w:r>
              <w:rPr>
                <w:sz w:val="16"/>
                <w:szCs w:val="16"/>
              </w:rPr>
              <w:t>Begynnande hål</w:t>
            </w:r>
          </w:p>
        </w:tc>
      </w:tr>
      <w:tr>
        <w:trPr>
          <w:trHeight w:hRule="atLeast" w:val="20"/>
        </w:trPr>
        <w:tc>
          <w:tcPr>
            <w:tcW w:w="708" w:type="dxa"/>
          </w:tcPr>
          <w:p>
            <w:pPr>
              <w:rPr>
                <w:sz w:val="16"/>
                <w:szCs w:val="16"/>
              </w:rPr>
            </w:pPr>
            <w:r>
              <w:rPr>
                <w:sz w:val="16"/>
                <w:szCs w:val="16"/>
              </w:rPr>
              <w:t>13</w:t>
            </w:r>
          </w:p>
        </w:tc>
        <w:tc>
          <w:tcPr>
            <w:tcW w:w="850" w:type="dxa"/>
          </w:tcPr>
          <w:p>
            <w:pPr>
              <w:rPr>
                <w:sz w:val="16"/>
                <w:szCs w:val="16"/>
              </w:rPr>
            </w:pPr>
            <w:r>
              <w:rPr>
                <w:sz w:val="16"/>
                <w:szCs w:val="16"/>
              </w:rPr>
              <w:t>Päron</w:t>
            </w:r>
          </w:p>
        </w:tc>
        <w:tc>
          <w:tcPr>
            <w:tcW w:w="2123" w:type="dxa"/>
          </w:tcPr>
          <w:p>
            <w:pPr>
              <w:rPr>
                <w:sz w:val="16"/>
                <w:szCs w:val="16"/>
              </w:rPr>
            </w:pPr>
            <w:r>
              <w:rPr>
                <w:sz w:val="16"/>
                <w:szCs w:val="16"/>
              </w:rPr>
              <w:t>Träd med visst värde</w:t>
            </w:r>
          </w:p>
        </w:tc>
        <w:tc>
          <w:tcPr>
            <w:tcW w:w="3679" w:type="dxa"/>
          </w:tcPr>
          <w:p>
            <w:pPr>
              <w:rPr>
                <w:sz w:val="16"/>
                <w:szCs w:val="16"/>
              </w:rPr>
            </w:pPr>
            <w:r>
              <w:rPr>
                <w:sz w:val="16"/>
                <w:szCs w:val="16"/>
              </w:rPr>
              <w:t>Klent hålträd</w:t>
            </w:r>
          </w:p>
        </w:tc>
      </w:tr>
      <w:tr>
        <w:trPr>
          <w:trHeight w:hRule="atLeast" w:val="20"/>
        </w:trPr>
        <w:tc>
          <w:tcPr>
            <w:tcW w:w="708" w:type="dxa"/>
          </w:tcPr>
          <w:p>
            <w:pPr>
              <w:rPr>
                <w:sz w:val="16"/>
                <w:szCs w:val="16"/>
              </w:rPr>
            </w:pPr>
            <w:r>
              <w:rPr>
                <w:sz w:val="16"/>
                <w:szCs w:val="16"/>
              </w:rPr>
              <w:t>14</w:t>
            </w:r>
          </w:p>
        </w:tc>
        <w:tc>
          <w:tcPr>
            <w:tcW w:w="850" w:type="dxa"/>
          </w:tcPr>
          <w:p>
            <w:pPr>
              <w:rPr>
                <w:sz w:val="16"/>
                <w:szCs w:val="16"/>
              </w:rPr>
            </w:pPr>
            <w:r>
              <w:rPr>
                <w:sz w:val="16"/>
                <w:szCs w:val="16"/>
              </w:rPr>
              <w:t>Lind</w:t>
            </w:r>
          </w:p>
        </w:tc>
        <w:tc>
          <w:tcPr>
            <w:tcW w:w="2123" w:type="dxa"/>
          </w:tcPr>
          <w:p>
            <w:pPr>
              <w:rPr>
                <w:sz w:val="16"/>
                <w:szCs w:val="16"/>
              </w:rPr>
            </w:pPr>
            <w:r>
              <w:rPr>
                <w:sz w:val="16"/>
                <w:szCs w:val="16"/>
              </w:rPr>
              <w:t>Träd med visst värde</w:t>
            </w:r>
          </w:p>
        </w:tc>
        <w:tc>
          <w:tcPr>
            <w:tcW w:w="3679" w:type="dxa"/>
          </w:tcPr>
          <w:p>
            <w:pPr>
              <w:rPr>
                <w:sz w:val="16"/>
                <w:szCs w:val="16"/>
              </w:rPr>
            </w:pPr>
            <w:r>
              <w:rPr>
                <w:sz w:val="16"/>
                <w:szCs w:val="16"/>
              </w:rPr>
              <w:t>Hamlat (återkommande beskuret)</w:t>
            </w:r>
          </w:p>
        </w:tc>
      </w:tr>
      <w:tr>
        <w:trPr>
          <w:trHeight w:hRule="atLeast" w:val="20"/>
        </w:trPr>
        <w:tc>
          <w:tcPr>
            <w:tcW w:w="708" w:type="dxa"/>
          </w:tcPr>
          <w:p>
            <w:pPr>
              <w:rPr>
                <w:sz w:val="16"/>
                <w:szCs w:val="16"/>
              </w:rPr>
            </w:pPr>
            <w:r>
              <w:rPr>
                <w:sz w:val="16"/>
                <w:szCs w:val="16"/>
              </w:rPr>
              <w:t>15</w:t>
            </w:r>
          </w:p>
        </w:tc>
        <w:tc>
          <w:tcPr>
            <w:tcW w:w="850" w:type="dxa"/>
          </w:tcPr>
          <w:p>
            <w:pPr>
              <w:rPr>
                <w:sz w:val="16"/>
                <w:szCs w:val="16"/>
              </w:rPr>
            </w:pPr>
            <w:r>
              <w:rPr>
                <w:sz w:val="16"/>
                <w:szCs w:val="16"/>
              </w:rPr>
              <w:t>Lind</w:t>
            </w:r>
          </w:p>
        </w:tc>
        <w:tc>
          <w:tcPr>
            <w:tcW w:w="2123" w:type="dxa"/>
          </w:tcPr>
          <w:p>
            <w:pPr>
              <w:rPr>
                <w:sz w:val="16"/>
                <w:szCs w:val="16"/>
              </w:rPr>
            </w:pPr>
            <w:r>
              <w:rPr>
                <w:sz w:val="16"/>
                <w:szCs w:val="16"/>
              </w:rPr>
              <w:t>Träd med visst värde</w:t>
            </w:r>
          </w:p>
        </w:tc>
        <w:tc>
          <w:tcPr>
            <w:tcW w:w="3679" w:type="dxa"/>
          </w:tcPr>
          <w:p>
            <w:pPr>
              <w:rPr>
                <w:sz w:val="16"/>
                <w:szCs w:val="16"/>
              </w:rPr>
            </w:pPr>
            <w:r>
              <w:rPr>
                <w:sz w:val="16"/>
                <w:szCs w:val="16"/>
              </w:rPr>
              <w:t>Hamlat (återkommande beskuret)</w:t>
            </w:r>
          </w:p>
        </w:tc>
      </w:tr>
      <w:tr>
        <w:trPr>
          <w:trHeight w:hRule="atLeast" w:val="20"/>
        </w:trPr>
        <w:tc>
          <w:tcPr>
            <w:tcW w:w="708" w:type="dxa"/>
          </w:tcPr>
          <w:p>
            <w:pPr>
              <w:rPr>
                <w:sz w:val="16"/>
                <w:szCs w:val="16"/>
              </w:rPr>
            </w:pPr>
            <w:r>
              <w:rPr>
                <w:sz w:val="16"/>
                <w:szCs w:val="16"/>
              </w:rPr>
              <w:t>16</w:t>
            </w:r>
          </w:p>
        </w:tc>
        <w:tc>
          <w:tcPr>
            <w:tcW w:w="850" w:type="dxa"/>
          </w:tcPr>
          <w:p>
            <w:pPr>
              <w:rPr>
                <w:sz w:val="16"/>
                <w:szCs w:val="16"/>
              </w:rPr>
            </w:pPr>
            <w:r>
              <w:rPr>
                <w:sz w:val="16"/>
                <w:szCs w:val="16"/>
              </w:rPr>
              <w:t>Lind</w:t>
            </w:r>
          </w:p>
        </w:tc>
        <w:tc>
          <w:tcPr>
            <w:tcW w:w="2123" w:type="dxa"/>
          </w:tcPr>
          <w:p>
            <w:pPr>
              <w:rPr>
                <w:sz w:val="16"/>
                <w:szCs w:val="16"/>
              </w:rPr>
            </w:pPr>
            <w:r>
              <w:rPr>
                <w:sz w:val="16"/>
                <w:szCs w:val="16"/>
              </w:rPr>
              <w:t>Träd med visst värde</w:t>
            </w:r>
          </w:p>
        </w:tc>
        <w:tc>
          <w:tcPr>
            <w:tcW w:w="3679" w:type="dxa"/>
          </w:tcPr>
          <w:p>
            <w:pPr>
              <w:rPr>
                <w:sz w:val="16"/>
                <w:szCs w:val="16"/>
              </w:rPr>
            </w:pPr>
            <w:r>
              <w:rPr>
                <w:sz w:val="16"/>
                <w:szCs w:val="16"/>
              </w:rPr>
              <w:t>Hamlat (återkommande beskuret)</w:t>
            </w:r>
          </w:p>
        </w:tc>
      </w:tr>
      <w:tr>
        <w:trPr>
          <w:trHeight w:hRule="atLeast" w:val="20"/>
        </w:trPr>
        <w:tc>
          <w:tcPr>
            <w:tcW w:w="708" w:type="dxa"/>
          </w:tcPr>
          <w:p>
            <w:pPr>
              <w:rPr>
                <w:sz w:val="16"/>
                <w:szCs w:val="16"/>
              </w:rPr>
            </w:pPr>
            <w:r>
              <w:rPr>
                <w:sz w:val="16"/>
                <w:szCs w:val="16"/>
              </w:rPr>
              <w:t>17</w:t>
            </w:r>
          </w:p>
        </w:tc>
        <w:tc>
          <w:tcPr>
            <w:tcW w:w="850" w:type="dxa"/>
          </w:tcPr>
          <w:p>
            <w:pPr>
              <w:rPr>
                <w:sz w:val="16"/>
                <w:szCs w:val="16"/>
              </w:rPr>
            </w:pPr>
            <w:r>
              <w:rPr>
                <w:sz w:val="16"/>
                <w:szCs w:val="16"/>
              </w:rPr>
              <w:t>Lind</w:t>
            </w:r>
          </w:p>
        </w:tc>
        <w:tc>
          <w:tcPr>
            <w:tcW w:w="2123" w:type="dxa"/>
          </w:tcPr>
          <w:p>
            <w:pPr>
              <w:rPr>
                <w:sz w:val="16"/>
                <w:szCs w:val="16"/>
              </w:rPr>
            </w:pPr>
            <w:r>
              <w:rPr>
                <w:sz w:val="16"/>
                <w:szCs w:val="16"/>
              </w:rPr>
              <w:t>Träd med visst värde</w:t>
            </w:r>
          </w:p>
        </w:tc>
        <w:tc>
          <w:tcPr>
            <w:tcW w:w="3679" w:type="dxa"/>
          </w:tcPr>
          <w:p>
            <w:pPr>
              <w:rPr>
                <w:sz w:val="16"/>
                <w:szCs w:val="16"/>
              </w:rPr>
            </w:pPr>
            <w:r>
              <w:rPr>
                <w:sz w:val="16"/>
                <w:szCs w:val="16"/>
              </w:rPr>
              <w:t>Hamlat (återkommande beskuret)</w:t>
            </w:r>
          </w:p>
        </w:tc>
      </w:tr>
      <w:tr>
        <w:trPr>
          <w:trHeight w:hRule="atLeast" w:val="20"/>
        </w:trPr>
        <w:tc>
          <w:tcPr>
            <w:tcW w:w="708" w:type="dxa"/>
          </w:tcPr>
          <w:p>
            <w:pPr>
              <w:rPr>
                <w:sz w:val="16"/>
                <w:szCs w:val="16"/>
              </w:rPr>
            </w:pPr>
            <w:r>
              <w:rPr>
                <w:sz w:val="16"/>
                <w:szCs w:val="16"/>
              </w:rPr>
              <w:t>18</w:t>
            </w:r>
          </w:p>
        </w:tc>
        <w:tc>
          <w:tcPr>
            <w:tcW w:w="850" w:type="dxa"/>
          </w:tcPr>
          <w:p>
            <w:pPr>
              <w:rPr>
                <w:sz w:val="16"/>
                <w:szCs w:val="16"/>
              </w:rPr>
            </w:pPr>
            <w:r>
              <w:rPr>
                <w:sz w:val="16"/>
                <w:szCs w:val="16"/>
              </w:rPr>
              <w:t>Lind</w:t>
            </w:r>
          </w:p>
        </w:tc>
        <w:tc>
          <w:tcPr>
            <w:tcW w:w="2123" w:type="dxa"/>
          </w:tcPr>
          <w:p>
            <w:pPr>
              <w:rPr>
                <w:sz w:val="16"/>
                <w:szCs w:val="16"/>
              </w:rPr>
            </w:pPr>
            <w:r>
              <w:rPr>
                <w:sz w:val="16"/>
                <w:szCs w:val="16"/>
              </w:rPr>
              <w:t>Träd med visst värde</w:t>
            </w:r>
          </w:p>
        </w:tc>
        <w:tc>
          <w:tcPr>
            <w:tcW w:w="3679" w:type="dxa"/>
          </w:tcPr>
          <w:p>
            <w:pPr>
              <w:rPr>
                <w:sz w:val="16"/>
                <w:szCs w:val="16"/>
              </w:rPr>
            </w:pPr>
            <w:r>
              <w:rPr>
                <w:sz w:val="16"/>
                <w:szCs w:val="16"/>
              </w:rPr>
              <w:t>Hamlat (återkommande beskuret)</w:t>
            </w:r>
          </w:p>
        </w:tc>
      </w:tr>
      <w:tr>
        <w:trPr>
          <w:trHeight w:hRule="atLeast" w:val="20"/>
        </w:trPr>
        <w:tc>
          <w:tcPr>
            <w:tcW w:w="708" w:type="dxa"/>
          </w:tcPr>
          <w:p>
            <w:pPr>
              <w:rPr>
                <w:sz w:val="16"/>
                <w:szCs w:val="16"/>
              </w:rPr>
            </w:pPr>
            <w:r>
              <w:rPr>
                <w:sz w:val="16"/>
                <w:szCs w:val="16"/>
              </w:rPr>
              <w:t>19</w:t>
            </w:r>
          </w:p>
        </w:tc>
        <w:tc>
          <w:tcPr>
            <w:tcW w:w="850" w:type="dxa"/>
          </w:tcPr>
          <w:p>
            <w:pPr>
              <w:rPr>
                <w:sz w:val="16"/>
                <w:szCs w:val="16"/>
              </w:rPr>
            </w:pPr>
            <w:r>
              <w:rPr>
                <w:sz w:val="16"/>
                <w:szCs w:val="16"/>
              </w:rPr>
              <w:t>Lind</w:t>
            </w:r>
          </w:p>
        </w:tc>
        <w:tc>
          <w:tcPr>
            <w:tcW w:w="2123" w:type="dxa"/>
          </w:tcPr>
          <w:p>
            <w:pPr>
              <w:rPr>
                <w:sz w:val="16"/>
                <w:szCs w:val="16"/>
              </w:rPr>
            </w:pPr>
            <w:r>
              <w:rPr>
                <w:sz w:val="16"/>
                <w:szCs w:val="16"/>
              </w:rPr>
              <w:t>Träd med visst värde</w:t>
            </w:r>
          </w:p>
        </w:tc>
        <w:tc>
          <w:tcPr>
            <w:tcW w:w="3679" w:type="dxa"/>
          </w:tcPr>
          <w:p>
            <w:pPr>
              <w:rPr>
                <w:sz w:val="16"/>
                <w:szCs w:val="16"/>
              </w:rPr>
            </w:pPr>
            <w:r>
              <w:rPr>
                <w:sz w:val="16"/>
                <w:szCs w:val="16"/>
              </w:rPr>
              <w:t>Hamlat (återkommande beskuret)</w:t>
            </w:r>
          </w:p>
        </w:tc>
      </w:tr>
      <w:tr>
        <w:trPr>
          <w:trHeight w:hRule="atLeast" w:val="20"/>
        </w:trPr>
        <w:tc>
          <w:tcPr>
            <w:tcW w:w="708" w:type="dxa"/>
          </w:tcPr>
          <w:p>
            <w:pPr>
              <w:rPr>
                <w:sz w:val="16"/>
                <w:szCs w:val="16"/>
              </w:rPr>
            </w:pPr>
            <w:r>
              <w:rPr>
                <w:sz w:val="16"/>
                <w:szCs w:val="16"/>
              </w:rPr>
              <w:t>20</w:t>
            </w:r>
          </w:p>
        </w:tc>
        <w:tc>
          <w:tcPr>
            <w:tcW w:w="850" w:type="dxa"/>
          </w:tcPr>
          <w:p>
            <w:pPr>
              <w:rPr>
                <w:sz w:val="16"/>
                <w:szCs w:val="16"/>
              </w:rPr>
            </w:pPr>
            <w:r>
              <w:rPr>
                <w:sz w:val="16"/>
                <w:szCs w:val="16"/>
              </w:rPr>
              <w:t>Lind</w:t>
            </w:r>
          </w:p>
        </w:tc>
        <w:tc>
          <w:tcPr>
            <w:tcW w:w="2123" w:type="dxa"/>
          </w:tcPr>
          <w:p>
            <w:pPr>
              <w:rPr>
                <w:sz w:val="16"/>
                <w:szCs w:val="16"/>
              </w:rPr>
            </w:pPr>
            <w:r>
              <w:rPr>
                <w:sz w:val="16"/>
                <w:szCs w:val="16"/>
              </w:rPr>
              <w:t>Träd med visst värde</w:t>
            </w:r>
          </w:p>
        </w:tc>
        <w:tc>
          <w:tcPr>
            <w:tcW w:w="3679" w:type="dxa"/>
          </w:tcPr>
          <w:p>
            <w:pPr>
              <w:rPr>
                <w:sz w:val="16"/>
                <w:szCs w:val="16"/>
              </w:rPr>
            </w:pPr>
            <w:r>
              <w:rPr>
                <w:sz w:val="16"/>
                <w:szCs w:val="16"/>
              </w:rPr>
              <w:t>Hamlat (återkommande beskuret)</w:t>
            </w:r>
          </w:p>
        </w:tc>
      </w:tr>
      <w:tr>
        <w:trPr>
          <w:trHeight w:hRule="atLeast" w:val="20"/>
        </w:trPr>
        <w:tc>
          <w:tcPr>
            <w:tcW w:w="708" w:type="dxa"/>
          </w:tcPr>
          <w:p>
            <w:pPr>
              <w:rPr>
                <w:sz w:val="16"/>
                <w:szCs w:val="16"/>
              </w:rPr>
            </w:pPr>
            <w:r>
              <w:rPr>
                <w:sz w:val="16"/>
                <w:szCs w:val="16"/>
              </w:rPr>
              <w:t>21</w:t>
            </w:r>
          </w:p>
        </w:tc>
        <w:tc>
          <w:tcPr>
            <w:tcW w:w="850" w:type="dxa"/>
          </w:tcPr>
          <w:p>
            <w:pPr>
              <w:rPr>
                <w:sz w:val="16"/>
                <w:szCs w:val="16"/>
              </w:rPr>
            </w:pPr>
            <w:r>
              <w:rPr>
                <w:sz w:val="16"/>
                <w:szCs w:val="16"/>
              </w:rPr>
              <w:t>Lind</w:t>
            </w:r>
          </w:p>
        </w:tc>
        <w:tc>
          <w:tcPr>
            <w:tcW w:w="2123" w:type="dxa"/>
          </w:tcPr>
          <w:p>
            <w:pPr>
              <w:rPr>
                <w:sz w:val="16"/>
                <w:szCs w:val="16"/>
              </w:rPr>
            </w:pPr>
            <w:r>
              <w:rPr>
                <w:sz w:val="16"/>
                <w:szCs w:val="16"/>
              </w:rPr>
              <w:t>Träd med visst värde</w:t>
            </w:r>
          </w:p>
        </w:tc>
        <w:tc>
          <w:tcPr>
            <w:tcW w:w="3679" w:type="dxa"/>
          </w:tcPr>
          <w:p>
            <w:pPr>
              <w:rPr>
                <w:sz w:val="16"/>
                <w:szCs w:val="16"/>
              </w:rPr>
            </w:pPr>
            <w:r>
              <w:rPr>
                <w:sz w:val="16"/>
                <w:szCs w:val="16"/>
              </w:rPr>
              <w:t>Hamlat (återkommande beskuret)</w:t>
            </w:r>
          </w:p>
        </w:tc>
      </w:tr>
      <w:tr>
        <w:trPr>
          <w:trHeight w:hRule="atLeast" w:val="20"/>
        </w:trPr>
        <w:tc>
          <w:tcPr>
            <w:tcW w:w="708" w:type="dxa"/>
          </w:tcPr>
          <w:p>
            <w:pPr>
              <w:rPr>
                <w:sz w:val="16"/>
                <w:szCs w:val="16"/>
              </w:rPr>
            </w:pPr>
            <w:r>
              <w:rPr>
                <w:sz w:val="16"/>
                <w:szCs w:val="16"/>
              </w:rPr>
              <w:t>22</w:t>
            </w:r>
          </w:p>
        </w:tc>
        <w:tc>
          <w:tcPr>
            <w:tcW w:w="850" w:type="dxa"/>
          </w:tcPr>
          <w:p>
            <w:pPr>
              <w:rPr>
                <w:sz w:val="16"/>
                <w:szCs w:val="16"/>
              </w:rPr>
            </w:pPr>
            <w:r>
              <w:rPr>
                <w:sz w:val="16"/>
                <w:szCs w:val="16"/>
              </w:rPr>
              <w:t>Björk</w:t>
            </w:r>
          </w:p>
        </w:tc>
        <w:tc>
          <w:tcPr>
            <w:tcW w:w="2123" w:type="dxa"/>
          </w:tcPr>
          <w:p>
            <w:pPr>
              <w:rPr>
                <w:sz w:val="16"/>
                <w:szCs w:val="16"/>
              </w:rPr>
            </w:pPr>
            <w:r>
              <w:rPr>
                <w:sz w:val="16"/>
                <w:szCs w:val="16"/>
              </w:rPr>
              <w:t>Träd med visst värde</w:t>
            </w:r>
          </w:p>
        </w:tc>
        <w:tc>
          <w:tcPr>
            <w:tcW w:w="3679" w:type="dxa"/>
          </w:tcPr>
          <w:p>
            <w:pPr>
              <w:rPr>
                <w:sz w:val="16"/>
                <w:szCs w:val="16"/>
              </w:rPr>
            </w:pPr>
            <w:r>
              <w:rPr>
                <w:sz w:val="16"/>
                <w:szCs w:val="16"/>
              </w:rPr>
              <w:t>Hamlat (återkommande beskuret)</w:t>
            </w:r>
          </w:p>
        </w:tc>
      </w:tr>
    </w:tbl>
    <w:p>
      <w:pPr>
        <w:rPr>
          <w:i w:val="1"/>
          <w:iCs w:val="1"/>
          <w:sz w:val="18"/>
          <w:szCs w:val="18"/>
        </w:rPr>
      </w:pPr>
      <w:r>
        <w:rPr>
          <w:i w:val="1"/>
          <w:iCs w:val="1"/>
          <w:sz w:val="18"/>
          <w:szCs w:val="18"/>
        </w:rPr>
        <w:t>Tabell beskriver de olika träden med nummer, trädslag, kategori och bedömningsgrund.</w:t>
      </w:r>
    </w:p>
    <w:p>
      <w:pPr>
        <w:spacing w:lineRule="auto" w:line="240" w:before="100" w:after="100" w:beforeAutospacing="1" w:afterAutospacing="1"/>
      </w:pPr>
      <w:r>
        <w:t>De högsta biologiska värdena idag är förknippade med äldre björkar som har utvecklade håligheter. Inom ett decennium, om de lämnas opåverkade, kommer flera andra lövträd med begynnande håligheter att utveckla liknande kvaliteter. Samtidigt kommer flera av dessa träd, särskilt björkarna, att ha dött helt eller delvis. Björkar har en relativt kort naturlig livstid och perioden som levande träd med håligheter är också kortare än för de flesta andra trädslag, sällan mer än 10 år. Björkar dör oftast "uppifrån och ner", vilket innebär att stora grenar dör och faller av, medan risken att hela trädet faller på en gång är liten och minskar med tiden.</w:t>
      </w:r>
    </w:p>
    <w:p>
      <w:pPr>
        <w:spacing w:lineRule="auto" w:line="240" w:before="100" w:after="100" w:beforeAutospacing="1" w:afterAutospacing="1"/>
      </w:pPr>
      <w:r>
        <w:t>Ett träd, nr 2, klassificeras som "särskilt skyddsvärt träd" på grund av sin grovlek. Trots detta är dess värde för hotad biologisk mångfald för närvarande litet eftersom trädet är relativt ungt (uppskattad ålder ca 100-120 år). Det är snabbväxande och saknar de strukturer som äldre träd har, såsom håligheter, savflöden, djupa barksprickor och döda grenar.</w:t>
      </w:r>
    </w:p>
    <w:p>
      <w:pPr>
        <w:spacing w:lineRule="auto" w:line="240" w:before="100" w:after="100" w:beforeAutospacing="1" w:afterAutospacing="1"/>
      </w:pPr>
      <w:r>
        <w:t>Flera träd, främst lönnar och lindar, har vissa naturvärden eftersom de beskärs regelbundet. Denna beskärning gynnar vissa lavar och mossor genom ökad ljusmängd och återkommande savflöden. Dessa beskurna träd är, liksom den stora boken, av begränsad ålder (ca 80–100 år, väletablerade men unga i flygbild från 1960) med undantag för två av de beskurna lönnarna i den östra delen, som kan vara äldre. Den relativt låga åldern och avsaknaden av utvecklade håligheter, tillsammans med stora avstånd till riktigt gamla träd med liknande kvaliteter, innebär att dessa träd för närvarande inte hyser hotad biologisk mångfald. Men på sikt har de vissa möjligheter att göra det om skötseln fortsätter.</w:t>
      </w:r>
    </w:p>
    <w:p>
      <w:pPr>
        <w:spacing w:lineRule="auto" w:line="240" w:before="100" w:after="100" w:beforeAutospacing="1" w:afterAutospacing="1"/>
      </w:pPr>
      <w:r>
        <w:t>Länsstyrelsen påpekar att träd nr 14 till 21 skulle kunna ingå i det generella biotopskyddet för allé vilket skulle innebära att det behövs en dispens för att ta ner något träd.</w:t>
      </w:r>
    </w:p>
    <w:p>
      <w:pPr>
        <w:rPr>
          <w:b w:val="1"/>
          <w:i w:val="1"/>
        </w:rPr>
      </w:pPr>
      <w:bookmarkEnd w:id="83"/>
      <w:r>
        <w:rPr>
          <w:b w:val="1"/>
          <w:i w:val="1"/>
        </w:rPr>
        <w:t>Konsekvenser</w:t>
      </w:r>
    </w:p>
    <w:p>
      <w:pPr>
        <w:rPr>
          <w:bCs w:val="1"/>
          <w:iCs w:val="1"/>
        </w:rPr>
      </w:pPr>
      <w:bookmarkStart w:id="84" w:name="ko_miljö02"/>
      <w:r>
        <w:rPr>
          <w:bCs w:val="1"/>
          <w:iCs w:val="1"/>
        </w:rPr>
        <w:t xml:space="preserve">Av de särskilt skyddsvärda träden enligt inventeringen så är det nr 2 som troligtvis behöver tas ner för att få till en skola med placering utmed Storgatan. Nr 1 och 4 ligger i ytterkanten av planområdet (nr 1 ligger utanför planområdet) och påverkas ej av ny detaljplan. Nr 3 planeras också att bevaras utifrån de skisser som tagits fram på placering av skolan. Den största delen av de träd som är inventerade kommer kunna vara kvar men framförallt mot Storgatan kommer träd tas ner. Träd som eventuellt innefattas av det generella biotopskyddet (nr 14-21) är tänka att vara kvar. </w:t>
      </w:r>
    </w:p>
    <w:p>
      <w:pPr>
        <w:pStyle w:val="P3"/>
      </w:pPr>
      <w:bookmarkEnd w:id="84"/>
      <w:bookmarkStart w:id="85" w:name="_Toc191546085"/>
      <w:r>
        <w:t>Artinventering</w:t>
      </w:r>
      <w:bookmarkEnd w:id="85"/>
    </w:p>
    <w:p>
      <w:pPr>
        <w:spacing w:lineRule="auto" w:line="240" w:before="100" w:after="100" w:beforeAutospacing="1" w:afterAutospacing="1"/>
      </w:pPr>
      <w:bookmarkStart w:id="86" w:name="ko_natur01"/>
      <w:r>
        <w:t xml:space="preserve">Under inventeringen upptäcktes ett bebott bo av nötväcka i ett av hålträden samt ett bo av björktrast (NT) i ett annat träd. Området har flera fågelholkar, och det är troligt att några av dessa har varit bebodda under säsongen. Vid besöket observerades arter som talgoxe, blåmes och pilfink, vilka alla gärna använder holkar. Dessa fåglar är vanliga, även om björktrasten har visat en negativ populationstrend och numera är listad som ”nära hotad” på rödlistan. Alla observerade fåglar är fridlysta. </w:t>
      </w:r>
    </w:p>
    <w:p>
      <w:pPr>
        <w:spacing w:lineRule="auto" w:line="240" w:before="100" w:after="100" w:beforeAutospacing="1" w:afterAutospacing="1"/>
      </w:pPr>
      <w:r>
        <w:t>Björktrasten som är enda arten som är rödlistad noterades i en lönn (nr 6) som ligger i parkområdet utanför skolan. Dessa träd påverkas inte av detaljplanen och i direkt närhet finns andra lönnar som inte heller påverkas av planen. Eftersom de flesta av träden kan bevaras och att hela området rör sig om en begränsad miljö och inte ett större naturområde bedömer kommunen att bevarandestatus för berörda fågelarter inte försämras på populationsnivå. Även träd nr 4 där nötväcka noterades planeras att vara kvar och vid nedtagning av träd ska det ej ske under häckning.</w:t>
      </w:r>
    </w:p>
    <w:p>
      <w:pPr>
        <w:spacing w:lineRule="auto" w:line="240" w:before="100" w:after="100" w:beforeAutospacing="1" w:afterAutospacing="1"/>
      </w:pPr>
      <w:r>
        <w:t>Inga andra naturvårdsarter noterades vid inventeringen. På träden finns lavar och mossor, men inga av dessa är rödlistade eller finns på signalartslistor. Det handlar huvudsakligen om kvävegynnade arter som är vanliga i stadsmiljöer.</w:t>
      </w:r>
    </w:p>
    <w:p>
      <w:pPr>
        <w:rPr>
          <w:b w:val="1"/>
          <w:i w:val="1"/>
        </w:rPr>
      </w:pPr>
      <w:bookmarkEnd w:id="86"/>
      <w:r>
        <w:rPr>
          <w:b w:val="1"/>
          <w:i w:val="1"/>
        </w:rPr>
        <w:t>Konsekvenser</w:t>
      </w:r>
    </w:p>
    <w:p>
      <w:pPr>
        <w:rPr>
          <w:bCs w:val="1"/>
          <w:iCs w:val="1"/>
        </w:rPr>
      </w:pPr>
      <w:bookmarkStart w:id="87" w:name="ko_miljö03"/>
      <w:r>
        <w:rPr>
          <w:bCs w:val="1"/>
          <w:iCs w:val="1"/>
        </w:rPr>
        <w:t>De naturvärden som påträffats är helt knutna till träd och graden av negativ påverkan som kan uppstå är kopplade till träden.</w:t>
      </w:r>
    </w:p>
    <w:p>
      <w:pPr>
        <w:pStyle w:val="P3"/>
      </w:pPr>
      <w:bookmarkEnd w:id="87"/>
      <w:bookmarkStart w:id="88" w:name="_Toc191546086"/>
      <w:r>
        <w:t>Kompensationsåtgärder natur</w:t>
      </w:r>
      <w:bookmarkEnd w:id="88"/>
    </w:p>
    <w:p>
      <w:bookmarkStart w:id="89" w:name="ko_miljö04"/>
      <w:r>
        <w:t>Om något eller några av de naturvärdesmässigt intressanta träden tas bort, kan deras biologiska värden delvis kompenseras. Grova lövträd, oavsett om de är ihåliga eller inte, kan flyttas till en plats där de får ligga och förmultna, en så kallad faunadepå. För att säkra antalet träd kan man plantera fler individer av samma trädslag som de borttagna, med tanke på att viss avgång kan ske.</w:t>
      </w:r>
    </w:p>
    <w:p>
      <w:r>
        <w:t>För trädslag som inte är naturliga i trakten är valet av ersättningsträd mindre kritiskt. Här kan man istället plantera trädslag som finns i den omkringliggande naturen, exempelvis kan förlusten av en parklind kompenseras med ask, skogslönn eller skogsek.</w:t>
      </w:r>
    </w:p>
    <w:p>
      <w:r>
        <w:t>Det är svårt att kompensera för de kvaliteter som är knutna till hög ålder hos träd eftersom det tar lång tid för träd att utveckla sådana värden. Vissa genvägar kan dock tas, såsom veteranisering av yngre och medelålders träd samt uppsättning av olika typer av holkar (fågelholkar, mulmholkar, fladdermusholkar och insektshotell). Återkommande beskärning av träd kan också vara en viktig kompensationsåtgärd, eftersom det minskar tillväxttakten (vilket också sker när träd blir gamla) och påskyndar utvecklingen av håligheter. Detta minskar dessutom risken för att trädet blåser omkull eller sönder, vilket ökar sannolikheten för att trädet kan bli riktigt gammalt.</w:t>
      </w:r>
    </w:p>
    <w:p>
      <w:r>
        <w:t>Förslag på kompensationsåtgärder för förlorade träd i kvarteret Fridtjuv Berg:</w:t>
      </w:r>
    </w:p>
    <w:p>
      <w:pPr>
        <w:pStyle w:val="P12"/>
        <w:numPr>
          <w:ilvl w:val="0"/>
          <w:numId w:val="38"/>
        </w:numPr>
      </w:pPr>
      <w:r>
        <w:t>Borttagen björk flyttas till faunadepå och ersätts med två nya björkar.</w:t>
      </w:r>
    </w:p>
    <w:p>
      <w:pPr>
        <w:pStyle w:val="P12"/>
        <w:numPr>
          <w:ilvl w:val="0"/>
          <w:numId w:val="38"/>
        </w:numPr>
      </w:pPr>
      <w:r>
        <w:t>Borttagen bok flyttas till faunadepå och ersätts med två nya bokar.</w:t>
      </w:r>
    </w:p>
    <w:p>
      <w:pPr>
        <w:pStyle w:val="P12"/>
        <w:numPr>
          <w:ilvl w:val="0"/>
          <w:numId w:val="38"/>
        </w:numPr>
      </w:pPr>
      <w:r>
        <w:t>Borttagen parklind flyttas till faunadepå och ersätts med en ny skogslönn som beskärs återkommande.</w:t>
      </w:r>
    </w:p>
    <w:p>
      <w:pPr>
        <w:pStyle w:val="P12"/>
        <w:numPr>
          <w:ilvl w:val="0"/>
          <w:numId w:val="38"/>
        </w:numPr>
      </w:pPr>
      <w:r>
        <w:t>Övriga borttagna lövträd ersätts på samma sätt.</w:t>
      </w:r>
    </w:p>
    <w:p>
      <w:pPr>
        <w:pStyle w:val="P12"/>
        <w:numPr>
          <w:ilvl w:val="0"/>
          <w:numId w:val="38"/>
        </w:numPr>
      </w:pPr>
      <w:r>
        <w:t>Fågelholkar, fladdermusholkar och insektshotell sätts upp, en av varje sort för varje borttaget träd.</w:t>
      </w:r>
    </w:p>
    <w:p>
      <w:r>
        <w:t>En del i kompensationen är också att kommunen avser att utöka den kommunala ytan på Storgatan för att kunna inrymma gång- och cykelväg men också att en ny trädallé planteras längs med skolan. I detta läget finns det inga skisser på hur den nya skoltomten ska utformas, men det är viktigt i det skedet att kommunen ersätter de eventuella träd som kan försvinna samt att man planerar en varierad skolgård med träd för både lek och skuggbildning m.m.</w:t>
      </w:r>
    </w:p>
    <w:p>
      <w:pPr>
        <w:pStyle w:val="P2"/>
      </w:pPr>
      <w:bookmarkEnd w:id="89"/>
      <w:bookmarkStart w:id="90" w:name="_Toc191546087"/>
      <w:r>
        <w:t>Skola och friytor</w:t>
      </w:r>
      <w:bookmarkEnd w:id="90"/>
    </w:p>
    <w:p>
      <w:pPr>
        <w:spacing w:lineRule="auto" w:line="240" w:before="100" w:after="100" w:beforeAutospacing="1" w:afterAutospacing="1"/>
      </w:pPr>
      <w:bookmarkStart w:id="91" w:name="pf_fysiskmiljö04"/>
      <w:r>
        <w:t>Fridtjuv Bergskolan är idag en F-5 skola med ca 290 elever och 50 personal. Årskurs 6 inryms i Lysingsskolan som är Ödeshögs högstadieskola. Skolan utgörs av flera separata byggnader samt en paviljong. Skolan har en kapacitet för ca 400 elever. Inom planområdet ligger även en privat förskola med ca 40 elever. Fridtjuv Bergskolan planeras för att bli en F-6 skola som kommer inrymma ca 340 elever med samma personalstyrka som idag.</w:t>
      </w:r>
    </w:p>
    <w:p>
      <w:pPr>
        <w:pStyle w:val="P3"/>
      </w:pPr>
      <w:bookmarkEnd w:id="91"/>
      <w:bookmarkStart w:id="92" w:name="_Toc191546088"/>
      <w:r>
        <w:t>Friytor</w:t>
      </w:r>
      <w:bookmarkEnd w:id="92"/>
    </w:p>
    <w:p>
      <w:pPr>
        <w:spacing w:lineRule="auto" w:line="240" w:before="100" w:after="100" w:beforeAutospacing="1" w:afterAutospacing="1"/>
      </w:pPr>
      <w:r>
        <w:t>B</w:t>
      </w:r>
      <w:bookmarkStart w:id="93" w:name="pf_fysiskmiljö05"/>
      <w:r>
        <w:t>overkets allmänna råd om friytor för lek och utevistelse vid förskolor, skolor och fritidshem betonar vikten av att dessa ytor ska vara tillräckligt stora, säkra och tillgängliga för att stödja ändamålsenlig verksamhet såsom lek, rekreation samt fysisk och pedagogisk aktivitet. Friytor bör vara placerade i direkt anslutning till byggnaden för yngre barn så att de själva kan nå dem. För äldre elever, som i högstadiet och gymnasiet, kan friytan placeras i nära anslutning men ska fortfarande vara lättillgänglig. Om barn måste korsa trafikerade vägar för att nå friytan kan det öka beroendet av personal och begränsa utevistelsen.</w:t>
      </w:r>
    </w:p>
    <w:p>
      <w:pPr>
        <w:spacing w:lineRule="auto" w:line="240" w:before="100" w:after="100" w:beforeAutospacing="1" w:afterAutospacing="1"/>
      </w:pPr>
      <w:r>
        <w:t xml:space="preserve">Storleken på friytor är viktig, och rekommendationer baserade på forskning anger cirka 40 kvm per barn i förskolan och 30 kvm per barn i grundskolan. Totalt bör ytan helst vara över 3000 kvm för att främja lek och socialt samspel. Friytorna bör också ha varierad terräng och vegetation för att inte slitas för mycket. Vid bedömningen av friytans storlek och kvalitet kan även närheten till lekområden, parker, grönområden, idrottsplaner och naturområden spela en roll. </w:t>
      </w:r>
    </w:p>
    <w:p>
      <w:pPr>
        <w:spacing w:lineRule="auto" w:line="240" w:after="0" w:beforeAutospacing="0" w:afterAutospacing="0"/>
        <w:rPr>
          <w:i w:val="1"/>
          <w:iCs w:val="1"/>
        </w:rPr>
      </w:pPr>
      <w:r>
        <w:t xml:space="preserve">I framtagen verksamhetsbeskrivning av nya skolan beskrivs skolgården enligt följande: </w:t>
      </w:r>
      <w:r>
        <w:rPr>
          <w:i w:val="1"/>
          <w:iCs w:val="1"/>
        </w:rPr>
        <w:t>Skolgården behöver moderniseras. Skolgården ska vara sammanhållen och överblickbar med möjlighet till pedagogisk verksamhet, spontanidrott och rörelse. Utemiljön ska stimulera elevernas utveckling socialt, motoriskt och fysiskt. Elever med särskild undervisning ska ha möjlighet att vistas på en avskild del av gården.</w:t>
      </w:r>
    </w:p>
    <w:p>
      <w:pPr>
        <w:spacing w:lineRule="auto" w:line="240" w:after="0" w:beforeAutospacing="0" w:afterAutospacing="0"/>
        <w:rPr>
          <w:i w:val="1"/>
          <w:iCs w:val="1"/>
        </w:rPr>
      </w:pPr>
    </w:p>
    <w:p>
      <w:pPr>
        <w:spacing w:lineRule="auto" w:line="240" w:after="0" w:beforeAutospacing="0" w:afterAutospacing="0"/>
      </w:pPr>
      <w:r>
        <w:t xml:space="preserve">Vid byggnation av en ny skola enligt den byggrätten som detaljplanen tillåter kommer det finnas tillräckligt med friyta för kommande 340 elever. Detta gäller även om man i framtiden tar området för bostäder i anspråk. Idag använder också skolan en del av centrumparken som friyta samt att parkeringsytor och andra hårdgjorda ytor kan planeras bättre om det finns ett utökat behov för friyta i framtiden. Kommunen har ambitionen att följa Boverkets rekommendationer som ska vara vägledande för framtida byggnationer. </w:t>
      </w:r>
    </w:p>
    <w:p>
      <w:bookmarkEnd w:id="93"/>
    </w:p>
    <w:p>
      <w:pPr>
        <w:rPr>
          <w:b w:val="1"/>
          <w:i w:val="1"/>
        </w:rPr>
      </w:pPr>
      <w:r>
        <w:rPr>
          <w:b w:val="1"/>
          <w:i w:val="1"/>
        </w:rPr>
        <w:t>Konsekvenser</w:t>
      </w:r>
    </w:p>
    <w:p>
      <w:bookmarkStart w:id="94" w:name="ko_annat02"/>
      <w:r>
        <w:t>Fler elever kommer generera mer trafik och rörelse i och runt skolområdet, initialt så rör det sig om en marginell ökning. Eftersom skolan kommer byggas sammanhållet och med möjlighet till en högre höjd behöver skolan inte ta mer mark i anspråk än den idag redan gör trots att den ska försörja fler elever vilket är positivt för utrymmet av friytor. Vid byggnation av skolan kommer elever påverkas av byggnationen, en utredning pågår hur kommunen på bästa sätt kan hantera berörda elever under byggperioden.</w:t>
      </w:r>
    </w:p>
    <w:p>
      <w:pPr>
        <w:pStyle w:val="P2"/>
      </w:pPr>
      <w:bookmarkEnd w:id="94"/>
      <w:bookmarkStart w:id="95" w:name="_Toc191546089"/>
      <w:r>
        <w:t>Kulturmiljö</w:t>
      </w:r>
      <w:bookmarkEnd w:id="95"/>
    </w:p>
    <w:p>
      <w:pPr>
        <w:pStyle w:val="P3"/>
      </w:pPr>
      <w:bookmarkStart w:id="96" w:name="_Toc191546090"/>
      <w:r>
        <w:t>Landskapsbild</w:t>
      </w:r>
      <w:bookmarkEnd w:id="96"/>
    </w:p>
    <w:p>
      <w:bookmarkStart w:id="97" w:name="ko_landskapsbild01"/>
      <w:r>
        <w:t xml:space="preserve">Idag ger skolan ett tillbakadraget uttryck med byggnader en bit in på tomten i en till två plan. Skolan är också utspridd över tomten med många olika huvudbyggnader. Det finns ingen tydlig entré till skolan utan skolan angörs från både söder och norr. </w:t>
      </w:r>
    </w:p>
    <w:p>
      <w:pPr>
        <w:rPr>
          <w:b w:val="1"/>
          <w:i w:val="1"/>
        </w:rPr>
      </w:pPr>
      <w:bookmarkEnd w:id="97"/>
      <w:r>
        <w:rPr>
          <w:b w:val="1"/>
          <w:i w:val="1"/>
        </w:rPr>
        <w:t>Konsekvenser</w:t>
      </w:r>
    </w:p>
    <w:p>
      <w:pPr>
        <w:rPr>
          <w:i w:val="1"/>
          <w:iCs w:val="1"/>
          <w:noProof w:val="1"/>
          <w:sz w:val="18"/>
          <w:szCs w:val="18"/>
        </w:rPr>
      </w:pPr>
      <w:bookmarkStart w:id="98" w:name="ko_landskapsbild02"/>
      <w:r>
        <w:t>En ny skola i högre höjd placerad i området mot Storgatan kommer ge annorlunda landskapsbild. Skolan kommer få en mer framträdande roll i Ödeshögs tätort och med sin solitära position närmare gatan kommer skolans uttryck bli mer stadsmässig. Förändringen ligger i linje med det gestaltningsprogram kommunen antog 2022. Detaljplanen kommer att möjliggöra att gatumiljön vid Storgatan kan anpassas efter skolan med träd och cykelbana och ett tydligt entréområde vilket skapar en mer välkomnande och trafiksäker skola.</w:t>
      </w:r>
      <w:r>
        <w:rPr>
          <w:noProof w:val="1"/>
        </w:rPr>
        <w:t xml:space="preserve"> </w:t>
      </w:r>
      <w:r>
        <w:rPr>
          <w:noProof w:val="1"/>
        </w:rPr>
        <w:drawing>
          <wp:inline xmlns:wp="http://schemas.openxmlformats.org/drawingml/2006/wordprocessingDrawing" distT="0" distB="0" distL="0" distR="0">
            <wp:extent cx="4679950" cy="2945765"/>
            <wp:effectExtent l="0" t="0" r="6350" b="6985"/>
            <wp:docPr id="48" name="Bildobjekt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Bildobjekt 48"/>
                    <pic:cNvPicPr/>
                  </pic:nvPicPr>
                  <pic:blipFill dpi="0">
                    <a:blip xmlns:r="http://schemas.openxmlformats.org/officeDocument/2006/relationships" r:embed="Relimage13"/>
                    <a:srcRect/>
                    <a:stretch>
                      <a:fillRect/>
                    </a:stretch>
                  </pic:blipFill>
                  <pic:spPr>
                    <a:xfrm>
                      <a:off x="0" y="0"/>
                      <a:ext cx="4679950" cy="2945765"/>
                    </a:xfrm>
                    <a:prstGeom prst="rect"/>
                  </pic:spPr>
                </pic:pic>
              </a:graphicData>
            </a:graphic>
          </wp:inline>
        </w:drawing>
      </w:r>
      <w:r>
        <w:br w:type="textWrapping"/>
      </w:r>
      <w:r>
        <w:rPr>
          <w:i w:val="1"/>
          <w:iCs w:val="1"/>
          <w:noProof w:val="1"/>
          <w:sz w:val="18"/>
          <w:szCs w:val="18"/>
        </w:rPr>
        <w:t>Bild visar en enklare volymskiss över möjlig skolbyggnad. Vy från söder.</w:t>
      </w:r>
    </w:p>
    <w:p>
      <w:pPr>
        <w:rPr>
          <w:i w:val="1"/>
          <w:iCs w:val="1"/>
          <w:noProof w:val="1"/>
          <w:sz w:val="18"/>
          <w:szCs w:val="18"/>
        </w:rPr>
      </w:pPr>
      <w:r>
        <w:rPr>
          <w:i w:val="1"/>
          <w:iCs w:val="1"/>
          <w:noProof w:val="1"/>
          <w:sz w:val="18"/>
          <w:szCs w:val="18"/>
        </w:rPr>
        <w:drawing>
          <wp:inline xmlns:wp="http://schemas.openxmlformats.org/drawingml/2006/wordprocessingDrawing" distT="0" distB="0" distL="0" distR="0">
            <wp:extent cx="4679950" cy="2945765"/>
            <wp:effectExtent l="0" t="0" r="6350" b="6985"/>
            <wp:docPr id="49" name="Bildobjekt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Bildobjekt 49"/>
                    <pic:cNvPicPr/>
                  </pic:nvPicPr>
                  <pic:blipFill dpi="0">
                    <a:blip xmlns:r="http://schemas.openxmlformats.org/officeDocument/2006/relationships" r:embed="Relimage14"/>
                    <a:srcRect/>
                    <a:stretch>
                      <a:fillRect/>
                    </a:stretch>
                  </pic:blipFill>
                  <pic:spPr>
                    <a:xfrm>
                      <a:off x="0" y="0"/>
                      <a:ext cx="4679950" cy="2945765"/>
                    </a:xfrm>
                    <a:prstGeom prst="rect"/>
                  </pic:spPr>
                </pic:pic>
              </a:graphicData>
            </a:graphic>
          </wp:inline>
        </w:drawing>
      </w:r>
    </w:p>
    <w:p>
      <w:pPr>
        <w:rPr>
          <w:i w:val="1"/>
          <w:iCs w:val="1"/>
          <w:noProof w:val="1"/>
          <w:sz w:val="18"/>
          <w:szCs w:val="18"/>
        </w:rPr>
      </w:pPr>
      <w:r>
        <w:rPr>
          <w:i w:val="1"/>
          <w:iCs w:val="1"/>
          <w:noProof w:val="1"/>
          <w:sz w:val="18"/>
          <w:szCs w:val="18"/>
        </w:rPr>
        <w:t>Bild visar en enklare volymskiss över möjlig skolbyggnad. Vy från väster.</w:t>
      </w:r>
    </w:p>
    <w:p>
      <w:pPr>
        <w:rPr>
          <w:i w:val="1"/>
          <w:iCs w:val="1"/>
          <w:noProof w:val="1"/>
          <w:sz w:val="18"/>
          <w:szCs w:val="18"/>
        </w:rPr>
      </w:pPr>
    </w:p>
    <w:p>
      <w:r>
        <w:rPr>
          <w:i w:val="1"/>
          <w:iCs w:val="1"/>
          <w:noProof w:val="1"/>
          <w:sz w:val="18"/>
          <w:szCs w:val="18"/>
        </w:rPr>
        <w:drawing>
          <wp:inline xmlns:wp="http://schemas.openxmlformats.org/drawingml/2006/wordprocessingDrawing" distT="0" distB="0" distL="0" distR="0">
            <wp:extent cx="5361305" cy="1647825"/>
            <wp:effectExtent l="0" t="0" r="0" b="0"/>
            <wp:docPr id="50" name="Bildobjekt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Bildobjekt 50"/>
                    <pic:cNvPicPr/>
                  </pic:nvPicPr>
                  <pic:blipFill dpi="0">
                    <a:blip xmlns:r="http://schemas.openxmlformats.org/officeDocument/2006/relationships" r:embed="Relimage15"/>
                    <a:srcRect t="13567" b="31068"/>
                    <a:stretch>
                      <a:fillRect/>
                    </a:stretch>
                  </pic:blipFill>
                  <pic:spPr bwMode="auto">
                    <a:xfrm>
                      <a:off x="0" y="0"/>
                      <a:ext cx="5367326" cy="1649524"/>
                    </a:xfrm>
                    <a:prstGeom prst="rect"/>
                    <a:ln>
                      <a:noFill/>
                    </a:ln>
                  </pic:spPr>
                </pic:pic>
              </a:graphicData>
            </a:graphic>
          </wp:inline>
        </w:drawing>
      </w:r>
      <w:r>
        <w:rPr>
          <w:i w:val="1"/>
          <w:iCs w:val="1"/>
          <w:sz w:val="18"/>
          <w:szCs w:val="18"/>
        </w:rPr>
        <w:t>Bild visar på en typsektion med volymskiss av ny skola och nya bostäder, vy från väster.</w:t>
      </w:r>
    </w:p>
    <w:p>
      <w:pPr>
        <w:pStyle w:val="P3"/>
      </w:pPr>
      <w:bookmarkEnd w:id="98"/>
      <w:bookmarkStart w:id="99" w:name="_Toc191546091"/>
      <w:r>
        <w:t>Arkeologi och fornminnen</w:t>
      </w:r>
      <w:bookmarkEnd w:id="99"/>
    </w:p>
    <w:p>
      <w:bookmarkStart w:id="100" w:name="pf_kulturmiljö01"/>
      <w:r>
        <w:t>En förfrågan om fornlämning har ställts till länsstyrelsen 2023-12-18. Enligt svar från länsstyrelsen</w:t>
      </w:r>
      <w:r>
        <w:rPr>
          <w:strike w:val="1"/>
          <w:color w:val="FF0000"/>
        </w:rPr>
        <w:t xml:space="preserve"> </w:t>
      </w:r>
      <w:r>
        <w:t xml:space="preserve">2024-11-28 bedömer de att risken för att fornlämningar finns inom planområdet </w:t>
      </w:r>
      <w:r>
        <w:rPr>
          <w:color w:val="000000"/>
        </w:rPr>
        <w:t>är</w:t>
      </w:r>
      <w:r>
        <w:rPr>
          <w:color w:val="FF0000"/>
        </w:rPr>
        <w:t xml:space="preserve"> </w:t>
      </w:r>
      <w:r>
        <w:t>liten och att inga arkeologiska insatser anses krävas för det planerade planområdet.</w:t>
      </w:r>
    </w:p>
    <w:p>
      <w:pPr>
        <w:pStyle w:val="P2"/>
      </w:pPr>
      <w:bookmarkEnd w:id="100"/>
      <w:bookmarkStart w:id="101" w:name="_Toc191546092"/>
      <w:r>
        <w:t>Gator och trafik</w:t>
      </w:r>
      <w:bookmarkEnd w:id="101"/>
    </w:p>
    <w:p>
      <w:pPr>
        <w:pStyle w:val="P3"/>
      </w:pPr>
      <w:bookmarkStart w:id="102" w:name="_Toc191546093"/>
      <w:r>
        <w:t>Trafikmängd och hastighet</w:t>
      </w:r>
      <w:bookmarkEnd w:id="102"/>
    </w:p>
    <w:p>
      <w:bookmarkStart w:id="103" w:name="pf_trafik01"/>
      <w:r>
        <w:t xml:space="preserve">Området kring skolan omsluts av tre lokala gator. Storgatan som skolans huvudbyggnad kommer placeras längs samt Järnvägsgatan och Kungsvägen som är mindre lokalgator. </w:t>
      </w:r>
    </w:p>
    <w:p>
      <w:pPr>
        <w:rPr>
          <w:i w:val="1"/>
          <w:iCs w:val="1"/>
        </w:rPr>
      </w:pPr>
      <w:r>
        <w:t xml:space="preserve">För att få en tydligare bild av hur stor trafikmängden är på gatorna runt skolan genomfördes en trafikmätning under hösten 2024. I mätningen registrerades även hastigheten och hur stor del av trafiken som klassas som tung trafik, </w:t>
      </w:r>
      <w:r>
        <w:rPr>
          <w:i w:val="1"/>
          <w:iCs w:val="1"/>
        </w:rPr>
        <w:t>se tabell på sida 18.</w:t>
      </w:r>
    </w:p>
    <w:p>
      <w:r>
        <w:t xml:space="preserve">Storgatan har mest trafik med ca 2 200 trafikrörelser per vardagsdygn varav 4,9 % består av tung trafik. På Järnvägsgatan mättes knappt 900 trafikrörelser med 8,9 % tung trafik. Kungsvägen hade minst trafik med knappt 600 trafikrörelser med 7 % tung trafik. </w:t>
      </w:r>
    </w:p>
    <w:p>
      <w:r>
        <w:t>Hastigheten på de mätta gatorna är begränsad till 30 km/tim vilket i princip efterlevs (25 km/tim på Kungsvägen, 31 km/tim på Storgatan och 32 km/tim på Järnvägsgatan i genomsnitt). Se</w:t>
      </w:r>
      <w:r>
        <w:rPr>
          <w:i w:val="1"/>
          <w:iCs w:val="1"/>
        </w:rPr>
        <w:t xml:space="preserve"> Rapport trafikmätning.pdf</w:t>
      </w:r>
    </w:p>
    <w:p>
      <w:bookmarkEnd w:id="103"/>
      <w:r>
        <w:rPr>
          <w:b w:val="1"/>
          <w:i w:val="1"/>
        </w:rPr>
        <w:t>Konsekvens</w:t>
      </w:r>
    </w:p>
    <w:p>
      <w:bookmarkStart w:id="104" w:name="ko_trafik01"/>
      <w:r>
        <w:t xml:space="preserve">Det blir en marginell ökning av elever och antalet anställda beräknas vara detsamma vilket leder till att trafiken kommer endast öka marginellt. Skolan kommer förses med tillagningskök vilket bidrar till utökade tyngre transporter jämfört med dagens situation. </w:t>
      </w:r>
    </w:p>
    <w:p>
      <w:r>
        <w:t>Transporter till skolan planeras att separeras från övrig trafik. Skolskjuts och hämta/lämna-trafik kommer separeras från övrig trafik och hanteras längs Järnvägsgatan, övrig parkering planeras i norra delen av planområdet. Ödeshögs kommun tittar på olika åtgärder för att minska mängden tung trafik på Järnvägsgatan som inte rör skolverksamheten.</w:t>
      </w:r>
    </w:p>
    <w:p>
      <w:pPr>
        <w:pStyle w:val="P3"/>
      </w:pPr>
      <w:bookmarkEnd w:id="104"/>
      <w:bookmarkStart w:id="105" w:name="_Toc191546094"/>
      <w:r>
        <w:t>Trafiksäkerhet</w:t>
      </w:r>
      <w:bookmarkEnd w:id="105"/>
    </w:p>
    <w:p>
      <w:bookmarkStart w:id="106" w:name="pf_trafik02"/>
      <w:r>
        <w:t xml:space="preserve">Skolområdet har idag flertalet skolbyggnader som är utplacerade på tomten och det finns ingen tydlig entré till skolan. Skolskjutsen som försörjer hälften av eleverna är avskild från övrig trafik. Det finns även parkering både i norra och södra delen av skolområdet. Mottagning av transporter sker en bit in på skoltomten i direkt närhet till skolans friytor. </w:t>
      </w:r>
    </w:p>
    <w:p>
      <w:pPr>
        <w:rPr>
          <w:b w:val="1"/>
          <w:i w:val="1"/>
          <w:bCs w:val="1"/>
          <w:iCs w:val="1"/>
        </w:rPr>
      </w:pPr>
      <w:bookmarkEnd w:id="106"/>
      <w:r>
        <w:rPr>
          <w:b w:val="1"/>
          <w:i w:val="1"/>
          <w:bCs w:val="1"/>
          <w:iCs w:val="1"/>
        </w:rPr>
        <w:t>Konsekvenser</w:t>
      </w:r>
    </w:p>
    <w:p>
      <w:bookmarkStart w:id="107" w:name="ko_trafik02"/>
      <w:r>
        <w:t>En ny skola i samlad byggnad mot Storgatan kommer att öka trafiksäkerheten jämfört med dagens situation. Samlad entré mot Storgatan där angöring sker för enbart cykel och gående. Detaljplanen möjliggör även ett bredare gatustråk med gång- och cykelbana mot skolan där även möjlighet för trädplantering och några hämta/lämna parkeringar medges. Angöring för varutransporter föreslås separeras från övrig angöring på Järnvägsgatan, även skolskjuts och delvis hämta/lämna sker härifrån i närhet till ny skolbyggnad. Parkering för anställda föreslås att vara kvar för att prioritera att elever får angöra så nära ny skola som möjligt.</w:t>
      </w:r>
    </w:p>
    <w:p>
      <w:pPr>
        <w:pStyle w:val="P3"/>
      </w:pPr>
      <w:bookmarkEnd w:id="107"/>
      <w:bookmarkStart w:id="108" w:name="_Toc191546095"/>
      <w:r>
        <w:t>Gång- och cykeltrafik</w:t>
      </w:r>
      <w:bookmarkEnd w:id="108"/>
    </w:p>
    <w:p>
      <w:bookmarkStart w:id="109" w:name="pf_trafik03"/>
      <w:r>
        <w:t xml:space="preserve">Det finns inga cykelvägar anslutna till skolan utan skolområdet har gångvägar längs med Storgatan och Kungsvägen. Järnvägsgatan där entré finns mot befintlig förskola har endast gångbana på västra sidan där befintliga bostäder finns. </w:t>
      </w:r>
    </w:p>
    <w:p>
      <w:bookmarkEnd w:id="109"/>
    </w:p>
    <w:p/>
    <w:p>
      <w:pPr>
        <w:rPr>
          <w:b w:val="1"/>
          <w:i w:val="1"/>
        </w:rPr>
      </w:pPr>
      <w:r>
        <w:rPr>
          <w:b w:val="1"/>
          <w:i w:val="1"/>
        </w:rPr>
        <w:t>Konsekvenser</w:t>
      </w:r>
    </w:p>
    <w:p>
      <w:bookmarkStart w:id="110" w:name="ko_trafik03"/>
      <w:r>
        <w:t xml:space="preserve">I den nya detaljplanen kommer ytor för att möjliggöra gång- och cykelbana finnas längs med Storgatan. Huvudentrén kommer ligga här och det blir en naturlig plats att ta sig till som gående eller med cykel där en cykelparkering kopplat till skolans entréer kommer anläggas. Skoltomten ligger idag utanför fastighetsgränsen inom gatumark enligt gällande detaljplan. Planen utökar utrymme för gatumark mot Storgatan för att kunna få till en bra entré mot skolan med plats för trädplantering, gång- och cykelbana och hämta/lämna-parkeringar. </w:t>
      </w:r>
    </w:p>
    <w:p>
      <w:r>
        <w:t xml:space="preserve">Ödeshögs högstadieskola (Lysingsskolan) och grundskola (Fridtjuv Bergsskolan) har vissa gemensamma lokaler vilket leder till att en hel del elever färdas mellan skolorna. Idag består det stråket av gångbanor men kommer ses över för möjlighet att bygga en gång- och cykelbana med säkra passager mellan skolorna för en säker skolgång. </w:t>
      </w:r>
    </w:p>
    <w:p>
      <w:r>
        <w:t xml:space="preserve">Även gång- och cykelbana kan komma till längs med Kungsvägen då dessa ligger som framtida gång- och cykelbanor i kommunens översiktsplan. </w:t>
      </w:r>
    </w:p>
    <w:p>
      <w:pPr>
        <w:pStyle w:val="P3"/>
      </w:pPr>
      <w:bookmarkEnd w:id="110"/>
      <w:bookmarkStart w:id="111" w:name="_Toc191546096"/>
      <w:r>
        <w:t>Kollektivtrafik</w:t>
      </w:r>
      <w:bookmarkEnd w:id="111"/>
    </w:p>
    <w:p>
      <w:bookmarkStart w:id="112" w:name="pf_trafik04"/>
      <w:r>
        <w:t xml:space="preserve">Närmaste hållplats för kollektivtrafik ligger ca 200 meter från skolan vid Ica:s parkering. </w:t>
      </w:r>
    </w:p>
    <w:p>
      <w:pPr>
        <w:pStyle w:val="P3"/>
      </w:pPr>
      <w:bookmarkEnd w:id="112"/>
      <w:bookmarkStart w:id="113" w:name="_Toc191546097"/>
      <w:r>
        <w:t>Angöring skola</w:t>
      </w:r>
      <w:bookmarkEnd w:id="113"/>
    </w:p>
    <w:p>
      <w:bookmarkStart w:id="114" w:name="pf_trafik05"/>
      <w:r>
        <w:t xml:space="preserve">Skolskjutsen som skjutsar ca hälften av skolans elever angör i planens nordöstra område som endast är avsett för det ändamålet. Personalparkering sker i norra delen där också hämta/lämna-parkering är avsedd. Ytterligare en personalparkering ligger i planens södra område med utfart mot Storgatan. Logistik till och från skolan ligger en bit in på skolgården där transporter färdas enligt röd streckad linje. </w:t>
      </w:r>
    </w:p>
    <w:p>
      <w:pPr>
        <w:rPr>
          <w:i w:val="1"/>
          <w:iCs w:val="1"/>
          <w:sz w:val="18"/>
          <w:szCs w:val="18"/>
        </w:rPr>
      </w:pPr>
      <w:r>
        <w:rPr>
          <w:noProof w:val="1"/>
        </w:rPr>
        <mc:AlternateContent>
          <mc:Choice Requires="wps">
            <w:drawing>
              <wp:anchor xmlns:wp="http://schemas.openxmlformats.org/drawingml/2006/wordprocessingDrawing" distT="0" distB="0" distL="114300" distR="114300" simplePos="0" relativeHeight="7" behindDoc="0" locked="0" layoutInCell="1" allowOverlap="1">
                <wp:simplePos x="0" y="0"/>
                <wp:positionH relativeFrom="column">
                  <wp:posOffset>-361315</wp:posOffset>
                </wp:positionH>
                <wp:positionV relativeFrom="paragraph">
                  <wp:posOffset>1833880</wp:posOffset>
                </wp:positionV>
                <wp:extent cx="1407160" cy="281940"/>
                <wp:effectExtent l="0" t="114300" r="516890" b="22860"/>
                <wp:wrapNone/>
                <wp:docPr id="14" name="Rektangulär bildtext 14"/>
                <wp:cNvGraphicFramePr/>
                <a:graphic xmlns:a="http://schemas.openxmlformats.org/drawingml/2006/main">
                  <a:graphicData uri="http://schemas.microsoft.com/office/word/2010/wordprocessingShape">
                    <wps:wsp>
                      <wps:cNvSpPr/>
                      <wps:spPr>
                        <a:xfrm>
                          <a:off x="0" y="0"/>
                          <a:ext cx="1407160" cy="281940"/>
                        </a:xfrm>
                        <a:prstGeom prst="wedgeRectCallout">
                          <a:avLst>
                            <a:gd name="adj1" fmla="val 84178"/>
                            <a:gd name="adj2" fmla="val -84842"/>
                          </a:avLst>
                        </a:prstGeom>
                      </wps:spPr>
                      <wps:style>
                        <a:lnRef idx="2">
                          <a:schemeClr val="accent1">
                            <a:shade val="50000"/>
                          </a:schemeClr>
                        </a:lnRef>
                        <a:fillRef idx="1">
                          <a:schemeClr val="accent1"/>
                        </a:fillRef>
                        <a:effectRef idx="0">
                          <a:schemeClr val="accent1"/>
                        </a:effectRef>
                        <a:fontRef idx="minor">
                          <a:schemeClr val="lt1"/>
                        </a:fontRef>
                      </wps:style>
                      <wps:txbx>
                        <w:txbxContent>
                          <w:p>
                            <w:pPr>
                              <w:jc w:val="center"/>
                            </w:pPr>
                            <w:r>
                              <w:t>Logistik/rundkörning</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type xmlns:o="urn:schemas-microsoft-com:office:offic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shapetype>
              <v:shape xmlns:o="urn:schemas-microsoft-com:office:office" type="#_x0000_t61" id="Rektangulär bildtext 14" o:spid="_x0000_s1033" style="position:absolute;width:110.8pt;height:22.2pt;z-index:7;mso-wrap-distance-left:9pt;mso-wrap-distance-top:0pt;mso-wrap-distance-right:9pt;mso-wrap-distance-bottom:0pt;margin-left:-28.45pt;margin-top:144.4pt;mso-position-horizontal:absolute;mso-position-horizontal-relative:text;mso-position-vertical:absolute;mso-position-vertical-relative:text;v-text-anchor:middle" o:allowincell="t" strokecolor="#B78000" strokeweight="2pt" stroked="t">
                <v:textbox inset="3mm,1mm,3mm,1mm">
                  <w:txbxContent>
                    <w:p>
                      <w:pPr>
                        <w:jc w:val="center"/>
                      </w:pPr>
                      <w:r>
                        <w:t>Logistik/rundkörning</w:t>
                      </w:r>
                    </w:p>
                  </w:txbxContent>
                </v:textbox>
              </v:shape>
            </w:pict>
          </mc:Fallback>
        </mc:AlternateContent>
      </w:r>
      <w:r>
        <w:rPr>
          <w:noProof w:val="1"/>
        </w:rPr>
        <mc:AlternateContent>
          <mc:Choice Requires="wps">
            <w:drawing>
              <wp:anchor xmlns:wp="http://schemas.openxmlformats.org/drawingml/2006/wordprocessingDrawing" distT="0" distB="0" distL="114300" distR="114300" simplePos="0" relativeHeight="8" behindDoc="0" locked="0" layoutInCell="1" allowOverlap="1">
                <wp:simplePos x="0" y="0"/>
                <wp:positionH relativeFrom="column">
                  <wp:posOffset>1169670</wp:posOffset>
                </wp:positionH>
                <wp:positionV relativeFrom="paragraph">
                  <wp:posOffset>1000760</wp:posOffset>
                </wp:positionV>
                <wp:extent cx="529590" cy="721995"/>
                <wp:effectExtent l="57150" t="38100" r="22860" b="20955"/>
                <wp:wrapNone/>
                <wp:docPr id="20" name="Frihandsfigur 20"/>
                <wp:cNvGraphicFramePr/>
                <a:graphic xmlns:a="http://schemas.openxmlformats.org/drawingml/2006/main">
                  <a:graphicData uri="http://schemas.microsoft.com/office/word/2010/wordprocessingShape">
                    <wps:wsp>
                      <wps:cNvSpPr/>
                      <wps:spPr>
                        <a:xfrm>
                          <a:off x="0" y="0"/>
                          <a:ext cx="529990" cy="722104"/>
                        </a:xfrm>
                        <a:custGeom>
                          <a:gdLst>
                            <a:gd name="connsiteX0" fmla="*/ 0 w 529989"/>
                            <a:gd name="connsiteY0" fmla="*/ 124097 h 722104"/>
                            <a:gd name="connsiteX1" fmla="*/ 160020 w 529989"/>
                            <a:gd name="connsiteY1" fmla="*/ 509451 h 722104"/>
                            <a:gd name="connsiteX2" fmla="*/ 241663 w 529989"/>
                            <a:gd name="connsiteY2" fmla="*/ 685800 h 722104"/>
                            <a:gd name="connsiteX3" fmla="*/ 310243 w 529989"/>
                            <a:gd name="connsiteY3" fmla="*/ 721723 h 722104"/>
                            <a:gd name="connsiteX4" fmla="*/ 463732 w 529989"/>
                            <a:gd name="connsiteY4" fmla="*/ 676003 h 722104"/>
                            <a:gd name="connsiteX5" fmla="*/ 529046 w 529989"/>
                            <a:gd name="connsiteY5" fmla="*/ 578031 h 722104"/>
                            <a:gd name="connsiteX6" fmla="*/ 496389 w 529989"/>
                            <a:gd name="connsiteY6" fmla="*/ 421277 h 722104"/>
                            <a:gd name="connsiteX7" fmla="*/ 414746 w 529989"/>
                            <a:gd name="connsiteY7" fmla="*/ 222068 h 722104"/>
                            <a:gd name="connsiteX8" fmla="*/ 346166 w 529989"/>
                            <a:gd name="connsiteY8" fmla="*/ 0 h 722104"/>
                          </a:gd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529989" h="722104">
                              <a:moveTo>
                                <a:pt x="0" y="124097"/>
                              </a:moveTo>
                              <a:cubicBezTo>
                                <a:pt x="59871" y="269965"/>
                                <a:pt x="119743" y="415834"/>
                                <a:pt x="160020" y="509451"/>
                              </a:cubicBezTo>
                              <a:cubicBezTo>
                                <a:pt x="200297" y="603068"/>
                                <a:pt x="216626" y="650421"/>
                                <a:pt x="241663" y="685800"/>
                              </a:cubicBezTo>
                              <a:cubicBezTo>
                                <a:pt x="266700" y="721179"/>
                                <a:pt x="273232" y="723356"/>
                                <a:pt x="310243" y="721723"/>
                              </a:cubicBezTo>
                              <a:cubicBezTo>
                                <a:pt x="347254" y="720090"/>
                                <a:pt x="427265" y="699952"/>
                                <a:pt x="463732" y="676003"/>
                              </a:cubicBezTo>
                              <a:cubicBezTo>
                                <a:pt x="500199" y="652054"/>
                                <a:pt x="523603" y="620485"/>
                                <a:pt x="529046" y="578031"/>
                              </a:cubicBezTo>
                              <a:cubicBezTo>
                                <a:pt x="534489" y="535577"/>
                                <a:pt x="515439" y="480604"/>
                                <a:pt x="496389" y="421277"/>
                              </a:cubicBezTo>
                              <a:cubicBezTo>
                                <a:pt x="477339" y="361950"/>
                                <a:pt x="439783" y="292281"/>
                                <a:pt x="414746" y="222068"/>
                              </a:cubicBezTo>
                              <a:cubicBezTo>
                                <a:pt x="389709" y="151855"/>
                                <a:pt x="367937" y="75927"/>
                                <a:pt x="346166" y="0"/>
                              </a:cubicBezTo>
                            </a:path>
                          </a:pathLst>
                        </a:custGeom>
                        <a:ln w="19050" cmpd="sng" algn="ctr">
                          <a:solidFill>
                            <a:schemeClr val="accent3"/>
                          </a:solidFill>
                          <a:prstDash val="solid"/>
                          <a:round/>
                          <a:headEnd type="arrow"/>
                          <a:tailEnd type="arrow"/>
                        </a:ln>
                      </wps:spPr>
                      <wps:style>
                        <a:lnRef idx="0">
                          <a:scrgbClr r="0" g="0" b="0"/>
                        </a:lnRef>
                        <a:fillRef idx="0">
                          <a:scrgbClr r="0" g="0" b="0"/>
                        </a:fillRef>
                        <a:effectRef idx="0">
                          <a:scrgbClr r="0" g="0" b="0"/>
                        </a:effectRef>
                        <a:fontRef idx="minor">
                          <a:schemeClr val="tx1"/>
                        </a:fontRef>
                      </wps:style>
                      <wps:txbx>
                        <w:txbxContent>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xmlns:o="urn:schemas-microsoft-com:office:office" id="Frihandsfigur 20" o:spid="_x0000_s1034" style="position:absolute;width:41.7pt;height:56.85pt;z-index:8;mso-wrap-distance-left:9pt;mso-wrap-distance-top:0pt;mso-wrap-distance-right:9pt;mso-wrap-distance-bottom:0pt;margin-left:92.1pt;margin-top:78.8pt;mso-position-horizontal:absolute;mso-position-horizontal-relative:text;mso-position-vertical:absolute;mso-position-vertical-relative:text;v-text-anchor:middle" o:allowincell="t" strokecolor="#E40040" strokeweight="1.5pt" stroked="t" coordsize="834,1137" path="m0,124097c59871,269965,119743,415834,160020,509451,200297,603068,216626,650421,241663,685800,266700,721179,273232,723356,310243,721723,347254,720090,427265,699952,463732,676003,500199,652054,523603,620485,529046,578031,534489,535577,515439,480604,496389,421277,477339,361950,439783,292281,414746,222068,389709,151855,367937,75927,346166,e">
                <v:textbox inset="3mm,1mm,3mm,1mm">
                  <w:txbxContent>
                    <w:p/>
                  </w:txbxContent>
                </v:textbox>
                <v:stroke startarrow="open" endarrow="open"/>
              </v:shape>
            </w:pict>
          </mc:Fallback>
        </mc:AlternateContent>
      </w:r>
      <w:r>
        <w:rPr>
          <w:noProof w:val="1"/>
        </w:rPr>
        <mc:AlternateContent>
          <mc:Choice Requires="wps">
            <w:drawing>
              <wp:anchor xmlns:wp="http://schemas.openxmlformats.org/drawingml/2006/wordprocessingDrawing" distT="0" distB="0" distL="114300" distR="114300" simplePos="0" relativeHeight="5" behindDoc="0" locked="0" layoutInCell="1" allowOverlap="1">
                <wp:simplePos x="0" y="0"/>
                <wp:positionH relativeFrom="column">
                  <wp:posOffset>-712470</wp:posOffset>
                </wp:positionH>
                <wp:positionV relativeFrom="paragraph">
                  <wp:posOffset>1047115</wp:posOffset>
                </wp:positionV>
                <wp:extent cx="1345565" cy="431165"/>
                <wp:effectExtent l="0" t="0" r="578485" b="26035"/>
                <wp:wrapNone/>
                <wp:docPr id="12" name="Rektangulär bildtext 12"/>
                <wp:cNvGraphicFramePr/>
                <a:graphic xmlns:a="http://schemas.openxmlformats.org/drawingml/2006/main">
                  <a:graphicData uri="http://schemas.microsoft.com/office/word/2010/wordprocessingShape">
                    <wps:wsp>
                      <wps:cNvSpPr/>
                      <wps:spPr>
                        <a:xfrm>
                          <a:off x="0" y="0"/>
                          <a:ext cx="1345565" cy="431165"/>
                        </a:xfrm>
                        <a:prstGeom prst="wedgeRectCallout">
                          <a:avLst>
                            <a:gd name="adj1" fmla="val 89839"/>
                            <a:gd name="adj2" fmla="val 7324"/>
                          </a:avLst>
                        </a:prstGeom>
                      </wps:spPr>
                      <wps:style>
                        <a:lnRef idx="2">
                          <a:schemeClr val="accent1">
                            <a:shade val="50000"/>
                          </a:schemeClr>
                        </a:lnRef>
                        <a:fillRef idx="1">
                          <a:schemeClr val="accent1"/>
                        </a:fillRef>
                        <a:effectRef idx="0">
                          <a:schemeClr val="accent1"/>
                        </a:effectRef>
                        <a:fontRef idx="minor">
                          <a:schemeClr val="lt1"/>
                        </a:fontRef>
                      </wps:style>
                      <wps:txbx>
                        <w:txbxContent>
                          <w:p>
                            <w:pPr>
                              <w:jc w:val="center"/>
                            </w:pPr>
                            <w:r>
                              <w:t>Personalparkering hämta/lämna</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xmlns:o="urn:schemas-microsoft-com:office:office" type="#_x0000_t61" id="Rektangulär bildtext 12" o:spid="_x0000_s1035" style="position:absolute;width:105.95pt;height:33.95pt;z-index:5;mso-wrap-distance-left:9pt;mso-wrap-distance-top:0pt;mso-wrap-distance-right:9pt;mso-wrap-distance-bottom:0pt;margin-left:-56.1pt;margin-top:82.45pt;mso-position-horizontal:absolute;mso-position-horizontal-relative:text;mso-position-vertical:absolute;mso-position-vertical-relative:text;v-text-anchor:middle" o:allowincell="t" strokecolor="#B78000" strokeweight="2pt" stroked="t">
                <v:textbox inset="3mm,1mm,3mm,1mm">
                  <w:txbxContent>
                    <w:p>
                      <w:pPr>
                        <w:jc w:val="center"/>
                      </w:pPr>
                      <w:r>
                        <w:t>Personalparkering hämta/lämna</w:t>
                      </w:r>
                    </w:p>
                  </w:txbxContent>
                </v:textbox>
              </v:shape>
            </w:pict>
          </mc:Fallback>
        </mc:AlternateContent>
      </w:r>
      <w:r>
        <w:rPr>
          <w:noProof w:val="1"/>
        </w:rPr>
        <mc:AlternateContent>
          <mc:Choice Requires="wps">
            <w:drawing>
              <wp:anchor xmlns:wp="http://schemas.openxmlformats.org/drawingml/2006/wordprocessingDrawing" distT="0" distB="0" distL="114300" distR="114300" simplePos="0" relativeHeight="6" behindDoc="0" locked="0" layoutInCell="1" allowOverlap="1">
                <wp:simplePos x="0" y="0"/>
                <wp:positionH relativeFrom="column">
                  <wp:posOffset>3484880</wp:posOffset>
                </wp:positionH>
                <wp:positionV relativeFrom="paragraph">
                  <wp:posOffset>192405</wp:posOffset>
                </wp:positionV>
                <wp:extent cx="952500" cy="289560"/>
                <wp:effectExtent l="990600" t="0" r="19050" b="243840"/>
                <wp:wrapNone/>
                <wp:docPr id="13" name="Rektangulär bildtext 13"/>
                <wp:cNvGraphicFramePr/>
                <a:graphic xmlns:a="http://schemas.openxmlformats.org/drawingml/2006/main">
                  <a:graphicData uri="http://schemas.microsoft.com/office/word/2010/wordprocessingShape">
                    <wps:wsp>
                      <wps:cNvSpPr/>
                      <wps:spPr>
                        <a:xfrm>
                          <a:off x="0" y="0"/>
                          <a:ext cx="952500" cy="289560"/>
                        </a:xfrm>
                        <a:prstGeom prst="wedgeRectCallout">
                          <a:avLst>
                            <a:gd name="adj1" fmla="val -153340"/>
                            <a:gd name="adj2" fmla="val 123641"/>
                          </a:avLst>
                        </a:prstGeom>
                      </wps:spPr>
                      <wps:style>
                        <a:lnRef idx="2">
                          <a:schemeClr val="accent1">
                            <a:shade val="50000"/>
                          </a:schemeClr>
                        </a:lnRef>
                        <a:fillRef idx="1">
                          <a:schemeClr val="accent1"/>
                        </a:fillRef>
                        <a:effectRef idx="0">
                          <a:schemeClr val="accent1"/>
                        </a:effectRef>
                        <a:fontRef idx="minor">
                          <a:schemeClr val="lt1"/>
                        </a:fontRef>
                      </wps:style>
                      <wps:txbx>
                        <w:txbxContent>
                          <w:p>
                            <w:pPr>
                              <w:jc w:val="center"/>
                            </w:pPr>
                            <w:r>
                              <w:t>Skolskjuts</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xmlns:o="urn:schemas-microsoft-com:office:office" type="#_x0000_t61" id="Rektangulär bildtext 13" o:spid="_x0000_s1036" style="position:absolute;width:75pt;height:22.8pt;z-index:6;mso-wrap-distance-left:9pt;mso-wrap-distance-top:0pt;mso-wrap-distance-right:9pt;mso-wrap-distance-bottom:0pt;margin-left:274.4pt;margin-top:15.15pt;mso-position-horizontal:absolute;mso-position-horizontal-relative:text;mso-position-vertical:absolute;mso-position-vertical-relative:text;v-text-anchor:middle" o:allowincell="t" strokecolor="#B78000" strokeweight="2pt" stroked="t">
                <v:textbox inset="3mm,1mm,3mm,1mm">
                  <w:txbxContent>
                    <w:p>
                      <w:pPr>
                        <w:jc w:val="center"/>
                      </w:pPr>
                      <w:r>
                        <w:t>Skolskjuts</w:t>
                      </w:r>
                    </w:p>
                  </w:txbxContent>
                </v:textbox>
              </v:shape>
            </w:pict>
          </mc:Fallback>
        </mc:AlternateContent>
      </w:r>
      <w:r>
        <w:rPr>
          <w:noProof w:val="1"/>
        </w:rPr>
        <mc:AlternateContent>
          <mc:Choice Requires="wps">
            <w:drawing>
              <wp:anchor xmlns:wp="http://schemas.openxmlformats.org/drawingml/2006/wordprocessingDrawing" distT="0" distB="0" distL="114300" distR="114300" simplePos="0" relativeHeight="1" behindDoc="0" locked="0" layoutInCell="1" allowOverlap="1">
                <wp:simplePos x="0" y="0"/>
                <wp:positionH relativeFrom="column">
                  <wp:posOffset>1160780</wp:posOffset>
                </wp:positionH>
                <wp:positionV relativeFrom="paragraph">
                  <wp:posOffset>945515</wp:posOffset>
                </wp:positionV>
                <wp:extent cx="789940" cy="353695"/>
                <wp:effectExtent l="57150" t="152400" r="67310" b="160655"/>
                <wp:wrapNone/>
                <wp:docPr id="7" name="Rektangel med rundade hörn 7"/>
                <wp:cNvGraphicFramePr/>
                <a:graphic xmlns:a="http://schemas.openxmlformats.org/drawingml/2006/main">
                  <a:graphicData uri="http://schemas.microsoft.com/office/word/2010/wordprocessingShape">
                    <wps:wsp>
                      <wps:cNvSpPr/>
                      <wps:spPr>
                        <a:xfrm rot="20355529">
                          <a:off x="0" y="0"/>
                          <a:ext cx="789940" cy="353695"/>
                        </a:xfrm>
                        <a:prstGeom prst="roundRect">
                          <a:avLst>
                            <a:gd name="adj" fmla="val 0"/>
                          </a:avLst>
                        </a:prstGeom>
                        <a:noFill/>
                        <a:ln w="38100"/>
                      </wps:spPr>
                      <wps:style>
                        <a:lnRef idx="2">
                          <a:schemeClr val="accent1">
                            <a:shade val="50000"/>
                          </a:schemeClr>
                        </a:lnRef>
                        <a:fillRef idx="1">
                          <a:schemeClr val="accent1"/>
                        </a:fillRef>
                        <a:effectRef idx="0">
                          <a:schemeClr val="accent1"/>
                        </a:effectRef>
                        <a:fontRef idx="minor">
                          <a:schemeClr val="lt1"/>
                        </a:fontRef>
                      </wps:style>
                      <wps:txbx>
                        <w:txbxContent>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xmlns:o="urn:schemas-microsoft-com:office:office" id="Rektangel med rundade hörn 7" o:spid="_x0000_s1037" style="position:absolute;width:62.2pt;height:27.85pt;z-index:1;mso-wrap-distance-left:9pt;mso-wrap-distance-top:0pt;mso-wrap-distance-right:9pt;mso-wrap-distance-bottom:0pt;margin-left:91.4pt;margin-top:74.45pt;mso-position-horizontal:absolute;mso-position-horizontal-relative:text;mso-position-vertical:absolute;mso-position-vertical-relative:text;v-text-anchor:middle;rotation:22233665fd" o:allowincell="t" filled="f" strokecolor="#B78000" strokeweight="3pt" stroked="t">
                <v:textbox inset="3mm,1mm,3mm,1mm">
                  <w:txbxContent>
                    <w:p/>
                  </w:txbxContent>
                </v:textbox>
              </v:roundrect>
            </w:pict>
          </mc:Fallback>
        </mc:AlternateContent>
      </w:r>
      <w:r>
        <w:rPr>
          <w:noProof w:val="1"/>
        </w:rPr>
        <mc:AlternateContent>
          <mc:Choice Requires="wps">
            <w:drawing>
              <wp:anchor xmlns:wp="http://schemas.openxmlformats.org/drawingml/2006/wordprocessingDrawing" distT="0" distB="0" distL="114300" distR="114300" simplePos="0" relativeHeight="4" behindDoc="0" locked="0" layoutInCell="1" allowOverlap="1">
                <wp:simplePos x="0" y="0"/>
                <wp:positionH relativeFrom="column">
                  <wp:posOffset>33655</wp:posOffset>
                </wp:positionH>
                <wp:positionV relativeFrom="paragraph">
                  <wp:posOffset>2909570</wp:posOffset>
                </wp:positionV>
                <wp:extent cx="1241425" cy="321945"/>
                <wp:effectExtent l="0" t="0" r="854075" b="20955"/>
                <wp:wrapNone/>
                <wp:docPr id="10" name="Rektangulär bildtext 10"/>
                <wp:cNvGraphicFramePr/>
                <a:graphic xmlns:a="http://schemas.openxmlformats.org/drawingml/2006/main">
                  <a:graphicData uri="http://schemas.microsoft.com/office/word/2010/wordprocessingShape">
                    <wps:wsp>
                      <wps:cNvSpPr/>
                      <wps:spPr>
                        <a:xfrm>
                          <a:off x="0" y="0"/>
                          <a:ext cx="1241425" cy="321945"/>
                        </a:xfrm>
                        <a:prstGeom prst="wedgeRectCallout">
                          <a:avLst>
                            <a:gd name="adj1" fmla="val 117670"/>
                            <a:gd name="adj2" fmla="val -21996"/>
                          </a:avLst>
                        </a:prstGeom>
                      </wps:spPr>
                      <wps:style>
                        <a:lnRef idx="2">
                          <a:schemeClr val="accent1">
                            <a:shade val="50000"/>
                          </a:schemeClr>
                        </a:lnRef>
                        <a:fillRef idx="1">
                          <a:schemeClr val="accent1"/>
                        </a:fillRef>
                        <a:effectRef idx="0">
                          <a:schemeClr val="accent1"/>
                        </a:effectRef>
                        <a:fontRef idx="minor">
                          <a:schemeClr val="lt1"/>
                        </a:fontRef>
                      </wps:style>
                      <wps:txbx>
                        <w:txbxContent>
                          <w:p>
                            <w:pPr>
                              <w:jc w:val="center"/>
                            </w:pPr>
                            <w:r>
                              <w:t>Personalparkering</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xmlns:o="urn:schemas-microsoft-com:office:office" type="#_x0000_t61" id="Rektangulär bildtext 10" o:spid="_x0000_s1038" style="position:absolute;width:97.75pt;height:25.35pt;z-index:4;mso-wrap-distance-left:9pt;mso-wrap-distance-top:0pt;mso-wrap-distance-right:9pt;mso-wrap-distance-bottom:0pt;margin-left:2.65pt;margin-top:229.1pt;mso-position-horizontal:absolute;mso-position-horizontal-relative:text;mso-position-vertical:absolute;mso-position-vertical-relative:text;v-text-anchor:middle" o:allowincell="t" strokecolor="#B78000" strokeweight="2pt" stroked="t">
                <v:textbox inset="3mm,1mm,3mm,1mm">
                  <w:txbxContent>
                    <w:p>
                      <w:pPr>
                        <w:jc w:val="center"/>
                      </w:pPr>
                      <w:r>
                        <w:t>Personalparkering</w:t>
                      </w:r>
                    </w:p>
                  </w:txbxContent>
                </v:textbox>
              </v:shape>
            </w:pict>
          </mc:Fallback>
        </mc:AlternateContent>
      </w:r>
      <w:r>
        <w:rPr>
          <w:noProof w:val="1"/>
        </w:rPr>
        <mc:AlternateContent>
          <mc:Choice Requires="wps">
            <w:drawing>
              <wp:anchor xmlns:wp="http://schemas.openxmlformats.org/drawingml/2006/wordprocessingDrawing" distT="0" distB="0" distL="114300" distR="114300" simplePos="0" relativeHeight="3" behindDoc="0" locked="0" layoutInCell="1" allowOverlap="1">
                <wp:simplePos x="0" y="0"/>
                <wp:positionH relativeFrom="column">
                  <wp:posOffset>2055495</wp:posOffset>
                </wp:positionH>
                <wp:positionV relativeFrom="paragraph">
                  <wp:posOffset>2653030</wp:posOffset>
                </wp:positionV>
                <wp:extent cx="240665" cy="367030"/>
                <wp:effectExtent l="76200" t="57150" r="83185" b="52070"/>
                <wp:wrapNone/>
                <wp:docPr id="9" name="Rektangel 9"/>
                <wp:cNvGraphicFramePr/>
                <a:graphic xmlns:a="http://schemas.openxmlformats.org/drawingml/2006/main">
                  <a:graphicData uri="http://schemas.microsoft.com/office/word/2010/wordprocessingShape">
                    <wps:wsp>
                      <wps:cNvSpPr/>
                      <wps:spPr>
                        <a:xfrm rot="20390160">
                          <a:off x="0" y="0"/>
                          <a:ext cx="241098" cy="367048"/>
                        </a:xfrm>
                        <a:prstGeom prst="rect"/>
                        <a:noFill/>
                        <a:ln w="38100"/>
                      </wps:spPr>
                      <wps:style>
                        <a:lnRef idx="2">
                          <a:schemeClr val="accent1">
                            <a:shade val="50000"/>
                          </a:schemeClr>
                        </a:lnRef>
                        <a:fillRef idx="1">
                          <a:schemeClr val="accent1"/>
                        </a:fillRef>
                        <a:effectRef idx="0">
                          <a:schemeClr val="accent1"/>
                        </a:effectRef>
                        <a:fontRef idx="minor">
                          <a:schemeClr val="lt1"/>
                        </a:fontRef>
                      </wps:style>
                      <wps:txbx>
                        <w:txbxContent>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xmlns:o="urn:schemas-microsoft-com:office:office" id="Rektangel 9" o:spid="_x0000_s1039" style="position:absolute;width:18.95pt;height:28.9pt;z-index:3;mso-wrap-distance-left:9pt;mso-wrap-distance-top:0pt;mso-wrap-distance-right:9pt;mso-wrap-distance-bottom:0pt;margin-left:161.85pt;margin-top:208.9pt;mso-position-horizontal:absolute;mso-position-horizontal-relative:text;mso-position-vertical:absolute;mso-position-vertical-relative:text;v-text-anchor:middle;rotation:22271492fd" o:allowincell="t" filled="f" strokecolor="#B78000" strokeweight="3pt" stroked="t">
                <v:textbox inset="3mm,1mm,3mm,1mm">
                  <w:txbxContent>
                    <w:p/>
                  </w:txbxContent>
                </v:textbox>
              </v:rect>
            </w:pict>
          </mc:Fallback>
        </mc:AlternateContent>
      </w:r>
      <w:r>
        <w:rPr>
          <w:noProof w:val="1"/>
        </w:rPr>
        <mc:AlternateContent>
          <mc:Choice Requires="wps">
            <w:drawing>
              <wp:anchor xmlns:wp="http://schemas.openxmlformats.org/drawingml/2006/wordprocessingDrawing" distT="0" distB="0" distL="114300" distR="114300" simplePos="0" relativeHeight="2" behindDoc="0" locked="0" layoutInCell="1" allowOverlap="1">
                <wp:simplePos x="0" y="0"/>
                <wp:positionH relativeFrom="column">
                  <wp:posOffset>1953895</wp:posOffset>
                </wp:positionH>
                <wp:positionV relativeFrom="paragraph">
                  <wp:posOffset>685800</wp:posOffset>
                </wp:positionV>
                <wp:extent cx="550545" cy="215900"/>
                <wp:effectExtent l="38100" t="114300" r="20955" b="107950"/>
                <wp:wrapNone/>
                <wp:docPr id="8" name="Rektangel med rundade hörn 8"/>
                <wp:cNvGraphicFramePr/>
                <a:graphic xmlns:a="http://schemas.openxmlformats.org/drawingml/2006/main">
                  <a:graphicData uri="http://schemas.microsoft.com/office/word/2010/wordprocessingShape">
                    <wps:wsp>
                      <wps:cNvSpPr/>
                      <wps:spPr>
                        <a:xfrm rot="20355529">
                          <a:off x="0" y="0"/>
                          <a:ext cx="550932" cy="216146"/>
                        </a:xfrm>
                        <a:prstGeom prst="roundRect"/>
                        <a:noFill/>
                        <a:ln w="38100" cmpd="sng" algn="ctr">
                          <a:solidFill>
                            <a:srgbClr val="F9B000">
                              <a:shade val="50000"/>
                            </a:srgbClr>
                          </a:solidFill>
                          <a:prstDash val="solid"/>
                        </a:ln>
                        <a:effectLs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xmlns:o="urn:schemas-microsoft-com:office:office" id="Rektangel med rundade hörn 8" o:spid="_x0000_s1040" style="position:absolute;width:43.35pt;height:17pt;z-index:2;mso-wrap-distance-left:9pt;mso-wrap-distance-top:0pt;mso-wrap-distance-right:9pt;mso-wrap-distance-bottom:0pt;margin-left:153.85pt;margin-top:54pt;mso-position-horizontal:absolute;mso-position-horizontal-relative:text;mso-position-vertical:absolute;mso-position-vertical-relative:text;v-text-anchor:middle;rotation:22233665fd" o:allowincell="t" filled="f" strokecolor="#B78000" strokeweight="3pt" stroked="t">
                <v:textbox inset="3mm,1mm,3mm,1mm">
                  <w:txbxContent>
                    <w:p/>
                  </w:txbxContent>
                </v:textbox>
              </v:roundrect>
            </w:pict>
          </mc:Fallback>
        </mc:AlternateContent>
      </w:r>
      <w:r>
        <w:rPr>
          <w:noProof w:val="1"/>
        </w:rPr>
        <w:drawing>
          <wp:inline xmlns:wp="http://schemas.openxmlformats.org/drawingml/2006/wordprocessingDrawing" distT="0" distB="0" distL="0" distR="0">
            <wp:extent cx="4679950" cy="3446145"/>
            <wp:effectExtent l="0" t="0" r="6350" b="1905"/>
            <wp:docPr id="6" name="Bildobjekt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83"/>
                    <pic:cNvPicPr/>
                  </pic:nvPicPr>
                  <pic:blipFill dpi="0">
                    <a:blip xmlns:r="http://schemas.openxmlformats.org/officeDocument/2006/relationships" r:embed="Relimage16"/>
                    <a:srcRect/>
                    <a:stretch>
                      <a:fillRect/>
                    </a:stretch>
                  </pic:blipFill>
                  <pic:spPr>
                    <a:xfrm>
                      <a:off x="0" y="0"/>
                      <a:ext cx="4679950" cy="3446145"/>
                    </a:xfrm>
                    <a:prstGeom prst="rect"/>
                  </pic:spPr>
                </pic:pic>
              </a:graphicData>
            </a:graphic>
          </wp:inline>
        </w:drawing>
      </w:r>
      <w:r>
        <w:br w:type="textWrapping"/>
      </w:r>
      <w:r>
        <w:rPr>
          <w:i w:val="1"/>
          <w:iCs w:val="1"/>
          <w:sz w:val="18"/>
          <w:szCs w:val="18"/>
        </w:rPr>
        <w:t>Bild visar tranangöring samt parkeringsplatser över skolgården.</w:t>
      </w:r>
    </w:p>
    <w:p>
      <w:pPr>
        <w:rPr>
          <w:b w:val="1"/>
          <w:i w:val="1"/>
        </w:rPr>
      </w:pPr>
      <w:bookmarkEnd w:id="114"/>
      <w:r>
        <w:rPr>
          <w:b w:val="1"/>
          <w:i w:val="1"/>
        </w:rPr>
        <w:t>Konsekvenser</w:t>
      </w:r>
    </w:p>
    <w:p>
      <w:bookmarkStart w:id="115" w:name="ko_trafik04"/>
      <w:r>
        <w:t>Angöring till skolan föreslås enligt ny detaljplan att koncentrera transporter, skolskjuts och hämta/lämna längs med Järnvägsgatan. Transporter till tillagningsköket ska ske separerat från övrig angöring. Angöring för gående och cyklister sker mot skolans huvudentré mot Storgatan.</w:t>
      </w:r>
    </w:p>
    <w:p>
      <w:r>
        <w:t>Den nya detaljplanen möjliggör angöringsområden att samlas längs med Järnvägsgatan. Här kan transporter, skolskjutsar och hämtning/lämning av elever ske på ett smidigt och effektivt sätt. Även Storgatan möjliggörs några fler hämta/lämna-parkeringar tillsammans med de som finns på närliggande gator. För att säkerställa en trygg och effektiv transport till skolans tillagningskök, kommer dessa transporter att hållas åtskilda från övrig angöring. Dessutom kommer gång- och cykeltrafikanter att hänvisas till skolans huvudentré, som vetter mot Storgatan, vilket främjar en säkrare och mer ordnad tillströmning av elever.</w:t>
      </w:r>
    </w:p>
    <w:p>
      <w:pPr>
        <w:pStyle w:val="P3"/>
      </w:pPr>
      <w:bookmarkEnd w:id="115"/>
      <w:bookmarkStart w:id="116" w:name="_Toc191546098"/>
      <w:r>
        <w:t>Parkering</w:t>
      </w:r>
      <w:bookmarkEnd w:id="116"/>
    </w:p>
    <w:p>
      <w:bookmarkStart w:id="117" w:name="pf_trafik06"/>
      <w:r>
        <w:t>Det finns två större parkeringar inom området, den norra parkeringen har ca 30 parkeringsplatser och södra ca 10 platser. Utanför planområdet finns det en större parkering på Nygatan och Kyrkogatan ca 100 meter från skolgården.</w:t>
      </w:r>
    </w:p>
    <w:p>
      <w:pPr>
        <w:rPr>
          <w:b w:val="1"/>
          <w:i w:val="1"/>
        </w:rPr>
      </w:pPr>
      <w:bookmarkEnd w:id="117"/>
      <w:r>
        <w:rPr>
          <w:b w:val="1"/>
          <w:i w:val="1"/>
        </w:rPr>
        <w:t>Konsekvenser</w:t>
      </w:r>
    </w:p>
    <w:p>
      <w:bookmarkStart w:id="118" w:name="ko_trafik05"/>
      <w:r>
        <w:t>Parkeringen är utifrån dagens situation tillräcklig för de anställda som arbetar på skolan. En ny skola innebär inte fler antal anställda och vid behov av fler parkeringsplatser finns utrymme för detta i nya detaljplanen genom att effektivisera befintlig parkering eller att utöka vid behov längs med Kungsvägen eller Järnvägsgatan. Det är viktigt att inte utbyggnad av parkeringen kommer i konflikt med friytor på skolgården och att man placerar parkering i områdets ytterdelar. Det finns även närliggande kommunala parkeringar som kan användas.</w:t>
      </w:r>
    </w:p>
    <w:p>
      <w:pPr>
        <w:pStyle w:val="P2"/>
      </w:pPr>
      <w:bookmarkEnd w:id="118"/>
      <w:bookmarkStart w:id="119" w:name="_Toc191546099"/>
      <w:r>
        <w:t>Miljö</w:t>
      </w:r>
      <w:bookmarkEnd w:id="119"/>
    </w:p>
    <w:p>
      <w:pPr>
        <w:pStyle w:val="P3"/>
      </w:pPr>
      <w:bookmarkStart w:id="120" w:name="_Toc191546100"/>
      <w:r>
        <w:t>Undersökning av betydande miljöpåverkan</w:t>
      </w:r>
      <w:bookmarkEnd w:id="120"/>
    </w:p>
    <w:p>
      <w:bookmarkStart w:id="121" w:name="ko_miljöbedömning01"/>
      <w:r>
        <w:t>Undersökningen syftar till att upptäcka eventuella risker och konflikter mellan önskemålen om exploatering och miljö, hälsa eller hushållning av naturresurser. Undersökningen ska utgöra underlag för kommunens beslut om en miljöbedömning ska utföras för detaljplanen. Enligt 6 kap. 5 § miljöbalken (1998:808) ska kommunen göra en undersökning av behovet av en strategisk miljöbedömning när en detaljplan eller ett program ska upprättas eller ändras. Kommunen ska bedöma om någon enskild eller flera aspekter tillsammans kan antas medföra en betydande miljöpåverkan. Bedöms planen inte medföra någon betydande miljöpåverkan hanteras miljöfrågorna inom ramen för detaljplanearbetet. För en plan som kan antas innebära betydande miljöpåverkans skall enligt 6 kap Miljöbalken (1998:808) en strategisk miljöbedömning göras.</w:t>
      </w:r>
    </w:p>
    <w:p>
      <w:pPr>
        <w:rPr>
          <w:i w:val="1"/>
        </w:rPr>
      </w:pPr>
      <w:r>
        <w:t xml:space="preserve">Ödeshögs kommun har en framtagen checklista för att undersöka om planen har en betydande miljöpåverkan. Undersökningen finns att läsa i sin helhet i tillhörande planhandling </w:t>
      </w:r>
      <w:r>
        <w:rPr>
          <w:i w:val="1"/>
        </w:rPr>
        <w:t>Undersökning om betydande miljöpåverkan.pdf.</w:t>
      </w:r>
    </w:p>
    <w:p>
      <w:pPr>
        <w:pStyle w:val="P3"/>
      </w:pPr>
      <w:bookmarkEnd w:id="121"/>
      <w:bookmarkStart w:id="122" w:name="_Toc191546101"/>
      <w:r>
        <w:t>Sammanvägd bedömning</w:t>
      </w:r>
      <w:bookmarkEnd w:id="122"/>
    </w:p>
    <w:p>
      <w:bookmarkStart w:id="123" w:name="ko_miljöbedömning02"/>
      <w:r>
        <w:t>Kommunen gör den sammanvägda bedömningen att effekterna av detaljplanens genomförande innebär mycket liten påverkan på miljön.</w:t>
      </w:r>
    </w:p>
    <w:p>
      <w:r>
        <w:t xml:space="preserve">Sammantaget bedöms påverkan för människors hälsa eller för miljön inte vara negativ. </w:t>
      </w:r>
    </w:p>
    <w:p>
      <w:r>
        <w:t>Den aktuella detaljplanen bedöms inte kunna ge upphov till betydande miljöpåverkan. En miljökonsekvensbeskrivning enligt 4 kap. 34 § PBL behöver därför inte upprättas för detaljplanen. En beskrivning av planens inverkan på miljön har gjorts i planbeskrivningen.</w:t>
      </w:r>
    </w:p>
    <w:p>
      <w:pPr>
        <w:pStyle w:val="P3"/>
      </w:pPr>
      <w:bookmarkEnd w:id="123"/>
      <w:bookmarkStart w:id="124" w:name="_Toc191546102"/>
      <w:r>
        <w:t>Miljökvalitetsnormer</w:t>
      </w:r>
      <w:bookmarkEnd w:id="124"/>
    </w:p>
    <w:p>
      <w:pPr>
        <w:pStyle w:val="P3"/>
      </w:pPr>
      <w:bookmarkStart w:id="125" w:name="_Toc191546103"/>
      <w:r>
        <w:t>Vatten</w:t>
      </w:r>
      <w:bookmarkEnd w:id="125"/>
    </w:p>
    <w:p>
      <w:bookmarkStart w:id="126" w:name="ko_vatten01"/>
      <w:r>
        <w:t xml:space="preserve">Vättern - Storvättern är slutrecipient för dagvattenavrinningen för planområdet. Recipienten uppnår god ekologisk status men uppnår inte god kemisk ytvattenstatus i förvaltningscykel 3 (2017-2021). Hanteringen av dagvatten inom planområdet bedöms inte ha någon negativ påverkan på miljökvalitetsnormen för recipienten. </w:t>
      </w:r>
    </w:p>
    <w:p>
      <w:bookmarkEnd w:id="126"/>
    </w:p>
    <w:p/>
    <w:p/>
    <w:p>
      <w:pPr>
        <w:pStyle w:val="P2"/>
      </w:pPr>
      <w:bookmarkStart w:id="127" w:name="_Toc191546104"/>
      <w:r>
        <w:t>Social hållbarhet</w:t>
      </w:r>
      <w:bookmarkEnd w:id="127"/>
    </w:p>
    <w:p>
      <w:pPr>
        <w:pStyle w:val="P3"/>
      </w:pPr>
      <w:bookmarkStart w:id="128" w:name="_Toc191546105"/>
      <w:r>
        <w:t>Barnperspektivet</w:t>
      </w:r>
      <w:bookmarkEnd w:id="128"/>
    </w:p>
    <w:p>
      <w:bookmarkStart w:id="129" w:name="ko_barn01"/>
      <w:r>
        <w:t xml:space="preserve">I arbetet med att ta fram en ny detaljplan har arbetet utgått från hur placering, trafiklösning och kopplingar till skolan kommer få bäst effekt utifrån barnens perspektiv. Detaljplanen möjliggör ny gång-och cykelbana och även separering av hämta/lämnaplatser, varutransporter och skolskjuts. En placering av skolan mot Storgatan skapar även en skyddad miljö för barnen på skolområdet. </w:t>
      </w:r>
    </w:p>
    <w:p>
      <w:r>
        <w:t>Utformning av skola och skolmiljö kommer ske med barnperspektivet i fokus vilket ska genomföras parallellt med planprocessen i byggprojektet via planerade workshops med eleverna.</w:t>
      </w:r>
      <w:r>
        <w:rPr>
          <w:color w:val="FF0000"/>
        </w:rPr>
        <w:t xml:space="preserve"> </w:t>
      </w:r>
    </w:p>
    <w:p>
      <w:pPr>
        <w:pStyle w:val="P2"/>
      </w:pPr>
      <w:bookmarkEnd w:id="129"/>
      <w:bookmarkStart w:id="130" w:name="_Toc191546106"/>
      <w:r>
        <w:t>Teknisk försörjning</w:t>
      </w:r>
      <w:bookmarkEnd w:id="130"/>
    </w:p>
    <w:p>
      <w:pPr>
        <w:pStyle w:val="P3"/>
      </w:pPr>
      <w:bookmarkStart w:id="131" w:name="_Toc191546107"/>
      <w:r>
        <w:t>Vatten och spillvatten</w:t>
      </w:r>
      <w:bookmarkEnd w:id="131"/>
    </w:p>
    <w:p>
      <w:bookmarkStart w:id="132" w:name="pf_teknik01"/>
      <w:r>
        <w:t>Området är anslutet till kommunens va-nät. Kommunen är huvudman för vatten- och avloppsledningarna inom området och ansvarar därmed för drift och underhåll av dessa.</w:t>
      </w:r>
    </w:p>
    <w:p>
      <w:pPr>
        <w:pStyle w:val="P3"/>
      </w:pPr>
      <w:bookmarkEnd w:id="132"/>
      <w:bookmarkStart w:id="133" w:name="_Toc191546108"/>
      <w:r>
        <w:t>Dagvatten</w:t>
      </w:r>
      <w:bookmarkEnd w:id="133"/>
      <w:r>
        <w:t xml:space="preserve"> </w:t>
      </w:r>
    </w:p>
    <w:p>
      <w:bookmarkStart w:id="134" w:name="pf_dagvatten01"/>
      <w:r>
        <w:t xml:space="preserve">Området är anslutet till kommunens dagvattenledningar. En ny detaljplan kommer att förbättra dagvattnets funktion jämfört med dagens användning. Nuvarande planområde består av stora delar hårdgjorda ytor som via tak, asfalterade ytor m.m. leds via brunnar till kommunens dagvattenledningar i Kungsvägen utan fördröjning där dagvattenledningarna har en begränsad kapacitet. Recipienten är Vättern och dagvattnet leds via biodammar för sedimentering innan det når Vättern. </w:t>
      </w:r>
    </w:p>
    <w:p>
      <w:r>
        <w:t xml:space="preserve">För att mer i detalj utreda hur dagvattnet ska hanteras har ett PM för dagvatten tagits fram av konsult. Se </w:t>
      </w:r>
      <w:r>
        <w:rPr>
          <w:i w:val="1"/>
          <w:iCs w:val="1"/>
        </w:rPr>
        <w:t>PM Dagvatten Fridtjuv Berg skola</w:t>
      </w:r>
    </w:p>
    <w:p>
      <w:r>
        <w:t xml:space="preserve">Den föreslagna dagvattenhanteringen för området innebär att takvatten huvudsakligen leds bort via markledningar, och vid entréerna avleds vattnet in i planteringsytor med bräddutlopp genom kupolbrunnar. Grönytor och slänter används för att avleda vatten från hårdgjorda ytor, men större delen av vattnet avleds genom dagvattenbrunnar och ett ledningsnät. </w:t>
      </w:r>
    </w:p>
    <w:p>
      <w:pPr>
        <w:spacing w:lineRule="auto" w:line="240" w:before="100" w:after="100" w:beforeAutospacing="1" w:afterAutospacing="1"/>
      </w:pPr>
      <w:r>
        <w:t>För att förhindra översvämning skapas en fördröjningsvolym om cirka 330 m³ för att hantera ett regn med 10 års återkomsttid. Fördröjningen sker genom en torrdamm och ett underjordiskt kassettmagasin. Torrdammen är utformad för att inte ha permanent vatten och ska ha flacka slänter, med ett maxdjup på 0,75 meter vid ett 10 års regn. Fördröjningsvolymen delas mellan ett kassettmagasin (160 m³) och en öppen vattenvolym i torrdammen (170 m³). Torrdammen får endast temporärt stå med vatten vid kraftiga regn. Regn med upp två års återkomsttid hanteras i kasettmagasinet och påverkar inte ytan vid torrdammen.</w:t>
      </w:r>
    </w:p>
    <w:p>
      <w:pPr>
        <w:spacing w:lineRule="auto" w:line="240" w:before="100" w:after="100" w:beforeAutospacing="1" w:afterAutospacing="1"/>
      </w:pPr>
      <w:r>
        <w:t>För att säkerställa barnsäkerhet vid torrdammen följs specifika säkerhetskrav från Norrköpings tekniska handbok. Markens genomsläpplighet gör att viss infiltration är möjlig, men det primära systemet för fördröjning är kassettmagasinet.</w:t>
      </w:r>
    </w:p>
    <w:p>
      <w:r>
        <w:rPr>
          <w:noProof w:val="1"/>
        </w:rPr>
        <w:drawing>
          <wp:inline xmlns:wp="http://schemas.openxmlformats.org/drawingml/2006/wordprocessingDrawing" distT="0" distB="0" distL="0" distR="0">
            <wp:extent cx="4007485" cy="3899535"/>
            <wp:effectExtent l="0" t="0" r="0" b="5715"/>
            <wp:docPr id="46" name="Bildobjekt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dpi="0">
                    <a:blip xmlns:r="http://schemas.openxmlformats.org/officeDocument/2006/relationships" r:embed="Relimage17"/>
                    <a:srcRect/>
                    <a:stretch>
                      <a:fillRect/>
                    </a:stretch>
                  </pic:blipFill>
                  <pic:spPr bwMode="auto">
                    <a:xfrm>
                      <a:off x="0" y="0"/>
                      <a:ext cx="4021539" cy="3912949"/>
                    </a:xfrm>
                    <a:prstGeom prst="rect"/>
                    <a:noFill/>
                    <a:ln>
                      <a:noFill/>
                    </a:ln>
                  </pic:spPr>
                </pic:pic>
              </a:graphicData>
            </a:graphic>
          </wp:inline>
        </w:drawing>
      </w:r>
      <w:r>
        <w:br w:type="textWrapping"/>
      </w:r>
      <w:r>
        <w:rPr>
          <w:i w:val="1"/>
          <w:iCs w:val="1"/>
          <w:sz w:val="18"/>
          <w:szCs w:val="18"/>
        </w:rPr>
        <w:t>Bild visar avsatt område för torrdamm och kasettmagasin.</w:t>
      </w:r>
    </w:p>
    <w:p>
      <w:pPr>
        <w:pStyle w:val="P3"/>
      </w:pPr>
      <w:bookmarkEnd w:id="134"/>
      <w:bookmarkStart w:id="135" w:name="_Toc191546109"/>
      <w:r>
        <w:t>Brandvattenförsörjning</w:t>
      </w:r>
      <w:bookmarkEnd w:id="135"/>
      <w:r>
        <w:t xml:space="preserve"> </w:t>
      </w:r>
    </w:p>
    <w:p>
      <w:bookmarkStart w:id="136" w:name="pf_miljö01"/>
      <w:r>
        <w:t>Det finns brandvattenpost i närheten men på grund av att trycket inte alltid är tillräckligt används tankbil vid utryckningar i Ödeshög. Räddningstjänsten ligger ca 400 meter från skolområdet.</w:t>
      </w:r>
    </w:p>
    <w:p>
      <w:pPr>
        <w:pStyle w:val="P3"/>
      </w:pPr>
      <w:bookmarkEnd w:id="136"/>
      <w:bookmarkStart w:id="137" w:name="_Toc191546110"/>
      <w:r>
        <w:t>Uppvärmning</w:t>
      </w:r>
      <w:bookmarkEnd w:id="137"/>
    </w:p>
    <w:p>
      <w:bookmarkStart w:id="138" w:name="pf_teknik02"/>
      <w:r>
        <w:t xml:space="preserve">Byggnaderna på området värms upp av fjärrvärme. Solör Bioenergi Fjärrvärme AB är huvudman för fjärrvärmenätet i Ödeshögs tätort. De ansvarar för drift och underhåll fram till anvisade anslutningspunkter.  </w:t>
      </w:r>
    </w:p>
    <w:p>
      <w:pPr>
        <w:pStyle w:val="P3"/>
      </w:pPr>
      <w:bookmarkEnd w:id="138"/>
      <w:r>
        <w:t xml:space="preserve"> </w:t>
      </w:r>
      <w:bookmarkStart w:id="139" w:name="_Toc191546111"/>
      <w:r>
        <w:t>El</w:t>
      </w:r>
      <w:bookmarkEnd w:id="139"/>
    </w:p>
    <w:p>
      <w:bookmarkStart w:id="140" w:name="pf_teknik03"/>
      <w:r>
        <w:t>Planområdet är anslutet till elnätet. Vattenfall är huvudman för det allmänna elnätet i Ödeshög och ansvarar därmed för drift och underhåll fram till anvisade anslutningspunkter.</w:t>
      </w:r>
    </w:p>
    <w:p>
      <w:bookmarkEnd w:id="140"/>
    </w:p>
    <w:p/>
    <w:p>
      <w:pPr>
        <w:pStyle w:val="P3"/>
      </w:pPr>
      <w:bookmarkStart w:id="141" w:name="_Toc191546112"/>
      <w:r>
        <w:t>Tele och fiber</w:t>
      </w:r>
      <w:bookmarkEnd w:id="141"/>
    </w:p>
    <w:p>
      <w:bookmarkStart w:id="142" w:name="pf_teknik04"/>
      <w:r>
        <w:t>Området är idag anslutet till tele och fibernätet. I Ödeshög är Skanova huvudman för telenätet och Ödeshögs kommun huvudman för fibernätet. Huvudmännen ansvarar för drift och underhåll fram till anvisade anslutningspunkter. Enligt Skanova ska de befintliga teleledningarna inom planområdet tas ur drift 2025-05-31.</w:t>
      </w:r>
    </w:p>
    <w:p>
      <w:pPr>
        <w:pStyle w:val="P3"/>
      </w:pPr>
      <w:bookmarkEnd w:id="142"/>
      <w:bookmarkStart w:id="143" w:name="_Toc191546113"/>
      <w:r>
        <w:t>Avfall</w:t>
      </w:r>
      <w:bookmarkEnd w:id="143"/>
    </w:p>
    <w:p>
      <w:bookmarkStart w:id="144" w:name="pf_teknik05"/>
      <w:r>
        <w:t>Utrymme för avfallshantering ska anordnas på fastigheten.</w:t>
      </w:r>
    </w:p>
    <w:p>
      <w:pPr>
        <w:pStyle w:val="P1"/>
      </w:pPr>
      <w:bookmarkEnd w:id="144"/>
      <w:bookmarkStart w:id="145" w:name="_Toc191546114"/>
      <w:r>
        <w:t>Genomförandebeskrivning</w:t>
      </w:r>
      <w:bookmarkEnd w:id="145"/>
    </w:p>
    <w:p>
      <w:pPr>
        <w:pStyle w:val="P2"/>
      </w:pPr>
      <w:bookmarkStart w:id="146" w:name="_Toc191546115"/>
      <w:r>
        <w:t>Fastigheter och rättigheter</w:t>
      </w:r>
      <w:bookmarkEnd w:id="146"/>
    </w:p>
    <w:p>
      <w:pPr>
        <w:pStyle w:val="P3"/>
      </w:pPr>
      <w:bookmarkStart w:id="147" w:name="_Toc191546116"/>
      <w:r>
        <w:t>Fastigheter</w:t>
      </w:r>
      <w:bookmarkEnd w:id="147"/>
    </w:p>
    <w:p>
      <w:bookmarkStart w:id="148" w:name="gf_annat01"/>
      <w:r>
        <w:t xml:space="preserve">Planområdet består idag av 5 fastigheter (Fridtjuv Berg 2-5, Ödeshög 1:48) samt inom gatuområdet delar av en större gatufastighet (Ödeshög 19:2). </w:t>
      </w:r>
    </w:p>
    <w:p>
      <w:r>
        <w:rPr>
          <w:noProof w:val="1"/>
        </w:rPr>
        <w:drawing>
          <wp:inline xmlns:wp="http://schemas.openxmlformats.org/drawingml/2006/wordprocessingDrawing" distT="0" distB="0" distL="0" distR="0">
            <wp:extent cx="4679950" cy="3066415"/>
            <wp:effectExtent l="0" t="0" r="6350" b="635"/>
            <wp:docPr id="19" name="Bildobjekt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84"/>
                    <pic:cNvPicPr/>
                  </pic:nvPicPr>
                  <pic:blipFill dpi="0">
                    <a:blip xmlns:r="http://schemas.openxmlformats.org/officeDocument/2006/relationships" r:embed="Relimage18"/>
                    <a:srcRect/>
                    <a:stretch>
                      <a:fillRect/>
                    </a:stretch>
                  </pic:blipFill>
                  <pic:spPr>
                    <a:xfrm>
                      <a:off x="0" y="0"/>
                      <a:ext cx="4679950" cy="3066415"/>
                    </a:xfrm>
                    <a:prstGeom prst="rect"/>
                  </pic:spPr>
                </pic:pic>
              </a:graphicData>
            </a:graphic>
          </wp:inline>
        </w:drawing>
      </w:r>
      <w:r>
        <w:br w:type="textWrapping"/>
      </w:r>
      <w:r>
        <w:rPr>
          <w:i w:val="1"/>
          <w:iCs w:val="1"/>
          <w:sz w:val="18"/>
          <w:szCs w:val="18"/>
        </w:rPr>
        <w:t>Bild visar fastigheter samt rättigheter i planområdet, rättigheter är blå linjer i kartan.</w:t>
      </w:r>
    </w:p>
    <w:p>
      <w:pPr>
        <w:pStyle w:val="P3"/>
      </w:pPr>
      <w:bookmarkEnd w:id="148"/>
      <w:bookmarkStart w:id="149" w:name="_Toc191546117"/>
      <w:r>
        <w:t>Rättigheter</w:t>
      </w:r>
      <w:bookmarkEnd w:id="149"/>
    </w:p>
    <w:p>
      <w:bookmarkStart w:id="150" w:name="gf_rättigheter01"/>
      <w:r>
        <w:t xml:space="preserve">Inom planområdet finns en ledningsrätt (0509-07/11) för fjärrvärme. Ledningen passerar fastigheterna Fridtjuv Berg 5 och 2 innan den ansluter mot Fridtjuv Berg 3 för att försörja befintlig skola och förskola. I samband med ett genomförande kan behov uppstå att flytta ledningen för att försörja den nya skolhuvudbyggnaden. I och med att befintliga fastigheter inom planområdet kommer att slås ihop behöver inte denna ledningsrätt vara kvar och därav skyddas den inte med ett u-område i planen. </w:t>
      </w:r>
    </w:p>
    <w:p>
      <w:r>
        <w:t xml:space="preserve">Kommunen tar ansvar för att initiera processen gällande eventuell omprövning av ledningsrätt. </w:t>
      </w:r>
    </w:p>
    <w:p>
      <w:pPr>
        <w:pStyle w:val="P2"/>
      </w:pPr>
      <w:bookmarkEnd w:id="150"/>
      <w:bookmarkStart w:id="151" w:name="_Toc191546118"/>
      <w:r>
        <w:t>Fastighetsrättsliga frågor och konsekvenser</w:t>
      </w:r>
      <w:bookmarkEnd w:id="151"/>
    </w:p>
    <w:p>
      <w:pPr>
        <w:pStyle w:val="P3"/>
      </w:pPr>
      <w:bookmarkStart w:id="152" w:name="_Toc191546119"/>
      <w:r>
        <w:t>Förändrad fastighetsindelning</w:t>
      </w:r>
      <w:bookmarkEnd w:id="152"/>
    </w:p>
    <w:p>
      <w:bookmarkStart w:id="153" w:name="gf_förändradfastighetsindelning01"/>
      <w:r>
        <w:t xml:space="preserve">Ett genomförande möjliggör att enskilda fastigheter inom skolområdet kan slås ihop och bilda en gemensam fastighet för skoländamål. Fastigheterna Fridtjuv Berg 2-5 och Ödeshög 1:48 slås ihop till en fastighet. </w:t>
      </w:r>
    </w:p>
    <w:p>
      <w:r>
        <w:t xml:space="preserve">Användning Skola följer befintliga fastighetsgränser mot gatufastigheten Ödeshög 19:2 längs Kungsvägen och Järnvägsgatan. Mot Storgatan kommer en smal remsa på ca 72 kvm överföras från Fridtjuv Berg 4 och 5 till Ödeshög 19:2 samt att i östra delen kommer en yta på ca 10 kvm överföras från Ödeshög 19:2 till Fridtjuv Berg 5. Denna förändring avser att få en fastighetsgräns som följer gata där både ny gång- och cykelväg samt område för trädplantering med parkering får plats inom gatumiljön. </w:t>
      </w:r>
    </w:p>
    <w:p>
      <w:r>
        <w:rPr>
          <w:noProof w:val="1"/>
        </w:rPr>
        <mc:AlternateContent>
          <mc:Choice Requires="wps">
            <w:drawing>
              <wp:anchor xmlns:wp="http://schemas.openxmlformats.org/drawingml/2006/wordprocessingDrawing" distT="0" distB="0" distL="114300" distR="114300" simplePos="0" relativeHeight="25" behindDoc="0" locked="0" layoutInCell="1" allowOverlap="1">
                <wp:simplePos x="0" y="0"/>
                <wp:positionH relativeFrom="column">
                  <wp:posOffset>661035</wp:posOffset>
                </wp:positionH>
                <wp:positionV relativeFrom="paragraph">
                  <wp:posOffset>844550</wp:posOffset>
                </wp:positionV>
                <wp:extent cx="1614170" cy="290830"/>
                <wp:effectExtent l="0" t="0" r="24130" b="13970"/>
                <wp:wrapNone/>
                <wp:docPr id="51" name="Frihandsfigur: Form 51"/>
                <wp:cNvGraphicFramePr/>
                <a:graphic xmlns:a="http://schemas.openxmlformats.org/drawingml/2006/main">
                  <a:graphicData uri="http://schemas.microsoft.com/office/word/2010/wordprocessingShape">
                    <wps:wsp>
                      <wps:cNvSpPr/>
                      <wps:spPr>
                        <a:xfrm>
                          <a:off x="0" y="0"/>
                          <a:ext cx="1614435" cy="291402"/>
                        </a:xfrm>
                        <a:custGeom>
                          <a:gdLst>
                            <a:gd name="connsiteX0" fmla="*/ 56941 w 1614435"/>
                            <a:gd name="connsiteY0" fmla="*/ 291402 h 291402"/>
                            <a:gd name="connsiteX1" fmla="*/ 1614435 w 1614435"/>
                            <a:gd name="connsiteY1" fmla="*/ 36844 h 291402"/>
                            <a:gd name="connsiteX2" fmla="*/ 1604387 w 1614435"/>
                            <a:gd name="connsiteY2" fmla="*/ 0 h 291402"/>
                            <a:gd name="connsiteX3" fmla="*/ 0 w 1614435"/>
                            <a:gd name="connsiteY3" fmla="*/ 247860 h 291402"/>
                            <a:gd name="connsiteX4" fmla="*/ 56941 w 1614435"/>
                            <a:gd name="connsiteY4" fmla="*/ 291402 h 291402"/>
                          </a:gdLst>
                          <a:cxnLst>
                            <a:cxn ang="0">
                              <a:pos x="connsiteX0" y="connsiteY0"/>
                            </a:cxn>
                            <a:cxn ang="0">
                              <a:pos x="connsiteX1" y="connsiteY1"/>
                            </a:cxn>
                            <a:cxn ang="0">
                              <a:pos x="connsiteX2" y="connsiteY2"/>
                            </a:cxn>
                            <a:cxn ang="0">
                              <a:pos x="connsiteX3" y="connsiteY3"/>
                            </a:cxn>
                            <a:cxn ang="0">
                              <a:pos x="connsiteX4" y="connsiteY4"/>
                            </a:cxn>
                          </a:cxnLst>
                          <a:rect l="l" t="t" r="r" b="b"/>
                          <a:pathLst>
                            <a:path w="1614435" h="291402">
                              <a:moveTo>
                                <a:pt x="56941" y="291402"/>
                              </a:moveTo>
                              <a:lnTo>
                                <a:pt x="1614435" y="36844"/>
                              </a:lnTo>
                              <a:lnTo>
                                <a:pt x="1604387" y="0"/>
                              </a:lnTo>
                              <a:lnTo>
                                <a:pt x="0" y="247860"/>
                              </a:lnTo>
                              <a:lnTo>
                                <a:pt x="56941" y="291402"/>
                              </a:lnTo>
                              <a:close/>
                            </a:path>
                          </a:pathLst>
                        </a:custGeom>
                        <a:noFill/>
                        <a:ln w="3175">
                          <a:prstDash val="sysDot"/>
                        </a:ln>
                      </wps:spPr>
                      <wps:style>
                        <a:lnRef idx="2">
                          <a:schemeClr val="accent1">
                            <a:shade val="50000"/>
                          </a:schemeClr>
                        </a:lnRef>
                        <a:fillRef idx="1">
                          <a:schemeClr val="accent1"/>
                        </a:fillRef>
                        <a:effectRef idx="0">
                          <a:schemeClr val="accent1"/>
                        </a:effectRef>
                        <a:fontRef idx="minor">
                          <a:schemeClr val="lt1"/>
                        </a:fontRef>
                      </wps:style>
                      <wps:txbx>
                        <w:txbxContent>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xmlns:o="urn:schemas-microsoft-com:office:office" id="Frihandsfigur: Form 51" o:spid="_x0000_s1041" style="position:absolute;width:127.1pt;height:22.9pt;z-index:25;mso-wrap-distance-left:9pt;mso-wrap-distance-top:0pt;mso-wrap-distance-right:9pt;mso-wrap-distance-bottom:0pt;margin-left:52.05pt;margin-top:66.5pt;mso-position-horizontal:absolute;mso-position-horizontal-relative:text;mso-position-vertical:absolute;mso-position-vertical-relative:text;v-text-anchor:middle" o:allowincell="t" filled="f" strokecolor="#B78000" strokeweight="0.25pt" stroked="t" coordsize="2542,458" path="m56941,291402l1614435,36844,1604387,,,247860,56941,291402,xe">
                <v:textbox inset="3mm,1mm,3mm,1mm">
                  <w:txbxContent>
                    <w:p/>
                  </w:txbxContent>
                </v:textbox>
                <v:stroke dashstyle="shortdot"/>
              </v:shape>
            </w:pict>
          </mc:Fallback>
        </mc:AlternateContent>
      </w:r>
      <w:r>
        <w:rPr>
          <w:noProof w:val="1"/>
        </w:rPr>
        <mc:AlternateContent>
          <mc:Choice Requires="wps">
            <w:drawing>
              <wp:anchor xmlns:wp="http://schemas.openxmlformats.org/drawingml/2006/wordprocessingDrawing" distT="0" distB="0" distL="114300" distR="114300" simplePos="0" relativeHeight="17" behindDoc="0" locked="0" layoutInCell="1" allowOverlap="1">
                <wp:simplePos x="0" y="0"/>
                <wp:positionH relativeFrom="margin">
                  <wp:align>right</wp:align>
                </wp:positionH>
                <wp:positionV relativeFrom="paragraph">
                  <wp:posOffset>852170</wp:posOffset>
                </wp:positionV>
                <wp:extent cx="1057275" cy="286385"/>
                <wp:effectExtent l="0" t="0" r="0" b="0"/>
                <wp:wrapNone/>
                <wp:docPr id="39" name="Textruta 39"/>
                <wp:cNvGraphicFramePr/>
                <a:graphic xmlns:a="http://schemas.openxmlformats.org/drawingml/2006/main">
                  <a:graphicData uri="http://schemas.microsoft.com/office/word/2010/wordprocessingShape">
                    <wps:wsp>
                      <wps:cNvSpPr txBox="1"/>
                      <wps:spPr>
                        <a:xfrm>
                          <a:off x="0" y="0"/>
                          <a:ext cx="1057703" cy="286603"/>
                        </a:xfrm>
                        <a:prstGeom prst="rect"/>
                        <a:noFill/>
                        <a:ln w="6350">
                          <a:noFill/>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r>
                              <w:t>Ödeshög 19:2</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xmlns:o="urn:schemas-microsoft-com:office:office" type="#_x0000_t202" id="Textruta 39" o:spid="_x0000_s1042" style="position:absolute;width:83.25pt;height:22.55pt;z-index:17;mso-wrap-distance-left:9pt;mso-wrap-distance-top:0pt;mso-wrap-distance-right:9pt;mso-wrap-distance-bottom:0pt;margin-left:0pt;margin-top:67.1pt;mso-position-horizontal:right;mso-position-horizontal-relative:margin;mso-position-vertical:absolute;mso-position-vertical-relative:text" o:allowincell="t" filled="f" strokeweight="0.5pt" stroked="f">
                <v:textbox inset="3mm,1mm,3mm,1mm">
                  <w:txbxContent>
                    <w:p>
                      <w:r>
                        <w:t>Ödeshög 19:2</w:t>
                      </w:r>
                    </w:p>
                  </w:txbxContent>
                </v:textbox>
              </v:shape>
            </w:pict>
          </mc:Fallback>
        </mc:AlternateContent>
      </w:r>
      <w:r>
        <w:rPr>
          <w:noProof w:val="1"/>
        </w:rPr>
        <mc:AlternateContent>
          <mc:Choice Requires="wps">
            <w:drawing>
              <wp:anchor xmlns:wp="http://schemas.openxmlformats.org/drawingml/2006/wordprocessingDrawing" distT="0" distB="0" distL="114300" distR="114300" simplePos="0" relativeHeight="14" behindDoc="0" locked="0" layoutInCell="1" allowOverlap="1">
                <wp:simplePos x="0" y="0"/>
                <wp:positionH relativeFrom="column">
                  <wp:posOffset>2242820</wp:posOffset>
                </wp:positionH>
                <wp:positionV relativeFrom="paragraph">
                  <wp:posOffset>203835</wp:posOffset>
                </wp:positionV>
                <wp:extent cx="1132205" cy="286385"/>
                <wp:effectExtent l="0" t="0" r="0" b="0"/>
                <wp:wrapNone/>
                <wp:docPr id="36" name="Textruta 36"/>
                <wp:cNvGraphicFramePr/>
                <a:graphic xmlns:a="http://schemas.openxmlformats.org/drawingml/2006/main">
                  <a:graphicData uri="http://schemas.microsoft.com/office/word/2010/wordprocessingShape">
                    <wps:wsp>
                      <wps:cNvSpPr txBox="1"/>
                      <wps:spPr>
                        <a:xfrm>
                          <a:off x="0" y="0"/>
                          <a:ext cx="1132765" cy="286603"/>
                        </a:xfrm>
                        <a:prstGeom prst="rect"/>
                        <a:noFill/>
                        <a:ln w="6350">
                          <a:noFill/>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r>
                              <w:t>Fridtjuv Berg 5</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xmlns:o="urn:schemas-microsoft-com:office:office" type="#_x0000_t202" id="Textruta 36" o:spid="_x0000_s1043" style="position:absolute;width:89.15pt;height:22.55pt;z-index:14;mso-wrap-distance-left:9pt;mso-wrap-distance-top:0pt;mso-wrap-distance-right:9pt;mso-wrap-distance-bottom:0pt;margin-left:176.6pt;margin-top:16.05pt;mso-position-horizontal:absolute;mso-position-horizontal-relative:text;mso-position-vertical:absolute;mso-position-vertical-relative:text" o:allowincell="t" filled="f" strokeweight="0.5pt" stroked="f">
                <v:textbox inset="3mm,1mm,3mm,1mm">
                  <w:txbxContent>
                    <w:p>
                      <w:r>
                        <w:t>Fridtjuv Berg 5</w:t>
                      </w:r>
                    </w:p>
                  </w:txbxContent>
                </v:textbox>
              </v:shape>
            </w:pict>
          </mc:Fallback>
        </mc:AlternateContent>
      </w:r>
      <w:r>
        <w:rPr>
          <w:noProof w:val="1"/>
        </w:rPr>
        <mc:AlternateContent>
          <mc:Choice Requires="wps">
            <w:drawing>
              <wp:anchor xmlns:wp="http://schemas.openxmlformats.org/drawingml/2006/wordprocessingDrawing" distT="0" distB="0" distL="114300" distR="114300" simplePos="0" relativeHeight="13" behindDoc="0" locked="0" layoutInCell="1" allowOverlap="1">
                <wp:simplePos x="0" y="0"/>
                <wp:positionH relativeFrom="column">
                  <wp:posOffset>495935</wp:posOffset>
                </wp:positionH>
                <wp:positionV relativeFrom="paragraph">
                  <wp:posOffset>272415</wp:posOffset>
                </wp:positionV>
                <wp:extent cx="1132205" cy="286385"/>
                <wp:effectExtent l="0" t="0" r="0" b="0"/>
                <wp:wrapNone/>
                <wp:docPr id="29" name="Textruta 29"/>
                <wp:cNvGraphicFramePr/>
                <a:graphic xmlns:a="http://schemas.openxmlformats.org/drawingml/2006/main">
                  <a:graphicData uri="http://schemas.microsoft.com/office/word/2010/wordprocessingShape">
                    <wps:wsp>
                      <wps:cNvSpPr txBox="1"/>
                      <wps:spPr>
                        <a:xfrm>
                          <a:off x="0" y="0"/>
                          <a:ext cx="1132765" cy="286603"/>
                        </a:xfrm>
                        <a:prstGeom prst="rect"/>
                        <a:noFill/>
                        <a:ln w="6350">
                          <a:noFill/>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r>
                              <w:t>Fridtjuv Berg 4</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xmlns:o="urn:schemas-microsoft-com:office:office" type="#_x0000_t202" id="Textruta 29" o:spid="_x0000_s1044" style="position:absolute;width:89.15pt;height:22.55pt;z-index:13;mso-wrap-distance-left:9pt;mso-wrap-distance-top:0pt;mso-wrap-distance-right:9pt;mso-wrap-distance-bottom:0pt;margin-left:39.05pt;margin-top:21.45pt;mso-position-horizontal:absolute;mso-position-horizontal-relative:text;mso-position-vertical:absolute;mso-position-vertical-relative:text" o:allowincell="t" filled="f" strokeweight="0.5pt" stroked="f">
                <v:textbox inset="3mm,1mm,3mm,1mm">
                  <w:txbxContent>
                    <w:p>
                      <w:r>
                        <w:t>Fridtjuv Berg 4</w:t>
                      </w:r>
                    </w:p>
                  </w:txbxContent>
                </v:textbox>
              </v:shape>
            </w:pict>
          </mc:Fallback>
        </mc:AlternateContent>
      </w:r>
      <w:r>
        <w:rPr>
          <w:noProof w:val="1"/>
        </w:rPr>
        <mc:AlternateContent>
          <mc:Choice Requires="wps">
            <w:drawing>
              <wp:anchor xmlns:wp="http://schemas.openxmlformats.org/drawingml/2006/wordprocessingDrawing" distT="0" distB="0" distL="114300" distR="114300" simplePos="0" relativeHeight="9" behindDoc="0" locked="0" layoutInCell="1" allowOverlap="1">
                <wp:simplePos x="0" y="0"/>
                <wp:positionH relativeFrom="margin">
                  <wp:posOffset>215900</wp:posOffset>
                </wp:positionH>
                <wp:positionV relativeFrom="paragraph">
                  <wp:posOffset>589915</wp:posOffset>
                </wp:positionV>
                <wp:extent cx="3693795" cy="504190"/>
                <wp:effectExtent l="0" t="190500" r="0" b="181610"/>
                <wp:wrapNone/>
                <wp:docPr id="17" name="Ellips 17"/>
                <wp:cNvGraphicFramePr/>
                <a:graphic xmlns:a="http://schemas.openxmlformats.org/drawingml/2006/main">
                  <a:graphicData uri="http://schemas.microsoft.com/office/word/2010/wordprocessingShape">
                    <wps:wsp>
                      <wps:cNvSpPr/>
                      <wps:spPr>
                        <a:xfrm rot="20970940">
                          <a:off x="0" y="0"/>
                          <a:ext cx="3694177" cy="504723"/>
                        </a:xfrm>
                        <a:prstGeom prst="ellipse"/>
                        <a:noFill/>
                      </wps:spPr>
                      <wps:style>
                        <a:lnRef idx="2">
                          <a:schemeClr val="accent1">
                            <a:shade val="50000"/>
                          </a:schemeClr>
                        </a:lnRef>
                        <a:fillRef idx="1">
                          <a:schemeClr val="accent1"/>
                        </a:fillRef>
                        <a:effectRef idx="0">
                          <a:schemeClr val="accent1"/>
                        </a:effectRef>
                        <a:fontRef idx="minor">
                          <a:schemeClr val="lt1"/>
                        </a:fontRef>
                      </wps:style>
                      <wps:txbx>
                        <w:txbxContent>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oval xmlns:o="urn:schemas-microsoft-com:office:office" id="Ellips 17" o:spid="_x0000_s1045" style="position:absolute;width:290.85pt;height:39.7pt;z-index:9;mso-wrap-distance-left:9pt;mso-wrap-distance-top:0pt;mso-wrap-distance-right:9pt;mso-wrap-distance-bottom:0pt;margin-left:17pt;margin-top:46.45pt;mso-position-horizontal:absolute;mso-position-horizontal-relative:margin;mso-position-vertical:absolute;mso-position-vertical-relative:text;v-text-anchor:middle;rotation:22905858fd" o:allowincell="t" filled="f" strokecolor="#B78000" strokeweight="2pt" stroked="t">
                <v:textbox inset="3mm,1mm,3mm,1mm">
                  <w:txbxContent>
                    <w:p/>
                  </w:txbxContent>
                </v:textbox>
              </v:oval>
            </w:pict>
          </mc:Fallback>
        </mc:AlternateContent>
      </w:r>
      <w:r>
        <w:t xml:space="preserve"> </w:t>
      </w:r>
      <w:r>
        <w:rPr>
          <w:noProof w:val="1"/>
        </w:rPr>
        <w:drawing>
          <wp:inline xmlns:wp="http://schemas.openxmlformats.org/drawingml/2006/wordprocessingDrawing" distT="0" distB="0" distL="0" distR="0">
            <wp:extent cx="4679950" cy="1616075"/>
            <wp:effectExtent l="0" t="0" r="6350" b="3175"/>
            <wp:docPr id="24" name="Bildobjekt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85"/>
                    <pic:cNvPicPr/>
                  </pic:nvPicPr>
                  <pic:blipFill dpi="0">
                    <a:blip xmlns:r="http://schemas.openxmlformats.org/officeDocument/2006/relationships" r:embed="Relimage19"/>
                    <a:srcRect/>
                    <a:stretch>
                      <a:fillRect/>
                    </a:stretch>
                  </pic:blipFill>
                  <pic:spPr>
                    <a:xfrm>
                      <a:off x="0" y="0"/>
                      <a:ext cx="4679950" cy="1616075"/>
                    </a:xfrm>
                    <a:prstGeom prst="rect"/>
                  </pic:spPr>
                </pic:pic>
              </a:graphicData>
            </a:graphic>
          </wp:inline>
        </w:drawing>
      </w:r>
    </w:p>
    <w:p>
      <w:pPr>
        <w:rPr>
          <w:i w:val="1"/>
          <w:iCs w:val="1"/>
          <w:sz w:val="18"/>
          <w:szCs w:val="18"/>
        </w:rPr>
      </w:pPr>
      <w:r>
        <w:rPr>
          <w:i w:val="1"/>
          <w:iCs w:val="1"/>
          <w:sz w:val="18"/>
          <w:szCs w:val="18"/>
        </w:rPr>
        <w:t>Bild visar ytan som kan överföras från Fridtjuv Berg 4 och 5 till Ödeshög 19:2. Röd linje visar befintlig fastighetsgräns för skola och svart streckad gräns visar användningsgräns för gatumark, ny fastighetsgräns kommer följa svart linje.</w:t>
      </w:r>
    </w:p>
    <w:p>
      <w:pPr>
        <w:rPr>
          <w:i w:val="1"/>
          <w:iCs w:val="1"/>
          <w:sz w:val="18"/>
          <w:szCs w:val="18"/>
        </w:rPr>
      </w:pPr>
      <w:r>
        <w:rPr>
          <w:noProof w:val="1"/>
        </w:rPr>
        <mc:AlternateContent>
          <mc:Choice Requires="wps">
            <w:drawing>
              <wp:anchor xmlns:wp="http://schemas.openxmlformats.org/drawingml/2006/wordprocessingDrawing" distT="0" distB="0" distL="114300" distR="114300" simplePos="0" relativeHeight="16" behindDoc="0" locked="0" layoutInCell="1" allowOverlap="1">
                <wp:simplePos x="0" y="0"/>
                <wp:positionH relativeFrom="column">
                  <wp:posOffset>2842895</wp:posOffset>
                </wp:positionH>
                <wp:positionV relativeFrom="paragraph">
                  <wp:posOffset>850265</wp:posOffset>
                </wp:positionV>
                <wp:extent cx="1057275" cy="286385"/>
                <wp:effectExtent l="0" t="0" r="0" b="0"/>
                <wp:wrapNone/>
                <wp:docPr id="38" name="Textruta 38"/>
                <wp:cNvGraphicFramePr/>
                <a:graphic xmlns:a="http://schemas.openxmlformats.org/drawingml/2006/main">
                  <a:graphicData uri="http://schemas.microsoft.com/office/word/2010/wordprocessingShape">
                    <wps:wsp>
                      <wps:cNvSpPr txBox="1"/>
                      <wps:spPr>
                        <a:xfrm>
                          <a:off x="0" y="0"/>
                          <a:ext cx="1057703" cy="286603"/>
                        </a:xfrm>
                        <a:prstGeom prst="rect"/>
                        <a:noFill/>
                        <a:ln w="6350">
                          <a:noFill/>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r>
                              <w:t>Ödeshög 19:2</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xmlns:o="urn:schemas-microsoft-com:office:office" type="#_x0000_t202" id="Textruta 38" o:spid="_x0000_s1046" style="position:absolute;width:83.25pt;height:22.55pt;z-index:16;mso-wrap-distance-left:9pt;mso-wrap-distance-top:0pt;mso-wrap-distance-right:9pt;mso-wrap-distance-bottom:0pt;margin-left:223.85pt;margin-top:66.95pt;mso-position-horizontal:absolute;mso-position-horizontal-relative:text;mso-position-vertical:absolute;mso-position-vertical-relative:text" o:allowincell="t" filled="f" strokeweight="0.5pt" stroked="f">
                <v:textbox inset="3mm,1mm,3mm,1mm">
                  <w:txbxContent>
                    <w:p>
                      <w:r>
                        <w:t>Ödeshög 19:2</w:t>
                      </w:r>
                    </w:p>
                  </w:txbxContent>
                </v:textbox>
              </v:shape>
            </w:pict>
          </mc:Fallback>
        </mc:AlternateContent>
      </w:r>
      <w:r>
        <w:rPr>
          <w:noProof w:val="1"/>
        </w:rPr>
        <mc:AlternateContent>
          <mc:Choice Requires="wps">
            <w:drawing>
              <wp:anchor xmlns:wp="http://schemas.openxmlformats.org/drawingml/2006/wordprocessingDrawing" distT="0" distB="0" distL="114300" distR="114300" simplePos="0" relativeHeight="15" behindDoc="0" locked="0" layoutInCell="1" allowOverlap="1">
                <wp:simplePos x="0" y="0"/>
                <wp:positionH relativeFrom="column">
                  <wp:posOffset>536575</wp:posOffset>
                </wp:positionH>
                <wp:positionV relativeFrom="paragraph">
                  <wp:posOffset>79375</wp:posOffset>
                </wp:positionV>
                <wp:extent cx="1132205" cy="286385"/>
                <wp:effectExtent l="0" t="0" r="0" b="0"/>
                <wp:wrapNone/>
                <wp:docPr id="37" name="Textruta 37"/>
                <wp:cNvGraphicFramePr/>
                <a:graphic xmlns:a="http://schemas.openxmlformats.org/drawingml/2006/main">
                  <a:graphicData uri="http://schemas.microsoft.com/office/word/2010/wordprocessingShape">
                    <wps:wsp>
                      <wps:cNvSpPr txBox="1"/>
                      <wps:spPr>
                        <a:xfrm>
                          <a:off x="0" y="0"/>
                          <a:ext cx="1132765" cy="286603"/>
                        </a:xfrm>
                        <a:prstGeom prst="rect"/>
                        <a:noFill/>
                        <a:ln w="6350">
                          <a:noFill/>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r>
                              <w:t>Fridtjuv Berg 5</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xmlns:o="urn:schemas-microsoft-com:office:office" type="#_x0000_t202" id="Textruta 37" o:spid="_x0000_s1047" style="position:absolute;width:89.15pt;height:22.55pt;z-index:15;mso-wrap-distance-left:9pt;mso-wrap-distance-top:0pt;mso-wrap-distance-right:9pt;mso-wrap-distance-bottom:0pt;margin-left:42.25pt;margin-top:6.25pt;mso-position-horizontal:absolute;mso-position-horizontal-relative:text;mso-position-vertical:absolute;mso-position-vertical-relative:text" o:allowincell="t" filled="f" strokeweight="0.5pt" stroked="f">
                <v:textbox inset="3mm,1mm,3mm,1mm">
                  <w:txbxContent>
                    <w:p>
                      <w:r>
                        <w:t>Fridtjuv Berg 5</w:t>
                      </w:r>
                    </w:p>
                  </w:txbxContent>
                </v:textbox>
              </v:shape>
            </w:pict>
          </mc:Fallback>
        </mc:AlternateContent>
      </w:r>
      <w:r>
        <w:rPr>
          <w:noProof w:val="1"/>
        </w:rPr>
        <mc:AlternateContent>
          <mc:Choice Requires="wps">
            <w:drawing>
              <wp:anchor xmlns:wp="http://schemas.openxmlformats.org/drawingml/2006/wordprocessingDrawing" distT="0" distB="0" distL="114300" distR="114300" simplePos="0" relativeHeight="10" behindDoc="0" locked="0" layoutInCell="1" allowOverlap="1">
                <wp:simplePos x="0" y="0"/>
                <wp:positionH relativeFrom="margin">
                  <wp:posOffset>826770</wp:posOffset>
                </wp:positionH>
                <wp:positionV relativeFrom="paragraph">
                  <wp:posOffset>334645</wp:posOffset>
                </wp:positionV>
                <wp:extent cx="3152775" cy="504190"/>
                <wp:effectExtent l="0" t="114300" r="9525" b="124460"/>
                <wp:wrapNone/>
                <wp:docPr id="18" name="Ellips 18"/>
                <wp:cNvGraphicFramePr/>
                <a:graphic xmlns:a="http://schemas.openxmlformats.org/drawingml/2006/main">
                  <a:graphicData uri="http://schemas.microsoft.com/office/word/2010/wordprocessingShape">
                    <wps:wsp>
                      <wps:cNvSpPr/>
                      <wps:spPr>
                        <a:xfrm rot="21056842">
                          <a:off x="0" y="0"/>
                          <a:ext cx="3152851" cy="504748"/>
                        </a:xfrm>
                        <a:prstGeom prst="ellipse"/>
                        <a:noFill/>
                      </wps:spPr>
                      <wps:style>
                        <a:lnRef idx="2">
                          <a:schemeClr val="accent1">
                            <a:shade val="50000"/>
                          </a:schemeClr>
                        </a:lnRef>
                        <a:fillRef idx="1">
                          <a:schemeClr val="accent1"/>
                        </a:fillRef>
                        <a:effectRef idx="0">
                          <a:schemeClr val="accent1"/>
                        </a:effectRef>
                        <a:fontRef idx="minor">
                          <a:schemeClr val="lt1"/>
                        </a:fontRef>
                      </wps:style>
                      <wps:txbx>
                        <w:txbxContent>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oval xmlns:o="urn:schemas-microsoft-com:office:office" id="Ellips 18" o:spid="_x0000_s1048" style="position:absolute;width:248.25pt;height:39.7pt;z-index:10;mso-wrap-distance-left:9pt;mso-wrap-distance-top:0pt;mso-wrap-distance-right:9pt;mso-wrap-distance-bottom:0pt;margin-left:65.1pt;margin-top:26.35pt;mso-position-horizontal:absolute;mso-position-horizontal-relative:margin;mso-position-vertical:absolute;mso-position-vertical-relative:text;v-text-anchor:middle;rotation:22999686fd" o:allowincell="t" filled="f" strokecolor="#B78000" strokeweight="2pt" stroked="t">
                <v:textbox inset="3mm,1mm,3mm,1mm">
                  <w:txbxContent>
                    <w:p/>
                  </w:txbxContent>
                </v:textbox>
              </v:oval>
            </w:pict>
          </mc:Fallback>
        </mc:AlternateContent>
      </w:r>
      <w:r>
        <w:rPr>
          <w:noProof w:val="1"/>
        </w:rPr>
        <w:drawing>
          <wp:inline xmlns:wp="http://schemas.openxmlformats.org/drawingml/2006/wordprocessingDrawing" distT="0" distB="0" distL="0" distR="0">
            <wp:extent cx="4679950" cy="1642110"/>
            <wp:effectExtent l="0" t="0" r="6350" b="0"/>
            <wp:docPr id="27" name="Bildobjekt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86"/>
                    <pic:cNvPicPr/>
                  </pic:nvPicPr>
                  <pic:blipFill dpi="0">
                    <a:blip xmlns:r="http://schemas.openxmlformats.org/officeDocument/2006/relationships" r:embed="Relimage20"/>
                    <a:srcRect/>
                    <a:stretch>
                      <a:fillRect/>
                    </a:stretch>
                  </pic:blipFill>
                  <pic:spPr>
                    <a:xfrm>
                      <a:off x="0" y="0"/>
                      <a:ext cx="4679950" cy="1642110"/>
                    </a:xfrm>
                    <a:prstGeom prst="rect"/>
                  </pic:spPr>
                </pic:pic>
              </a:graphicData>
            </a:graphic>
          </wp:inline>
        </w:drawing>
      </w:r>
      <w:r>
        <w:br w:type="textWrapping"/>
      </w:r>
      <w:r>
        <w:rPr>
          <w:i w:val="1"/>
          <w:iCs w:val="1"/>
          <w:sz w:val="18"/>
          <w:szCs w:val="18"/>
        </w:rPr>
        <w:t>Bild visar ytan som kan överföras från Fridtjuv Berg 5 till Ödeshög 19:2. Röd linje visar befintlig fastighetsgräns för skola och svart streckad gräns visar användningsgräns för gatumark, ny fastighetsgräns kommer följa svart linje.</w:t>
      </w:r>
    </w:p>
    <w:p>
      <w:pPr>
        <w:rPr>
          <w:i w:val="1"/>
          <w:iCs w:val="1"/>
          <w:sz w:val="18"/>
          <w:szCs w:val="18"/>
        </w:rPr>
      </w:pPr>
    </w:p>
    <w:p>
      <w:r>
        <w:t xml:space="preserve">Detaljplanen möjliggör även att en del av Fridtjuv Berg 5 styckas av som bostadsfastighet om ett behov skulle uppstå. </w:t>
      </w:r>
    </w:p>
    <w:p>
      <w:pPr>
        <w:rPr>
          <w:b w:val="1"/>
          <w:bCs w:val="1"/>
        </w:rPr>
      </w:pPr>
      <w:r>
        <w:t xml:space="preserve">En avgränsad yta i planen har en kombinerad användning av kvartersmark med skola och bostäder. Till allmän kvartersmark (skola) hör inlösenregler. Enligt 6 kap. 13 § PBL har kommunen rätt att lösa sådan mark som ska användas för annat än enskilt bebyggande, om användningen för det avsedda ändamålet inte kan anses säkerställd. Markägaren kan även begära att kommunen löser in sådan mark enligt 14 kap. 14 § PBL. Inlösenscenario är inte aktuellt och det bedöms till mycket små risker att ha kvar den dubbla användningen eftersom det fortsatt kommer vara Ödeshögs kommun som äger marken inom planen. Fördelen med att ha flexibel användning överväger de eventuella riskerna.  </w:t>
      </w:r>
    </w:p>
    <w:p>
      <w:r>
        <w:t>Ödeshögs kommun avser att skicka in en ansökan om fastighetsreglering.</w:t>
      </w:r>
    </w:p>
    <w:p>
      <w:pPr>
        <w:pStyle w:val="P2"/>
      </w:pPr>
      <w:bookmarkEnd w:id="153"/>
      <w:bookmarkStart w:id="154" w:name="_Toc191546120"/>
      <w:r>
        <w:t>Tekniska åtgärder</w:t>
      </w:r>
      <w:bookmarkEnd w:id="154"/>
    </w:p>
    <w:p>
      <w:bookmarkStart w:id="155" w:name="gf_tekniskaåtgärder01"/>
      <w:r>
        <w:t xml:space="preserve">Vid ett genomförande av ny F-6 skola kommer gatuområdet längs med Storgatan att byggas om. Utrymme finns vid ny detaljplan för att få plats med gång- och cykelväg längs med Storgatan samt yta för trädplantering. Det finns även planer för att se över korsningen mellan Storgatan och Smedjegatan och förbinda nya skolan med befintlig högstadieskola (Lysingsskolan) med gång- och cykelväg och att hastighetssäkra Storgatan. </w:t>
      </w:r>
    </w:p>
    <w:p>
      <w:pPr>
        <w:pStyle w:val="P2"/>
      </w:pPr>
      <w:bookmarkEnd w:id="155"/>
      <w:bookmarkStart w:id="156" w:name="_Toc191546121"/>
      <w:r>
        <w:t>Ekonomi</w:t>
      </w:r>
      <w:bookmarkEnd w:id="156"/>
    </w:p>
    <w:p>
      <w:pPr>
        <w:pStyle w:val="P3"/>
        <w:rPr>
          <w:bCs w:val="1"/>
        </w:rPr>
      </w:pPr>
      <w:bookmarkStart w:id="157" w:name="_Toc191546122"/>
      <w:r>
        <w:rPr>
          <w:bCs w:val="1"/>
        </w:rPr>
        <w:t>Planavgift</w:t>
      </w:r>
      <w:bookmarkEnd w:id="157"/>
    </w:p>
    <w:p>
      <w:bookmarkStart w:id="158" w:name="gf_planavgift01"/>
      <w:r>
        <w:t>Planarbetet finansiera</w:t>
      </w:r>
      <w:r>
        <w:rPr>
          <w:strike w:val="1"/>
          <w:color w:val="FF0000"/>
        </w:rPr>
        <w:t>t</w:t>
      </w:r>
      <w:r>
        <w:t>s genom kommunstyrelsens driftsbudget, ett genomförande av ny skola ligger inom kommunstyrelsens investeringsbudget. Vid byggnation av bostäder tas en planavgift ut vid bygglov.</w:t>
      </w:r>
    </w:p>
    <w:p>
      <w:pPr>
        <w:pStyle w:val="P2"/>
      </w:pPr>
      <w:bookmarkEnd w:id="158"/>
      <w:bookmarkStart w:id="159" w:name="_Toc191546123"/>
      <w:r>
        <w:t>Avtal eller överenskommelser</w:t>
      </w:r>
      <w:bookmarkEnd w:id="159"/>
    </w:p>
    <w:p>
      <w:bookmarkStart w:id="160" w:name="gf_annat02"/>
      <w:r>
        <w:t>Kommunen äger fastigheterna och är beställare av både detaljplanen och genomförandet av en ny F-6-skola. Det är viktigt att beskrivna kompensationsåtgärder för natur samt att efterlevnad av gestaltningsprogrammet tas med i byggprojektet.</w:t>
      </w:r>
    </w:p>
    <w:p>
      <w:pPr>
        <w:pStyle w:val="P2"/>
      </w:pPr>
      <w:bookmarkEnd w:id="160"/>
      <w:bookmarkStart w:id="161" w:name="_Toc191546124"/>
      <w:r>
        <w:t>Exploateringsavtal</w:t>
      </w:r>
      <w:bookmarkEnd w:id="161"/>
    </w:p>
    <w:p>
      <w:bookmarkStart w:id="162" w:name="gf_exploateringsavtal01"/>
      <w:r>
        <w:t>Inget exploateringsavtal kommer att skrivas då kommunen är markägare.</w:t>
      </w:r>
    </w:p>
    <w:p>
      <w:pPr>
        <w:pStyle w:val="P1"/>
      </w:pPr>
      <w:bookmarkEnd w:id="162"/>
      <w:bookmarkStart w:id="163" w:name="_Toc191546125"/>
      <w:r>
        <w:t>Medverkande tjänstepersoner</w:t>
      </w:r>
      <w:bookmarkEnd w:id="163"/>
    </w:p>
    <w:p>
      <w:bookmarkStart w:id="164" w:name="be_ärendeinformation09"/>
      <w:r>
        <w:t>Planarbetet har utförts av samhällsplanerare Linus Leion-Welin och planarkitekt Erik Ewö.</w:t>
      </w:r>
    </w:p>
    <w:p>
      <w:bookmarkEnd w:id="164"/>
    </w:p>
    <w:p/>
    <w:sectPr>
      <w:headerReference xmlns:r="http://schemas.openxmlformats.org/officeDocument/2006/relationships" w:type="first" r:id="RelHdr1"/>
      <w:headerReference xmlns:r="http://schemas.openxmlformats.org/officeDocument/2006/relationships" w:type="default" r:id="RelHdr2"/>
      <w:footerReference xmlns:r="http://schemas.openxmlformats.org/officeDocument/2006/relationships" w:type="first" r:id="RelFtr1"/>
      <w:footerReference xmlns:r="http://schemas.openxmlformats.org/officeDocument/2006/relationships" w:type="default" r:id="RelFtr2"/>
      <w:footnotePr/>
      <w:endnotePr/>
      <w:type w:val="nextPage"/>
      <w:pgSz w:w="11906" w:h="16838" w:code="0"/>
      <w:pgMar w:left="1701" w:right="2835" w:top="2268" w:bottom="1701" w:header="1021" w:footer="624" w:gutter="0"/>
      <w:cols w:equalWidth="1" w:space="284"/>
      <w:titlePg w:val="1"/>
    </w:sectPr>
  </w:body>
</w:document>
</file>

<file path=word/endnotes.xml><?xml version="1.0" encoding="utf-8"?>
<w:endnotes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endnote w:type="separator" w:id="-1">
    <w:p>
      <w:r>
        <w:separator/>
      </w:r>
    </w:p>
    <w:p/>
  </w:endnote>
  <w:endnote w:type="continuationSeparator" w:id="0">
    <w:p>
      <w:r>
        <w:continuationSeparator/>
      </w:r>
    </w:p>
    <w:p/>
  </w:endnote>
</w:endnotes>
</file>

<file path=word/footer1.xml><?xml version="1.0" encoding="utf-8"?>
<w:ftr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p>
    <w:pPr>
      <w:pStyle w:val="P11"/>
      <w:spacing w:lineRule="auto" w:line="240" w:beforeAutospacing="0" w:afterAutospacing="0"/>
      <w:rPr>
        <w:sz w:val="2"/>
        <w:szCs w:val="2"/>
      </w:rPr>
    </w:pPr>
  </w:p>
</w:ftr>
</file>

<file path=word/footer2.xml><?xml version="1.0" encoding="utf-8"?>
<w:ftr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p>
    <w:pPr>
      <w:pStyle w:val="P11"/>
      <w:pBdr>
        <w:top w:val="single" w:sz="8" w:space="6" w:shadow="0" w:frame="0" w:color="F9B000" w:themeColor="accent1"/>
        <w:left w:val="none" w:sz="0" w:space="0" w:shadow="0" w:frame="0" w:color="auto"/>
        <w:bottom w:val="none" w:sz="0" w:space="0" w:shadow="0" w:frame="0" w:color="auto"/>
        <w:right w:val="none" w:sz="0" w:space="0" w:shadow="0" w:frame="0" w:color="auto"/>
        <w:between w:val="none" w:sz="0" w:space="0" w:shadow="0" w:frame="0" w:color="auto"/>
      </w:pBdr>
      <w:tabs>
        <w:tab w:val="clear" w:pos="9072" w:leader="none"/>
      </w:tabs>
      <w:ind w:left="-680" w:right="-1814"/>
      <w:jc w:val="center"/>
    </w:pPr>
    <w:r>
      <w:fldChar w:fldCharType="begin"/>
    </w:r>
    <w:r>
      <w:instrText xml:space="preserve"> PAGE   \* MERGEFORMAT </w:instrText>
    </w:r>
    <w:r>
      <w:fldChar w:fldCharType="separate"/>
    </w:r>
    <w:r>
      <w:rPr>
        <w:noProof w:val="1"/>
      </w:rPr>
      <w:t>#</w:t>
    </w:r>
    <w:r>
      <w:fldChar w:fldCharType="end"/>
    </w:r>
    <w:r>
      <w:t xml:space="preserve"> </w:t>
    </w:r>
    <w:r>
      <w:t>(</w:t>
    </w:r>
    <w:r>
      <w:fldChar w:fldCharType="begin"/>
    </w:r>
    <w:r>
      <w:instrText xml:space="preserve"> NUMPAGES   \* MERGEFORMAT </w:instrText>
    </w:r>
    <w:r>
      <w:fldChar w:fldCharType="separate"/>
    </w:r>
    <w:r>
      <w:rPr>
        <w:noProof w:val="1"/>
      </w:rPr>
      <w:t>#</w:t>
    </w:r>
    <w:r>
      <w:rPr>
        <w:noProof w:val="1"/>
      </w:rPr>
      <w:fldChar w:fldCharType="end"/>
    </w:r>
    <w:r>
      <w:t>)</w:t>
    </w:r>
  </w:p>
</w:ftr>
</file>

<file path=word/footnotes.xml><?xml version="1.0" encoding="utf-8"?>
<w:footnotes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footnote w:type="separator" w:id="-1">
    <w:p>
      <w:r>
        <w:separator/>
      </w:r>
    </w:p>
  </w:footnote>
  <w:footnote w:type="continuationSeparator" w:id="0">
    <w:p>
      <w:r>
        <w:continuationSeparator/>
      </w:r>
    </w:p>
  </w:footnote>
</w:footnotes>
</file>

<file path=word/header1.xml><?xml version="1.0" encoding="utf-8"?>
<w:hdr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tbl>
    <w:tblPr>
      <w:tblStyle w:val="T2"/>
      <w:tblW w:w="9866" w:type="dxa"/>
      <w:tblInd w:w="-680" w:type="dxa"/>
      <w:tblBorders>
        <w:top w:val="single" w:sz="4" w:space="0" w:shadow="0" w:frame="0" w:color="FFFFFF" w:themeColor="background1"/>
        <w:left w:val="single" w:sz="4" w:space="0" w:shadow="0" w:frame="0" w:color="FFFFFF" w:themeColor="background1"/>
        <w:bottom w:val="single" w:sz="4" w:space="0" w:shadow="0" w:frame="0" w:color="FFFFFF" w:themeColor="background1"/>
        <w:right w:val="single" w:sz="4" w:space="0" w:shadow="0" w:frame="0" w:color="FFFFFF" w:themeColor="background1"/>
        <w:insideH w:val="single" w:sz="4" w:space="0" w:shadow="0" w:frame="0" w:color="FFFFFF" w:themeColor="background1"/>
        <w:insideV w:val="single" w:sz="4" w:space="0" w:shadow="0" w:frame="0" w:color="FFFFFF" w:themeColor="background1"/>
      </w:tblBorders>
      <w:tblLook w:val="04A0"/>
      <w:tblCaption w:val="Logotyp"/>
    </w:tblPr>
    <w:tblGrid/>
    <w:tr>
      <w:trPr>
        <w:trHeight w:hRule="atLeast" w:val="1417"/>
        <w:tblHeader/>
      </w:trPr>
      <w:tc>
        <w:tcPr>
          <w:tcW w:w="4933" w:type="dxa"/>
        </w:tcPr>
        <w:p>
          <w:pPr>
            <w:pStyle w:val="P10"/>
            <w:ind w:left="0"/>
          </w:pPr>
          <w:r>
            <w:rPr>
              <w:noProof w:val="1"/>
              <w:lang w:eastAsia="sv-SE"/>
            </w:rPr>
            <w:drawing>
              <wp:inline xmlns:wp="http://schemas.openxmlformats.org/drawingml/2006/wordprocessingDrawing" distT="0" distB="0" distL="0" distR="0">
                <wp:extent cx="1981200" cy="411480"/>
                <wp:effectExtent l="0" t="0" r="0" b="7620"/>
                <wp:docPr id="5" name="Logotyp" descr="Logoty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Ödeshögs kommun.png"/>
                        <pic:cNvPicPr/>
                      </pic:nvPicPr>
                      <pic:blipFill dpi="0">
                        <a:blip xmlns:r="http://schemas.openxmlformats.org/officeDocument/2006/relationships" r:embed="Relimage21"/>
                        <a:srcRect/>
                        <a:stretch>
                          <a:fillRect/>
                        </a:stretch>
                      </pic:blipFill>
                      <pic:spPr>
                        <a:xfrm>
                          <a:off x="0" y="0"/>
                          <a:ext cx="1981205" cy="411482"/>
                        </a:xfrm>
                        <a:prstGeom prst="rect"/>
                      </pic:spPr>
                    </pic:pic>
                  </a:graphicData>
                </a:graphic>
              </wp:inline>
            </w:drawing>
          </w:r>
        </w:p>
      </w:tc>
      <w:tc>
        <w:tcPr>
          <w:tcW w:w="4933" w:type="dxa"/>
        </w:tcPr>
        <w:p>
          <w:pPr>
            <w:pStyle w:val="P10"/>
            <w:ind w:left="1304"/>
            <w:jc w:val="right"/>
          </w:pPr>
          <w:r>
            <w:t>Antagandehandling</w:t>
          </w:r>
        </w:p>
      </w:tc>
    </w:tr>
  </w:tbl>
  <w:p>
    <w:pPr>
      <w:pStyle w:val="P10"/>
      <w:jc w:val="center"/>
    </w:pPr>
    <w:r>
      <w:rPr>
        <w:noProof w:val="1"/>
      </w:rPr>
      <w:drawing>
        <wp:inline xmlns:wp="http://schemas.openxmlformats.org/drawingml/2006/wordprocessingDrawing" distT="0" distB="0" distL="0" distR="0">
          <wp:extent cx="4679950" cy="4530090"/>
          <wp:effectExtent l="0" t="0" r="6350" b="3810"/>
          <wp:docPr id="35" name="Bildobjekt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87"/>
                  <pic:cNvPicPr/>
                </pic:nvPicPr>
                <pic:blipFill dpi="0">
                  <a:blip xmlns:r="http://schemas.openxmlformats.org/officeDocument/2006/relationships" r:embed="Relimage22"/>
                  <a:srcRect/>
                  <a:stretch>
                    <a:fillRect/>
                  </a:stretch>
                </pic:blipFill>
                <pic:spPr>
                  <a:xfrm>
                    <a:off x="0" y="0"/>
                    <a:ext cx="4679950" cy="4530090"/>
                  </a:xfrm>
                  <a:prstGeom prst="rect"/>
                </pic:spPr>
              </pic:pic>
            </a:graphicData>
          </a:graphic>
        </wp:inline>
      </w:drawing>
    </w:r>
  </w:p>
</w:hdr>
</file>

<file path=word/header2.xml><?xml version="1.0" encoding="utf-8"?>
<w:hdr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tbl>
    <w:tblPr>
      <w:tblStyle w:val="T5"/>
      <w:tblW w:w="9866" w:type="dxa"/>
      <w:tblInd w:w="-680" w:type="dxa"/>
      <w:tblBorders>
        <w:left w:val="single" w:sz="8" w:space="0" w:shadow="0" w:frame="0" w:color="F9B000" w:themeColor="accent1"/>
      </w:tblBorders>
      <w:tblCellMar>
        <w:top w:w="57" w:type="dxa"/>
        <w:left w:w="170" w:type="dxa"/>
        <w:bottom w:w="57" w:type="dxa"/>
      </w:tblCellMar>
      <w:tblLook w:val="04A0"/>
      <w:tblCaption w:val="Sidhuvud"/>
    </w:tblPr>
    <w:tblGrid/>
    <w:tr>
      <w:trPr>
        <w:tblHeader/>
      </w:trPr>
      <w:tc>
        <w:tcPr>
          <w:tcW w:w="8504" w:type="dxa"/>
        </w:tcPr>
        <w:p>
          <w:pPr>
            <w:pStyle w:val="P10"/>
            <w:ind w:left="0"/>
          </w:pPr>
          <w:r>
            <w:t>Detaljplan för Fridtjuv Berg 5 m.fl., Ny skola, i Ödeshög</w:t>
          </w:r>
        </w:p>
      </w:tc>
    </w:tr>
  </w:tbl>
  <w:p>
    <w:pPr>
      <w:pStyle w:val="P10"/>
    </w:pPr>
  </w:p>
</w:hdr>
</file>

<file path=word/numbering.xml><?xml version="1.0" encoding="utf-8"?>
<w:numbering xmlns:w="http://schemas.openxmlformats.org/wordprocessingml/2006/main">
  <w:abstractNum w:abstractNumId="0">
    <w:nsid w:val="FFFFFF89"/>
    <w:multiLevelType w:val="hybridMultilevel"/>
    <w:lvl w:ilvl="0">
      <w:start w:val="1"/>
      <w:numFmt w:val="bullet"/>
      <w:suff w:val="tab"/>
      <w:lvlText w:val=""/>
      <w:lvlJc w:val="left"/>
      <w:pPr>
        <w:ind w:hanging="360" w:left="360"/>
        <w:tabs>
          <w:tab w:val="num" w:pos="360" w:leader="none"/>
        </w:tabs>
      </w:pPr>
      <w:rPr>
        <w:rFonts w:ascii="Symbol" w:hAnsi="Symbol" w:hint="default"/>
      </w:rPr>
    </w:lvl>
    <w:lvl w:ilvl="1" w:tplc="7CA5FCA3">
      <w:start w:val="1"/>
      <w:numFmt w:val="decimal"/>
      <w:suff w:val="tab"/>
      <w:lvlText w:val="%1."/>
      <w:lvlJc w:val="left"/>
      <w:pPr/>
      <w:rPr/>
    </w:lvl>
    <w:lvl w:ilvl="2" w:tplc="2C69BF0A">
      <w:start w:val="1"/>
      <w:numFmt w:val="decimal"/>
      <w:suff w:val="tab"/>
      <w:lvlText w:val="%1."/>
      <w:lvlJc w:val="left"/>
      <w:pPr/>
      <w:rPr/>
    </w:lvl>
    <w:lvl w:ilvl="3" w:tplc="0557F041">
      <w:start w:val="1"/>
      <w:numFmt w:val="decimal"/>
      <w:suff w:val="tab"/>
      <w:lvlText w:val="%1."/>
      <w:lvlJc w:val="left"/>
      <w:pPr/>
      <w:rPr/>
    </w:lvl>
    <w:lvl w:ilvl="4" w:tplc="0B534920">
      <w:start w:val="1"/>
      <w:numFmt w:val="decimal"/>
      <w:suff w:val="tab"/>
      <w:lvlText w:val="%1."/>
      <w:lvlJc w:val="left"/>
      <w:pPr/>
      <w:rPr/>
    </w:lvl>
    <w:lvl w:ilvl="5" w:tplc="36431E56">
      <w:start w:val="1"/>
      <w:numFmt w:val="decimal"/>
      <w:suff w:val="tab"/>
      <w:lvlText w:val="%1."/>
      <w:lvlJc w:val="left"/>
      <w:pPr/>
      <w:rPr/>
    </w:lvl>
    <w:lvl w:ilvl="6" w:tplc="20239FAB">
      <w:start w:val="1"/>
      <w:numFmt w:val="decimal"/>
      <w:suff w:val="tab"/>
      <w:lvlText w:val="%1."/>
      <w:lvlJc w:val="left"/>
      <w:pPr/>
      <w:rPr/>
    </w:lvl>
    <w:lvl w:ilvl="7" w:tplc="3064F0BD">
      <w:start w:val="1"/>
      <w:numFmt w:val="decimal"/>
      <w:suff w:val="tab"/>
      <w:lvlText w:val="%1."/>
      <w:lvlJc w:val="left"/>
      <w:pPr/>
      <w:rPr/>
    </w:lvl>
    <w:lvl w:ilvl="8" w:tplc="74CDA6F2">
      <w:start w:val="1"/>
      <w:numFmt w:val="decimal"/>
      <w:suff w:val="tab"/>
      <w:lvlText w:val="%1."/>
      <w:lvlJc w:val="left"/>
      <w:pPr/>
      <w:rPr/>
    </w:lvl>
  </w:abstractNum>
  <w:abstractNum w:abstractNumId="1">
    <w:nsid w:val="019726EC"/>
    <w:multiLevelType w:val="hybridMultilevel"/>
    <w:lvl w:ilvl="0" w:tplc="36B2D2C6">
      <w:start w:val="1"/>
      <w:numFmt w:val="decimal"/>
      <w:suff w:val="tab"/>
      <w:lvlText w:val="%1)"/>
      <w:lvlJc w:val="left"/>
      <w:pPr>
        <w:ind w:hanging="360" w:left="360"/>
      </w:pPr>
      <w:rPr/>
    </w:lvl>
    <w:lvl w:ilvl="1" w:tplc="A852C4CC">
      <w:start w:val="1"/>
      <w:numFmt w:val="lowerLetter"/>
      <w:suff w:val="tab"/>
      <w:lvlText w:val="%2)"/>
      <w:lvlJc w:val="left"/>
      <w:pPr>
        <w:ind w:hanging="360" w:left="720"/>
      </w:pPr>
      <w:rPr/>
    </w:lvl>
    <w:lvl w:ilvl="2" w:tplc="831676A0">
      <w:start w:val="1"/>
      <w:numFmt w:val="lowerRoman"/>
      <w:suff w:val="tab"/>
      <w:lvlText w:val="%3)"/>
      <w:lvlJc w:val="left"/>
      <w:pPr>
        <w:ind w:hanging="360" w:left="1080"/>
      </w:pPr>
      <w:rPr/>
    </w:lvl>
    <w:lvl w:ilvl="3" w:tplc="5ED44264">
      <w:start w:val="1"/>
      <w:numFmt w:val="decimal"/>
      <w:suff w:val="tab"/>
      <w:lvlText w:val="(%4)"/>
      <w:lvlJc w:val="left"/>
      <w:pPr>
        <w:ind w:hanging="360" w:left="1440"/>
      </w:pPr>
      <w:rPr/>
    </w:lvl>
    <w:lvl w:ilvl="4" w:tplc="5DF601A4">
      <w:start w:val="1"/>
      <w:numFmt w:val="lowerLetter"/>
      <w:suff w:val="tab"/>
      <w:lvlText w:val="(%5)"/>
      <w:lvlJc w:val="left"/>
      <w:pPr>
        <w:ind w:hanging="360" w:left="1800"/>
      </w:pPr>
      <w:rPr/>
    </w:lvl>
    <w:lvl w:ilvl="5" w:tplc="540A8ACC">
      <w:start w:val="1"/>
      <w:numFmt w:val="lowerRoman"/>
      <w:suff w:val="tab"/>
      <w:lvlText w:val="(%6)"/>
      <w:lvlJc w:val="left"/>
      <w:pPr>
        <w:ind w:hanging="360" w:left="2160"/>
      </w:pPr>
      <w:rPr/>
    </w:lvl>
    <w:lvl w:ilvl="6" w:tplc="39A6ED6A">
      <w:start w:val="1"/>
      <w:numFmt w:val="decimal"/>
      <w:suff w:val="tab"/>
      <w:lvlText w:val="%7."/>
      <w:lvlJc w:val="left"/>
      <w:pPr>
        <w:ind w:hanging="360" w:left="2520"/>
      </w:pPr>
      <w:rPr/>
    </w:lvl>
    <w:lvl w:ilvl="7" w:tplc="9A4E1B90">
      <w:start w:val="1"/>
      <w:numFmt w:val="lowerLetter"/>
      <w:suff w:val="tab"/>
      <w:lvlText w:val="%8."/>
      <w:lvlJc w:val="left"/>
      <w:pPr>
        <w:ind w:hanging="360" w:left="2880"/>
      </w:pPr>
      <w:rPr/>
    </w:lvl>
    <w:lvl w:ilvl="8" w:tplc="E92E3800">
      <w:start w:val="1"/>
      <w:numFmt w:val="lowerRoman"/>
      <w:suff w:val="tab"/>
      <w:lvlText w:val="%9."/>
      <w:lvlJc w:val="left"/>
      <w:pPr>
        <w:ind w:hanging="360" w:left="3240"/>
      </w:pPr>
      <w:rPr/>
    </w:lvl>
  </w:abstractNum>
  <w:abstractNum w:abstractNumId="2">
    <w:nsid w:val="02104BF7"/>
    <w:multiLevelType w:val="hybridMultilevel"/>
    <w:tmpl w:val="0409001D"/>
    <w:styleLink w:val="N3"/>
    <w:lvl w:ilvl="0" w:tplc="BCF23FD4">
      <w:start w:val="1"/>
      <w:numFmt w:val="decimal"/>
      <w:suff w:val="tab"/>
      <w:lvlText w:val="%1."/>
      <w:lvlJc w:val="left"/>
      <w:pPr>
        <w:ind w:hanging="284" w:left="284"/>
        <w:tabs>
          <w:tab w:val="num" w:pos="284" w:leader="none"/>
        </w:tabs>
      </w:pPr>
      <w:rPr>
        <w:rFonts w:hint="default"/>
      </w:rPr>
    </w:lvl>
    <w:lvl w:ilvl="1" w:tplc="F4F2917E">
      <w:start w:val="1"/>
      <w:numFmt w:val="lowerLetter"/>
      <w:suff w:val="tab"/>
      <w:lvlText w:val="%2)"/>
      <w:lvlJc w:val="left"/>
      <w:pPr>
        <w:ind w:hanging="283" w:left="567"/>
        <w:tabs>
          <w:tab w:val="num" w:pos="567" w:leader="none"/>
        </w:tabs>
      </w:pPr>
      <w:rPr>
        <w:rFonts w:hint="default"/>
      </w:rPr>
    </w:lvl>
    <w:lvl w:ilvl="2" w:tplc="0A70EC70">
      <w:start w:val="1"/>
      <w:numFmt w:val="lowerRoman"/>
      <w:suff w:val="tab"/>
      <w:lvlText w:val="%3)"/>
      <w:lvlJc w:val="left"/>
      <w:pPr>
        <w:ind w:hanging="284" w:left="851"/>
        <w:tabs>
          <w:tab w:val="num" w:pos="851" w:leader="none"/>
        </w:tabs>
      </w:pPr>
      <w:rPr>
        <w:rFonts w:hint="default"/>
      </w:rPr>
    </w:lvl>
    <w:lvl w:ilvl="3" w:tplc="39469502">
      <w:start w:val="1"/>
      <w:numFmt w:val="bullet"/>
      <w:suff w:val="tab"/>
      <w:lvlText w:val="-"/>
      <w:lvlJc w:val="left"/>
      <w:pPr>
        <w:ind w:hanging="283" w:left="1134"/>
        <w:tabs>
          <w:tab w:val="num" w:pos="1134" w:leader="none"/>
        </w:tabs>
      </w:pPr>
      <w:rPr>
        <w:rFonts w:ascii="Arial" w:hAnsi="Arial" w:cs="Times New Roman" w:hint="default"/>
        <w:color w:val="auto"/>
        <w:szCs w:val="14"/>
      </w:rPr>
    </w:lvl>
    <w:lvl w:ilvl="4" w:tplc="16C83AFE">
      <w:start w:val="1"/>
      <w:numFmt w:val="bullet"/>
      <w:suff w:val="tab"/>
      <w:lvlText w:val="-"/>
      <w:lvlJc w:val="left"/>
      <w:pPr>
        <w:ind w:hanging="284" w:left="1418"/>
        <w:tabs>
          <w:tab w:val="num" w:pos="1418" w:leader="none"/>
        </w:tabs>
      </w:pPr>
      <w:rPr>
        <w:rFonts w:ascii="Arial" w:hAnsi="Arial" w:cs="Times New Roman" w:hint="default"/>
        <w:color w:val="auto"/>
        <w:szCs w:val="14"/>
      </w:rPr>
    </w:lvl>
    <w:lvl w:ilvl="5" w:tplc="9B4E9C84">
      <w:start w:val="1"/>
      <w:numFmt w:val="bullet"/>
      <w:suff w:val="tab"/>
      <w:lvlText w:val="-"/>
      <w:lvlJc w:val="left"/>
      <w:pPr>
        <w:ind w:hanging="283" w:left="1701"/>
        <w:tabs>
          <w:tab w:val="num" w:pos="1701" w:leader="none"/>
        </w:tabs>
      </w:pPr>
      <w:rPr>
        <w:rFonts w:ascii="Arial" w:hAnsi="Arial" w:cs="Times New Roman" w:hint="default"/>
        <w:color w:val="auto"/>
        <w:szCs w:val="14"/>
      </w:rPr>
    </w:lvl>
    <w:lvl w:ilvl="6" w:tplc="0F1AA622">
      <w:start w:val="1"/>
      <w:numFmt w:val="bullet"/>
      <w:suff w:val="tab"/>
      <w:lvlText w:val="-"/>
      <w:lvlJc w:val="left"/>
      <w:pPr>
        <w:ind w:hanging="284" w:left="1985"/>
        <w:tabs>
          <w:tab w:val="num" w:pos="1985" w:leader="none"/>
        </w:tabs>
      </w:pPr>
      <w:rPr>
        <w:rFonts w:ascii="Arial" w:hAnsi="Arial" w:cs="Times New Roman" w:hint="default"/>
        <w:color w:val="auto"/>
        <w:szCs w:val="14"/>
      </w:rPr>
    </w:lvl>
    <w:lvl w:ilvl="7" w:tplc="0A722F62">
      <w:start w:val="1"/>
      <w:numFmt w:val="bullet"/>
      <w:suff w:val="tab"/>
      <w:lvlText w:val="-"/>
      <w:lvlJc w:val="left"/>
      <w:pPr>
        <w:ind w:hanging="283" w:left="2268"/>
        <w:tabs>
          <w:tab w:val="num" w:pos="2268" w:leader="none"/>
        </w:tabs>
      </w:pPr>
      <w:rPr>
        <w:rFonts w:ascii="Arial" w:hAnsi="Arial" w:cs="Times New Roman" w:hint="default"/>
        <w:color w:val="auto"/>
        <w:szCs w:val="14"/>
      </w:rPr>
    </w:lvl>
    <w:lvl w:ilvl="8" w:tplc="42F8732E">
      <w:start w:val="1"/>
      <w:numFmt w:val="bullet"/>
      <w:suff w:val="tab"/>
      <w:lvlText w:val="-"/>
      <w:lvlJc w:val="left"/>
      <w:pPr>
        <w:ind w:hanging="284" w:left="2552"/>
        <w:tabs>
          <w:tab w:val="num" w:pos="2552" w:leader="none"/>
        </w:tabs>
      </w:pPr>
      <w:rPr>
        <w:rFonts w:ascii="Arial" w:hAnsi="Arial" w:cs="Times New Roman" w:hint="default"/>
        <w:color w:val="auto"/>
        <w:szCs w:val="14"/>
      </w:rPr>
    </w:lvl>
  </w:abstractNum>
  <w:abstractNum w:abstractNumId="3">
    <w:nsid w:val="07865645"/>
    <w:multiLevelType w:val="hybridMultilevel"/>
    <w:tmpl w:val="0409001D"/>
    <w:styleLink w:val="N4"/>
    <w:lvl w:ilvl="0" w:tplc="C99AD5E0">
      <w:start w:val="1"/>
      <w:numFmt w:val="bullet"/>
      <w:suff w:val="tab"/>
      <w:lvlText w:val="●"/>
      <w:lvlJc w:val="left"/>
      <w:pPr>
        <w:ind w:hanging="284" w:left="284"/>
        <w:tabs>
          <w:tab w:val="num" w:pos="284" w:leader="none"/>
        </w:tabs>
      </w:pPr>
      <w:rPr>
        <w:rFonts w:ascii="Arial" w:hAnsi="Arial" w:cs="Times New Roman" w:hint="default"/>
        <w:color w:val="auto"/>
        <w:szCs w:val="14"/>
      </w:rPr>
    </w:lvl>
    <w:lvl w:ilvl="1" w:tplc="97CE59E6">
      <w:start w:val="1"/>
      <w:numFmt w:val="bullet"/>
      <w:suff w:val="tab"/>
      <w:lvlText w:val="-"/>
      <w:lvlJc w:val="left"/>
      <w:pPr>
        <w:ind w:hanging="283" w:left="567"/>
        <w:tabs>
          <w:tab w:val="num" w:pos="567" w:leader="none"/>
        </w:tabs>
      </w:pPr>
      <w:rPr>
        <w:rFonts w:ascii="Arial" w:hAnsi="Arial" w:cs="Times New Roman" w:hint="default"/>
        <w:color w:val="auto"/>
        <w:szCs w:val="14"/>
      </w:rPr>
    </w:lvl>
    <w:lvl w:ilvl="2" w:tplc="495A527E">
      <w:start w:val="1"/>
      <w:numFmt w:val="bullet"/>
      <w:suff w:val="tab"/>
      <w:lvlText w:val="-"/>
      <w:lvlJc w:val="left"/>
      <w:pPr>
        <w:ind w:hanging="284" w:left="851"/>
        <w:tabs>
          <w:tab w:val="num" w:pos="851" w:leader="none"/>
        </w:tabs>
      </w:pPr>
      <w:rPr>
        <w:rFonts w:ascii="Arial" w:hAnsi="Arial" w:cs="Times New Roman" w:hint="default"/>
        <w:color w:val="auto"/>
        <w:szCs w:val="14"/>
      </w:rPr>
    </w:lvl>
    <w:lvl w:ilvl="3" w:tplc="36B2B8AA">
      <w:start w:val="1"/>
      <w:numFmt w:val="bullet"/>
      <w:suff w:val="tab"/>
      <w:lvlText w:val="-"/>
      <w:lvlJc w:val="left"/>
      <w:pPr>
        <w:ind w:hanging="283" w:left="1134"/>
        <w:tabs>
          <w:tab w:val="num" w:pos="1134" w:leader="none"/>
        </w:tabs>
      </w:pPr>
      <w:rPr>
        <w:rFonts w:ascii="Arial" w:hAnsi="Arial" w:cs="Times New Roman" w:hint="default"/>
        <w:color w:val="auto"/>
        <w:szCs w:val="14"/>
      </w:rPr>
    </w:lvl>
    <w:lvl w:ilvl="4" w:tplc="028ADFF2">
      <w:start w:val="1"/>
      <w:numFmt w:val="bullet"/>
      <w:suff w:val="tab"/>
      <w:lvlText w:val="-"/>
      <w:lvlJc w:val="left"/>
      <w:pPr>
        <w:ind w:hanging="284" w:left="1418"/>
        <w:tabs>
          <w:tab w:val="num" w:pos="1418" w:leader="none"/>
        </w:tabs>
      </w:pPr>
      <w:rPr>
        <w:rFonts w:ascii="Arial" w:hAnsi="Arial" w:cs="Times New Roman" w:hint="default"/>
        <w:color w:val="auto"/>
        <w:szCs w:val="14"/>
      </w:rPr>
    </w:lvl>
    <w:lvl w:ilvl="5" w:tplc="C64A7D90">
      <w:start w:val="1"/>
      <w:numFmt w:val="bullet"/>
      <w:suff w:val="tab"/>
      <w:lvlText w:val="-"/>
      <w:lvlJc w:val="left"/>
      <w:pPr>
        <w:ind w:hanging="283" w:left="1701"/>
        <w:tabs>
          <w:tab w:val="num" w:pos="1701" w:leader="none"/>
        </w:tabs>
      </w:pPr>
      <w:rPr>
        <w:rFonts w:ascii="Arial" w:hAnsi="Arial" w:cs="Times New Roman" w:hint="default"/>
        <w:color w:val="auto"/>
        <w:szCs w:val="14"/>
      </w:rPr>
    </w:lvl>
    <w:lvl w:ilvl="6" w:tplc="7A6277B4">
      <w:start w:val="1"/>
      <w:numFmt w:val="bullet"/>
      <w:suff w:val="tab"/>
      <w:lvlText w:val="-"/>
      <w:lvlJc w:val="left"/>
      <w:pPr>
        <w:ind w:hanging="284" w:left="1985"/>
        <w:tabs>
          <w:tab w:val="num" w:pos="1985" w:leader="none"/>
        </w:tabs>
      </w:pPr>
      <w:rPr>
        <w:rFonts w:ascii="Arial" w:hAnsi="Arial" w:cs="Times New Roman" w:hint="default"/>
        <w:color w:val="auto"/>
        <w:szCs w:val="14"/>
      </w:rPr>
    </w:lvl>
    <w:lvl w:ilvl="7" w:tplc="990834A6">
      <w:start w:val="1"/>
      <w:numFmt w:val="bullet"/>
      <w:suff w:val="tab"/>
      <w:lvlText w:val="-"/>
      <w:lvlJc w:val="left"/>
      <w:pPr>
        <w:ind w:hanging="283" w:left="2268"/>
        <w:tabs>
          <w:tab w:val="num" w:pos="2268" w:leader="none"/>
        </w:tabs>
      </w:pPr>
      <w:rPr>
        <w:rFonts w:ascii="Arial" w:hAnsi="Arial" w:cs="Times New Roman" w:hint="default"/>
        <w:color w:val="auto"/>
        <w:szCs w:val="14"/>
      </w:rPr>
    </w:lvl>
    <w:lvl w:ilvl="8" w:tplc="344A79D2">
      <w:start w:val="1"/>
      <w:numFmt w:val="bullet"/>
      <w:suff w:val="tab"/>
      <w:lvlText w:val="-"/>
      <w:lvlJc w:val="left"/>
      <w:pPr>
        <w:ind w:hanging="284" w:left="2552"/>
        <w:tabs>
          <w:tab w:val="num" w:pos="2552" w:leader="none"/>
        </w:tabs>
      </w:pPr>
      <w:rPr>
        <w:rFonts w:ascii="Arial" w:hAnsi="Arial" w:cs="Times New Roman" w:hint="default"/>
        <w:color w:val="auto"/>
        <w:szCs w:val="14"/>
      </w:rPr>
    </w:lvl>
  </w:abstractNum>
  <w:abstractNum w:abstractNumId="4">
    <w:nsid w:val="07F026CF"/>
    <w:multiLevelType w:val="hybridMultilevel"/>
    <w:lvl w:ilvl="0" w:tplc="EC449756">
      <w:start w:val="1"/>
      <w:numFmt w:val="decimal"/>
      <w:suff w:val="tab"/>
      <w:lvlText w:val="%1)"/>
      <w:lvlJc w:val="left"/>
      <w:pPr>
        <w:ind w:hanging="360" w:left="360"/>
      </w:pPr>
      <w:rPr/>
    </w:lvl>
    <w:lvl w:ilvl="1" w:tplc="69E027C8">
      <w:start w:val="1"/>
      <w:numFmt w:val="lowerLetter"/>
      <w:suff w:val="tab"/>
      <w:lvlText w:val="%2)"/>
      <w:lvlJc w:val="left"/>
      <w:pPr>
        <w:ind w:hanging="360" w:left="720"/>
      </w:pPr>
      <w:rPr/>
    </w:lvl>
    <w:lvl w:ilvl="2" w:tplc="8C041156">
      <w:start w:val="1"/>
      <w:numFmt w:val="lowerRoman"/>
      <w:suff w:val="tab"/>
      <w:lvlText w:val="%3)"/>
      <w:lvlJc w:val="left"/>
      <w:pPr>
        <w:ind w:hanging="360" w:left="1080"/>
      </w:pPr>
      <w:rPr/>
    </w:lvl>
    <w:lvl w:ilvl="3" w:tplc="92B24CE8">
      <w:start w:val="1"/>
      <w:numFmt w:val="decimal"/>
      <w:suff w:val="tab"/>
      <w:lvlText w:val="(%4)"/>
      <w:lvlJc w:val="left"/>
      <w:pPr>
        <w:ind w:hanging="360" w:left="1440"/>
      </w:pPr>
      <w:rPr/>
    </w:lvl>
    <w:lvl w:ilvl="4" w:tplc="E6C47640">
      <w:start w:val="1"/>
      <w:numFmt w:val="lowerLetter"/>
      <w:suff w:val="tab"/>
      <w:lvlText w:val="(%5)"/>
      <w:lvlJc w:val="left"/>
      <w:pPr>
        <w:ind w:hanging="360" w:left="1800"/>
      </w:pPr>
      <w:rPr/>
    </w:lvl>
    <w:lvl w:ilvl="5" w:tplc="D042F802">
      <w:start w:val="1"/>
      <w:numFmt w:val="lowerRoman"/>
      <w:suff w:val="tab"/>
      <w:lvlText w:val="(%6)"/>
      <w:lvlJc w:val="left"/>
      <w:pPr>
        <w:ind w:hanging="360" w:left="2160"/>
      </w:pPr>
      <w:rPr/>
    </w:lvl>
    <w:lvl w:ilvl="6" w:tplc="FB520FDA">
      <w:start w:val="1"/>
      <w:numFmt w:val="decimal"/>
      <w:suff w:val="tab"/>
      <w:lvlText w:val="%7."/>
      <w:lvlJc w:val="left"/>
      <w:pPr>
        <w:ind w:hanging="360" w:left="2520"/>
      </w:pPr>
      <w:rPr/>
    </w:lvl>
    <w:lvl w:ilvl="7" w:tplc="740A18BC">
      <w:start w:val="1"/>
      <w:numFmt w:val="lowerLetter"/>
      <w:suff w:val="tab"/>
      <w:lvlText w:val="%8."/>
      <w:lvlJc w:val="left"/>
      <w:pPr>
        <w:ind w:hanging="360" w:left="2880"/>
      </w:pPr>
      <w:rPr/>
    </w:lvl>
    <w:lvl w:ilvl="8" w:tplc="2BC8278E">
      <w:start w:val="1"/>
      <w:numFmt w:val="lowerRoman"/>
      <w:suff w:val="tab"/>
      <w:lvlText w:val="%9."/>
      <w:lvlJc w:val="left"/>
      <w:pPr>
        <w:ind w:hanging="360" w:left="3240"/>
      </w:pPr>
      <w:rPr/>
    </w:lvl>
  </w:abstractNum>
  <w:abstractNum w:abstractNumId="5">
    <w:nsid w:val="08B95E24"/>
    <w:multiLevelType w:val="hybridMultilevel"/>
    <w:tmpl w:val="0409001D"/>
    <w:numStyleLink w:val="N2"/>
  </w:abstractNum>
  <w:abstractNum w:abstractNumId="6">
    <w:nsid w:val="0B2A0355"/>
    <w:multiLevelType w:val="multilevel"/>
    <w:lvl w:ilvl="0">
      <w:start w:val="1"/>
      <w:numFmt w:val="decimal"/>
      <w:suff w:val="tab"/>
      <w:lvlText w:val="%1."/>
      <w:lvlJc w:val="left"/>
      <w:pPr>
        <w:ind w:hanging="567" w:left="567"/>
        <w:tabs>
          <w:tab w:val="num" w:pos="567" w:leader="none"/>
        </w:tabs>
      </w:pPr>
      <w:rPr/>
    </w:lvl>
    <w:lvl w:ilvl="1">
      <w:start w:val="1"/>
      <w:numFmt w:val="decimal"/>
      <w:suff w:val="tab"/>
      <w:lvlText w:val="%1.%2."/>
      <w:lvlJc w:val="left"/>
      <w:pPr>
        <w:ind w:hanging="680" w:left="680"/>
        <w:tabs>
          <w:tab w:val="num" w:pos="680" w:leader="none"/>
        </w:tabs>
      </w:pPr>
      <w:rPr/>
    </w:lvl>
    <w:lvl w:ilvl="2">
      <w:start w:val="1"/>
      <w:numFmt w:val="decimal"/>
      <w:suff w:val="tab"/>
      <w:lvlText w:val="%1.%2.%3."/>
      <w:lvlJc w:val="left"/>
      <w:pPr>
        <w:ind w:hanging="850" w:left="850"/>
        <w:tabs>
          <w:tab w:val="num" w:pos="850" w:leader="none"/>
        </w:tabs>
      </w:pPr>
      <w:rPr/>
    </w:lvl>
    <w:lvl w:ilvl="3">
      <w:start w:val="1"/>
      <w:numFmt w:val="decimal"/>
      <w:suff w:val="tab"/>
      <w:lvlText w:val="%1.%2.%3.%4."/>
      <w:lvlJc w:val="left"/>
      <w:pPr>
        <w:ind w:hanging="992" w:left="992"/>
        <w:tabs>
          <w:tab w:val="num" w:pos="992" w:leader="none"/>
        </w:tabs>
      </w:pPr>
      <w:rPr/>
    </w:lvl>
    <w:lvl w:ilvl="4">
      <w:start w:val="1"/>
      <w:numFmt w:val="decimal"/>
      <w:lvlRestart w:val="3"/>
      <w:suff w:val="tab"/>
      <w:lvlText w:val="%1.%2.%3.%4.%5."/>
      <w:lvlJc w:val="left"/>
      <w:pPr>
        <w:ind w:hanging="992" w:left="992"/>
        <w:tabs>
          <w:tab w:val="num" w:pos="992" w:leader="none"/>
        </w:tabs>
      </w:pPr>
      <w:rPr/>
    </w:lvl>
    <w:lvl w:ilvl="5">
      <w:start w:val="1"/>
      <w:numFmt w:val="decimal"/>
      <w:suff w:val="tab"/>
      <w:lvlText w:val="%1.%2.%3.%4.%5.%6"/>
      <w:lvlJc w:val="left"/>
      <w:pPr>
        <w:ind w:hanging="1152" w:left="1152"/>
      </w:pPr>
      <w:rPr/>
    </w:lvl>
    <w:lvl w:ilvl="6">
      <w:start w:val="1"/>
      <w:numFmt w:val="decimal"/>
      <w:suff w:val="tab"/>
      <w:lvlText w:val="%1.%2.%3.%4.%5.%6.%7"/>
      <w:lvlJc w:val="left"/>
      <w:pPr>
        <w:ind w:hanging="1296" w:left="1296"/>
      </w:pPr>
      <w:rPr/>
    </w:lvl>
    <w:lvl w:ilvl="7">
      <w:start w:val="1"/>
      <w:numFmt w:val="decimal"/>
      <w:suff w:val="tab"/>
      <w:lvlText w:val="%1.%2.%3.%4.%5.%6.%7.%8"/>
      <w:lvlJc w:val="left"/>
      <w:pPr>
        <w:ind w:hanging="1440" w:left="1440"/>
      </w:pPr>
      <w:rPr/>
    </w:lvl>
    <w:lvl w:ilvl="8">
      <w:start w:val="1"/>
      <w:numFmt w:val="decimal"/>
      <w:suff w:val="tab"/>
      <w:lvlText w:val="%1.%2.%3.%4.%5.%6.%7.%8.%9"/>
      <w:lvlJc w:val="left"/>
      <w:pPr>
        <w:ind w:hanging="1584" w:left="1584"/>
      </w:pPr>
      <w:rPr/>
    </w:lvl>
  </w:abstractNum>
  <w:abstractNum w:abstractNumId="7">
    <w:nsid w:val="0B6C6874"/>
    <w:multiLevelType w:val="hybridMultilevel"/>
    <w:lvl w:ilvl="0" w:tplc="EB7C8E14">
      <w:start w:val="1"/>
      <w:numFmt w:val="decimal"/>
      <w:suff w:val="tab"/>
      <w:lvlText w:val="%1)"/>
      <w:lvlJc w:val="left"/>
      <w:pPr>
        <w:ind w:hanging="360" w:left="360"/>
      </w:pPr>
      <w:rPr/>
    </w:lvl>
    <w:lvl w:ilvl="1" w:tplc="0A769934">
      <w:start w:val="1"/>
      <w:numFmt w:val="lowerLetter"/>
      <w:suff w:val="tab"/>
      <w:lvlText w:val="%2)"/>
      <w:lvlJc w:val="left"/>
      <w:pPr>
        <w:ind w:hanging="360" w:left="720"/>
      </w:pPr>
      <w:rPr/>
    </w:lvl>
    <w:lvl w:ilvl="2" w:tplc="D4788ACA">
      <w:start w:val="1"/>
      <w:numFmt w:val="lowerRoman"/>
      <w:suff w:val="tab"/>
      <w:lvlText w:val="%3)"/>
      <w:lvlJc w:val="left"/>
      <w:pPr>
        <w:ind w:hanging="360" w:left="1080"/>
      </w:pPr>
      <w:rPr/>
    </w:lvl>
    <w:lvl w:ilvl="3" w:tplc="09F69282">
      <w:start w:val="1"/>
      <w:numFmt w:val="decimal"/>
      <w:suff w:val="tab"/>
      <w:lvlText w:val="(%4)"/>
      <w:lvlJc w:val="left"/>
      <w:pPr>
        <w:ind w:hanging="360" w:left="1440"/>
      </w:pPr>
      <w:rPr/>
    </w:lvl>
    <w:lvl w:ilvl="4" w:tplc="10A83E92">
      <w:start w:val="1"/>
      <w:numFmt w:val="lowerLetter"/>
      <w:suff w:val="tab"/>
      <w:lvlText w:val="(%5)"/>
      <w:lvlJc w:val="left"/>
      <w:pPr>
        <w:ind w:hanging="360" w:left="1800"/>
      </w:pPr>
      <w:rPr/>
    </w:lvl>
    <w:lvl w:ilvl="5" w:tplc="EC82E7B4">
      <w:start w:val="1"/>
      <w:numFmt w:val="lowerRoman"/>
      <w:suff w:val="tab"/>
      <w:lvlText w:val="(%6)"/>
      <w:lvlJc w:val="left"/>
      <w:pPr>
        <w:ind w:hanging="360" w:left="2160"/>
      </w:pPr>
      <w:rPr/>
    </w:lvl>
    <w:lvl w:ilvl="6" w:tplc="785A8EBE">
      <w:start w:val="1"/>
      <w:numFmt w:val="decimal"/>
      <w:suff w:val="tab"/>
      <w:lvlText w:val="%7."/>
      <w:lvlJc w:val="left"/>
      <w:pPr>
        <w:ind w:hanging="360" w:left="2520"/>
      </w:pPr>
      <w:rPr/>
    </w:lvl>
    <w:lvl w:ilvl="7" w:tplc="B66CD668">
      <w:start w:val="1"/>
      <w:numFmt w:val="lowerLetter"/>
      <w:suff w:val="tab"/>
      <w:lvlText w:val="%8."/>
      <w:lvlJc w:val="left"/>
      <w:pPr>
        <w:ind w:hanging="360" w:left="2880"/>
      </w:pPr>
      <w:rPr/>
    </w:lvl>
    <w:lvl w:ilvl="8" w:tplc="D572051C">
      <w:start w:val="1"/>
      <w:numFmt w:val="lowerRoman"/>
      <w:suff w:val="tab"/>
      <w:lvlText w:val="%9."/>
      <w:lvlJc w:val="left"/>
      <w:pPr>
        <w:ind w:hanging="360" w:left="3240"/>
      </w:pPr>
      <w:rPr/>
    </w:lvl>
  </w:abstractNum>
  <w:abstractNum w:abstractNumId="8">
    <w:nsid w:val="0BAB4237"/>
    <w:multiLevelType w:val="multilevel"/>
    <w:lvl w:ilvl="0">
      <w:start w:val="1"/>
      <w:numFmt w:val="decimal"/>
      <w:suff w:val="tab"/>
      <w:lvlText w:val="%1"/>
      <w:lvlJc w:val="left"/>
      <w:pPr>
        <w:ind w:hanging="737" w:left="737"/>
      </w:pPr>
      <w:rPr>
        <w:rFonts w:hint="default"/>
      </w:rPr>
    </w:lvl>
    <w:lvl w:ilvl="1">
      <w:start w:val="1"/>
      <w:numFmt w:val="decimal"/>
      <w:suff w:val="tab"/>
      <w:lvlText w:val="%1.%2"/>
      <w:lvlJc w:val="left"/>
      <w:pPr>
        <w:ind w:hanging="737" w:left="737"/>
      </w:pPr>
      <w:rPr>
        <w:rFonts w:hint="default"/>
      </w:rPr>
    </w:lvl>
    <w:lvl w:ilvl="2">
      <w:start w:val="1"/>
      <w:numFmt w:val="decimal"/>
      <w:suff w:val="tab"/>
      <w:lvlText w:val="%1.%2.%3"/>
      <w:lvlJc w:val="left"/>
      <w:pPr>
        <w:ind w:hanging="737" w:left="737"/>
      </w:pPr>
      <w:rPr>
        <w:rFonts w:hint="default"/>
      </w:rPr>
    </w:lvl>
    <w:lvl w:ilvl="3">
      <w:start w:val="1"/>
      <w:numFmt w:val="decimal"/>
      <w:suff w:val="tab"/>
      <w:lvlText w:val="(%4)"/>
      <w:lvlJc w:val="left"/>
      <w:pPr>
        <w:ind w:hanging="737" w:left="737"/>
      </w:pPr>
      <w:rPr>
        <w:rFonts w:hint="default"/>
      </w:rPr>
    </w:lvl>
    <w:lvl w:ilvl="4">
      <w:start w:val="1"/>
      <w:numFmt w:val="lowerLetter"/>
      <w:suff w:val="tab"/>
      <w:lvlText w:val="(%5)"/>
      <w:lvlJc w:val="left"/>
      <w:pPr>
        <w:ind w:hanging="737" w:left="737"/>
      </w:pPr>
      <w:rPr>
        <w:rFonts w:hint="default"/>
      </w:rPr>
    </w:lvl>
    <w:lvl w:ilvl="5">
      <w:start w:val="1"/>
      <w:numFmt w:val="lowerRoman"/>
      <w:suff w:val="tab"/>
      <w:lvlText w:val="(%6)"/>
      <w:lvlJc w:val="left"/>
      <w:pPr>
        <w:ind w:hanging="737" w:left="737"/>
      </w:pPr>
      <w:rPr>
        <w:rFonts w:hint="default"/>
      </w:rPr>
    </w:lvl>
    <w:lvl w:ilvl="6">
      <w:start w:val="1"/>
      <w:numFmt w:val="decimal"/>
      <w:suff w:val="tab"/>
      <w:lvlText w:val="%7."/>
      <w:lvlJc w:val="left"/>
      <w:pPr>
        <w:ind w:hanging="737" w:left="737"/>
      </w:pPr>
      <w:rPr>
        <w:rFonts w:hint="default"/>
      </w:rPr>
    </w:lvl>
    <w:lvl w:ilvl="7">
      <w:start w:val="1"/>
      <w:numFmt w:val="lowerLetter"/>
      <w:suff w:val="tab"/>
      <w:lvlText w:val="%8."/>
      <w:lvlJc w:val="left"/>
      <w:pPr>
        <w:ind w:hanging="737" w:left="737"/>
      </w:pPr>
      <w:rPr>
        <w:rFonts w:hint="default"/>
      </w:rPr>
    </w:lvl>
    <w:lvl w:ilvl="8">
      <w:start w:val="1"/>
      <w:numFmt w:val="lowerRoman"/>
      <w:suff w:val="tab"/>
      <w:lvlText w:val="%9."/>
      <w:lvlJc w:val="left"/>
      <w:pPr>
        <w:ind w:hanging="737" w:left="737"/>
      </w:pPr>
      <w:rPr>
        <w:rFonts w:hint="default"/>
      </w:rPr>
    </w:lvl>
  </w:abstractNum>
  <w:abstractNum w:abstractNumId="9">
    <w:nsid w:val="0C390E21"/>
    <w:multiLevelType w:val="hybridMultilevel"/>
    <w:lvl w:ilvl="0" w:tplc="EFF888E4">
      <w:start w:val="1"/>
      <w:numFmt w:val="decimal"/>
      <w:suff w:val="tab"/>
      <w:lvlText w:val="%1."/>
      <w:lvlJc w:val="left"/>
      <w:pPr>
        <w:ind w:hanging="397" w:left="397"/>
        <w:tabs>
          <w:tab w:val="num" w:pos="397" w:leader="none"/>
        </w:tabs>
      </w:pPr>
      <w:rPr>
        <w:rFonts w:ascii="Calibri" w:hAnsiTheme="minorHAnsi" w:cs="Times New Roman" w:hint="default"/>
      </w:rPr>
    </w:lvl>
    <w:lvl w:ilvl="1" w:tplc="030E8BA4">
      <w:start w:val="1"/>
      <w:numFmt w:val="lowerLetter"/>
      <w:suff w:val="tab"/>
      <w:lvlText w:val="%2)"/>
      <w:lvlJc w:val="left"/>
      <w:pPr>
        <w:ind w:hanging="397" w:left="794"/>
        <w:tabs>
          <w:tab w:val="num" w:pos="568" w:leader="none"/>
        </w:tabs>
      </w:pPr>
      <w:rPr>
        <w:rFonts w:ascii="Calibri" w:hAnsiTheme="majorHAnsi" w:cs="Times New Roman" w:hint="default"/>
      </w:rPr>
    </w:lvl>
    <w:lvl w:ilvl="2" w:tplc="8B0CC09E">
      <w:start w:val="1"/>
      <w:numFmt w:val="lowerRoman"/>
      <w:suff w:val="tab"/>
      <w:lvlText w:val="%3)"/>
      <w:lvlJc w:val="left"/>
      <w:pPr>
        <w:ind w:hanging="397" w:left="1191"/>
        <w:tabs>
          <w:tab w:val="num" w:pos="852" w:leader="none"/>
        </w:tabs>
      </w:pPr>
      <w:rPr>
        <w:rFonts w:ascii="Calibri" w:hAnsiTheme="majorHAnsi" w:cs="Times New Roman" w:hint="default"/>
      </w:rPr>
    </w:lvl>
    <w:lvl w:ilvl="3" w:tplc="FC3AE028">
      <w:start w:val="1"/>
      <w:numFmt w:val="none"/>
      <w:suff w:val="tab"/>
      <w:lvlText w:val="-"/>
      <w:lvlJc w:val="left"/>
      <w:pPr>
        <w:ind w:hanging="397" w:left="1588"/>
        <w:tabs>
          <w:tab w:val="num" w:pos="1191" w:leader="none"/>
        </w:tabs>
      </w:pPr>
      <w:rPr>
        <w:rFonts w:ascii="Calibri" w:hAnsiTheme="majorHAnsi" w:cs="Times New Roman" w:hint="default"/>
      </w:rPr>
    </w:lvl>
    <w:lvl w:ilvl="4" w:tplc="009A4DDA">
      <w:start w:val="1"/>
      <w:numFmt w:val="none"/>
      <w:suff w:val="tab"/>
      <w:lvlText w:val="-"/>
      <w:lvlJc w:val="left"/>
      <w:pPr>
        <w:ind w:hanging="397" w:left="1985"/>
        <w:tabs>
          <w:tab w:val="num" w:pos="1588" w:leader="none"/>
        </w:tabs>
      </w:pPr>
      <w:rPr>
        <w:rFonts w:ascii="Calibri" w:hAnsiTheme="majorHAnsi" w:cs="Times New Roman" w:hint="default"/>
      </w:rPr>
    </w:lvl>
    <w:lvl w:ilvl="5" w:tplc="3BE63816">
      <w:start w:val="1"/>
      <w:numFmt w:val="none"/>
      <w:suff w:val="tab"/>
      <w:lvlText w:val="-"/>
      <w:lvlJc w:val="left"/>
      <w:pPr>
        <w:ind w:hanging="396" w:left="2381"/>
        <w:tabs>
          <w:tab w:val="num" w:pos="1985" w:leader="none"/>
        </w:tabs>
      </w:pPr>
      <w:rPr>
        <w:rFonts w:ascii="Calibri" w:hAnsiTheme="majorHAnsi" w:cs="Times New Roman" w:hint="default"/>
      </w:rPr>
    </w:lvl>
    <w:lvl w:ilvl="6" w:tplc="F2729CBA">
      <w:start w:val="1"/>
      <w:numFmt w:val="none"/>
      <w:suff w:val="tab"/>
      <w:lvlText w:val="-"/>
      <w:lvlJc w:val="left"/>
      <w:pPr>
        <w:ind w:hanging="397" w:left="2778"/>
        <w:tabs>
          <w:tab w:val="num" w:pos="2438" w:leader="none"/>
        </w:tabs>
      </w:pPr>
      <w:rPr>
        <w:rFonts w:ascii="Calibri" w:hAnsiTheme="majorHAnsi" w:cs="Times New Roman" w:hint="default"/>
      </w:rPr>
    </w:lvl>
    <w:lvl w:ilvl="7" w:tplc="20B29DB8">
      <w:start w:val="1"/>
      <w:numFmt w:val="none"/>
      <w:suff w:val="tab"/>
      <w:lvlText w:val="-"/>
      <w:lvlJc w:val="left"/>
      <w:pPr>
        <w:ind w:hanging="397" w:left="3175"/>
        <w:tabs>
          <w:tab w:val="num" w:pos="2778" w:leader="none"/>
        </w:tabs>
      </w:pPr>
      <w:rPr>
        <w:rFonts w:ascii="Calibri" w:hAnsiTheme="majorHAnsi" w:cs="Times New Roman" w:hint="default"/>
      </w:rPr>
    </w:lvl>
    <w:lvl w:ilvl="8" w:tplc="2FF421CC">
      <w:start w:val="1"/>
      <w:numFmt w:val="none"/>
      <w:suff w:val="tab"/>
      <w:lvlText w:val="%9-"/>
      <w:lvlJc w:val="left"/>
      <w:pPr>
        <w:ind w:hanging="397" w:left="3572"/>
        <w:tabs>
          <w:tab w:val="num" w:pos="3175" w:leader="none"/>
        </w:tabs>
      </w:pPr>
      <w:rPr>
        <w:rFonts w:ascii="Calibri" w:hAnsiTheme="majorHAnsi" w:cs="Times New Roman" w:hint="default"/>
      </w:rPr>
    </w:lvl>
  </w:abstractNum>
  <w:abstractNum w:abstractNumId="10">
    <w:nsid w:val="0D6E5854"/>
    <w:multiLevelType w:val="hybridMultilevel"/>
    <w:lvl w:ilvl="0" w:tplc="041D0001">
      <w:start w:val="1"/>
      <w:numFmt w:val="bullet"/>
      <w:suff w:val="tab"/>
      <w:lvlText w:val=""/>
      <w:lvlJc w:val="left"/>
      <w:pPr>
        <w:ind w:hanging="360" w:left="720"/>
      </w:pPr>
      <w:rPr>
        <w:rFonts w:ascii="Symbol" w:hAnsi="Symbol" w:hint="default"/>
      </w:rPr>
    </w:lvl>
    <w:lvl w:ilvl="1" w:tplc="041D0003">
      <w:start w:val="1"/>
      <w:numFmt w:val="bullet"/>
      <w:suff w:val="tab"/>
      <w:lvlText w:val="o"/>
      <w:lvlJc w:val="left"/>
      <w:pPr>
        <w:ind w:hanging="360" w:left="1440"/>
      </w:pPr>
      <w:rPr>
        <w:rFonts w:ascii="Courier New" w:hAnsi="Courier New" w:cs="Courier New" w:hint="default"/>
      </w:rPr>
    </w:lvl>
    <w:lvl w:ilvl="2" w:tplc="041D0005">
      <w:start w:val="1"/>
      <w:numFmt w:val="bullet"/>
      <w:suff w:val="tab"/>
      <w:lvlText w:val=""/>
      <w:lvlJc w:val="left"/>
      <w:pPr>
        <w:ind w:hanging="360" w:left="2160"/>
      </w:pPr>
      <w:rPr>
        <w:rFonts w:ascii="Wingdings" w:hAnsi="Wingdings" w:hint="default"/>
      </w:rPr>
    </w:lvl>
    <w:lvl w:ilvl="3" w:tplc="041D0001">
      <w:start w:val="1"/>
      <w:numFmt w:val="bullet"/>
      <w:suff w:val="tab"/>
      <w:lvlText w:val=""/>
      <w:lvlJc w:val="left"/>
      <w:pPr>
        <w:ind w:hanging="360" w:left="2880"/>
      </w:pPr>
      <w:rPr>
        <w:rFonts w:ascii="Symbol" w:hAnsi="Symbol" w:hint="default"/>
      </w:rPr>
    </w:lvl>
    <w:lvl w:ilvl="4" w:tplc="041D0003">
      <w:start w:val="1"/>
      <w:numFmt w:val="bullet"/>
      <w:suff w:val="tab"/>
      <w:lvlText w:val="o"/>
      <w:lvlJc w:val="left"/>
      <w:pPr>
        <w:ind w:hanging="360" w:left="3600"/>
      </w:pPr>
      <w:rPr>
        <w:rFonts w:ascii="Courier New" w:hAnsi="Courier New" w:cs="Courier New" w:hint="default"/>
      </w:rPr>
    </w:lvl>
    <w:lvl w:ilvl="5" w:tplc="041D0005">
      <w:start w:val="1"/>
      <w:numFmt w:val="bullet"/>
      <w:suff w:val="tab"/>
      <w:lvlText w:val=""/>
      <w:lvlJc w:val="left"/>
      <w:pPr>
        <w:ind w:hanging="360" w:left="4320"/>
      </w:pPr>
      <w:rPr>
        <w:rFonts w:ascii="Wingdings" w:hAnsi="Wingdings" w:hint="default"/>
      </w:rPr>
    </w:lvl>
    <w:lvl w:ilvl="6" w:tplc="041D0001">
      <w:start w:val="1"/>
      <w:numFmt w:val="bullet"/>
      <w:suff w:val="tab"/>
      <w:lvlText w:val=""/>
      <w:lvlJc w:val="left"/>
      <w:pPr>
        <w:ind w:hanging="360" w:left="5040"/>
      </w:pPr>
      <w:rPr>
        <w:rFonts w:ascii="Symbol" w:hAnsi="Symbol" w:hint="default"/>
      </w:rPr>
    </w:lvl>
    <w:lvl w:ilvl="7" w:tplc="041D0003">
      <w:start w:val="1"/>
      <w:numFmt w:val="bullet"/>
      <w:suff w:val="tab"/>
      <w:lvlText w:val="o"/>
      <w:lvlJc w:val="left"/>
      <w:pPr>
        <w:ind w:hanging="360" w:left="5760"/>
      </w:pPr>
      <w:rPr>
        <w:rFonts w:ascii="Courier New" w:hAnsi="Courier New" w:cs="Courier New" w:hint="default"/>
      </w:rPr>
    </w:lvl>
    <w:lvl w:ilvl="8" w:tplc="041D0005">
      <w:start w:val="1"/>
      <w:numFmt w:val="bullet"/>
      <w:suff w:val="tab"/>
      <w:lvlText w:val=""/>
      <w:lvlJc w:val="left"/>
      <w:pPr>
        <w:ind w:hanging="360" w:left="6480"/>
      </w:pPr>
      <w:rPr>
        <w:rFonts w:ascii="Wingdings" w:hAnsi="Wingdings" w:hint="default"/>
      </w:rPr>
    </w:lvl>
  </w:abstractNum>
  <w:abstractNum w:abstractNumId="11">
    <w:nsid w:val="0DA92E3D"/>
    <w:multiLevelType w:val="multilevel"/>
    <w:lvl w:ilvl="0">
      <w:start w:val="1"/>
      <w:numFmt w:val="decimal"/>
      <w:suff w:val="tab"/>
      <w:lvlText w:val="%1."/>
      <w:lvlJc w:val="left"/>
      <w:pPr>
        <w:ind w:hanging="567" w:left="567"/>
        <w:tabs>
          <w:tab w:val="num" w:pos="567" w:leader="none"/>
        </w:tabs>
      </w:pPr>
      <w:rPr/>
    </w:lvl>
    <w:lvl w:ilvl="1">
      <w:start w:val="1"/>
      <w:numFmt w:val="decimal"/>
      <w:suff w:val="tab"/>
      <w:lvlText w:val="%1.%2."/>
      <w:lvlJc w:val="left"/>
      <w:pPr>
        <w:ind w:hanging="680" w:left="680"/>
        <w:tabs>
          <w:tab w:val="num" w:pos="680" w:leader="none"/>
        </w:tabs>
      </w:pPr>
      <w:rPr/>
    </w:lvl>
    <w:lvl w:ilvl="2">
      <w:start w:val="1"/>
      <w:numFmt w:val="decimal"/>
      <w:suff w:val="tab"/>
      <w:lvlText w:val="%1.%2.%3."/>
      <w:lvlJc w:val="left"/>
      <w:pPr>
        <w:ind w:hanging="850" w:left="850"/>
        <w:tabs>
          <w:tab w:val="num" w:pos="850" w:leader="none"/>
        </w:tabs>
      </w:pPr>
      <w:rPr/>
    </w:lvl>
    <w:lvl w:ilvl="3">
      <w:start w:val="1"/>
      <w:numFmt w:val="decimal"/>
      <w:suff w:val="tab"/>
      <w:lvlText w:val="%1.%2.%3.%4."/>
      <w:lvlJc w:val="left"/>
      <w:pPr>
        <w:ind w:hanging="992" w:left="992"/>
        <w:tabs>
          <w:tab w:val="num" w:pos="992" w:leader="none"/>
        </w:tabs>
      </w:pPr>
      <w:rPr/>
    </w:lvl>
    <w:lvl w:ilvl="4">
      <w:start w:val="1"/>
      <w:numFmt w:val="decimal"/>
      <w:lvlRestart w:val="3"/>
      <w:suff w:val="tab"/>
      <w:lvlText w:val="%1.%2.%3.%4.%5."/>
      <w:lvlJc w:val="left"/>
      <w:pPr>
        <w:ind w:hanging="992" w:left="992"/>
        <w:tabs>
          <w:tab w:val="num" w:pos="992" w:leader="none"/>
        </w:tabs>
      </w:pPr>
      <w:rPr/>
    </w:lvl>
    <w:lvl w:ilvl="5">
      <w:start w:val="1"/>
      <w:numFmt w:val="decimal"/>
      <w:suff w:val="tab"/>
      <w:lvlText w:val="%1.%2.%3.%4.%5.%6"/>
      <w:lvlJc w:val="left"/>
      <w:pPr>
        <w:ind w:hanging="1152" w:left="1152"/>
      </w:pPr>
      <w:rPr/>
    </w:lvl>
    <w:lvl w:ilvl="6">
      <w:start w:val="1"/>
      <w:numFmt w:val="decimal"/>
      <w:suff w:val="tab"/>
      <w:lvlText w:val="%1.%2.%3.%4.%5.%6.%7"/>
      <w:lvlJc w:val="left"/>
      <w:pPr>
        <w:ind w:hanging="1296" w:left="1296"/>
      </w:pPr>
      <w:rPr/>
    </w:lvl>
    <w:lvl w:ilvl="7">
      <w:start w:val="1"/>
      <w:numFmt w:val="decimal"/>
      <w:suff w:val="tab"/>
      <w:lvlText w:val="%1.%2.%3.%4.%5.%6.%7.%8"/>
      <w:lvlJc w:val="left"/>
      <w:pPr>
        <w:ind w:hanging="1440" w:left="1440"/>
      </w:pPr>
      <w:rPr/>
    </w:lvl>
    <w:lvl w:ilvl="8">
      <w:start w:val="1"/>
      <w:numFmt w:val="decimal"/>
      <w:suff w:val="tab"/>
      <w:lvlText w:val="%1.%2.%3.%4.%5.%6.%7.%8.%9"/>
      <w:lvlJc w:val="left"/>
      <w:pPr>
        <w:ind w:hanging="1584" w:left="1584"/>
      </w:pPr>
      <w:rPr/>
    </w:lvl>
  </w:abstractNum>
  <w:abstractNum w:abstractNumId="12">
    <w:nsid w:val="114F3D8F"/>
    <w:multiLevelType w:val="hybridMultilevel"/>
    <w:lvl w:ilvl="0" w:tplc="041D0001">
      <w:start w:val="1"/>
      <w:numFmt w:val="bullet"/>
      <w:suff w:val="tab"/>
      <w:lvlText w:val=""/>
      <w:lvlJc w:val="left"/>
      <w:pPr>
        <w:ind w:hanging="360" w:left="720"/>
      </w:pPr>
      <w:rPr>
        <w:rFonts w:ascii="Symbol" w:hAnsi="Symbol" w:hint="default"/>
      </w:rPr>
    </w:lvl>
    <w:lvl w:ilvl="1" w:tplc="041D0003">
      <w:start w:val="1"/>
      <w:numFmt w:val="bullet"/>
      <w:suff w:val="tab"/>
      <w:lvlText w:val="o"/>
      <w:lvlJc w:val="left"/>
      <w:pPr>
        <w:ind w:hanging="360" w:left="1440"/>
      </w:pPr>
      <w:rPr>
        <w:rFonts w:ascii="Courier New" w:hAnsi="Courier New" w:cs="Courier New" w:hint="default"/>
      </w:rPr>
    </w:lvl>
    <w:lvl w:ilvl="2" w:tplc="041D0005">
      <w:start w:val="1"/>
      <w:numFmt w:val="bullet"/>
      <w:suff w:val="tab"/>
      <w:lvlText w:val=""/>
      <w:lvlJc w:val="left"/>
      <w:pPr>
        <w:ind w:hanging="360" w:left="2160"/>
      </w:pPr>
      <w:rPr>
        <w:rFonts w:ascii="Wingdings" w:hAnsi="Wingdings" w:hint="default"/>
      </w:rPr>
    </w:lvl>
    <w:lvl w:ilvl="3" w:tplc="041D0001">
      <w:start w:val="1"/>
      <w:numFmt w:val="bullet"/>
      <w:suff w:val="tab"/>
      <w:lvlText w:val=""/>
      <w:lvlJc w:val="left"/>
      <w:pPr>
        <w:ind w:hanging="360" w:left="2880"/>
      </w:pPr>
      <w:rPr>
        <w:rFonts w:ascii="Symbol" w:hAnsi="Symbol" w:hint="default"/>
      </w:rPr>
    </w:lvl>
    <w:lvl w:ilvl="4" w:tplc="041D0003">
      <w:start w:val="1"/>
      <w:numFmt w:val="bullet"/>
      <w:suff w:val="tab"/>
      <w:lvlText w:val="o"/>
      <w:lvlJc w:val="left"/>
      <w:pPr>
        <w:ind w:hanging="360" w:left="3600"/>
      </w:pPr>
      <w:rPr>
        <w:rFonts w:ascii="Courier New" w:hAnsi="Courier New" w:cs="Courier New" w:hint="default"/>
      </w:rPr>
    </w:lvl>
    <w:lvl w:ilvl="5" w:tplc="041D0005">
      <w:start w:val="1"/>
      <w:numFmt w:val="bullet"/>
      <w:suff w:val="tab"/>
      <w:lvlText w:val=""/>
      <w:lvlJc w:val="left"/>
      <w:pPr>
        <w:ind w:hanging="360" w:left="4320"/>
      </w:pPr>
      <w:rPr>
        <w:rFonts w:ascii="Wingdings" w:hAnsi="Wingdings" w:hint="default"/>
      </w:rPr>
    </w:lvl>
    <w:lvl w:ilvl="6" w:tplc="041D0001">
      <w:start w:val="1"/>
      <w:numFmt w:val="bullet"/>
      <w:suff w:val="tab"/>
      <w:lvlText w:val=""/>
      <w:lvlJc w:val="left"/>
      <w:pPr>
        <w:ind w:hanging="360" w:left="5040"/>
      </w:pPr>
      <w:rPr>
        <w:rFonts w:ascii="Symbol" w:hAnsi="Symbol" w:hint="default"/>
      </w:rPr>
    </w:lvl>
    <w:lvl w:ilvl="7" w:tplc="041D0003">
      <w:start w:val="1"/>
      <w:numFmt w:val="bullet"/>
      <w:suff w:val="tab"/>
      <w:lvlText w:val="o"/>
      <w:lvlJc w:val="left"/>
      <w:pPr>
        <w:ind w:hanging="360" w:left="5760"/>
      </w:pPr>
      <w:rPr>
        <w:rFonts w:ascii="Courier New" w:hAnsi="Courier New" w:cs="Courier New" w:hint="default"/>
      </w:rPr>
    </w:lvl>
    <w:lvl w:ilvl="8" w:tplc="041D0005">
      <w:start w:val="1"/>
      <w:numFmt w:val="bullet"/>
      <w:suff w:val="tab"/>
      <w:lvlText w:val=""/>
      <w:lvlJc w:val="left"/>
      <w:pPr>
        <w:ind w:hanging="360" w:left="6480"/>
      </w:pPr>
      <w:rPr>
        <w:rFonts w:ascii="Wingdings" w:hAnsi="Wingdings" w:hint="default"/>
      </w:rPr>
    </w:lvl>
  </w:abstractNum>
  <w:abstractNum w:abstractNumId="13">
    <w:nsid w:val="115C3621"/>
    <w:multiLevelType w:val="hybridMultilevel"/>
    <w:tmpl w:val="0409001D"/>
    <w:numStyleLink w:val="N2"/>
  </w:abstractNum>
  <w:abstractNum w:abstractNumId="14">
    <w:nsid w:val="121C6668"/>
    <w:multiLevelType w:val="hybridMultilevel"/>
    <w:lvl w:ilvl="0" w:tplc="187CB090">
      <w:start w:val="1"/>
      <w:numFmt w:val="decimal"/>
      <w:suff w:val="tab"/>
      <w:lvlText w:val="%1)"/>
      <w:lvlJc w:val="left"/>
      <w:pPr>
        <w:ind w:hanging="360" w:left="360"/>
      </w:pPr>
      <w:rPr/>
    </w:lvl>
    <w:lvl w:ilvl="1" w:tplc="29807BB4">
      <w:start w:val="1"/>
      <w:numFmt w:val="lowerLetter"/>
      <w:suff w:val="tab"/>
      <w:lvlText w:val="%2)"/>
      <w:lvlJc w:val="left"/>
      <w:pPr>
        <w:ind w:hanging="360" w:left="720"/>
      </w:pPr>
      <w:rPr/>
    </w:lvl>
    <w:lvl w:ilvl="2" w:tplc="2618D210">
      <w:start w:val="1"/>
      <w:numFmt w:val="lowerRoman"/>
      <w:suff w:val="tab"/>
      <w:lvlText w:val="%3)"/>
      <w:lvlJc w:val="left"/>
      <w:pPr>
        <w:ind w:hanging="360" w:left="1080"/>
      </w:pPr>
      <w:rPr/>
    </w:lvl>
    <w:lvl w:ilvl="3" w:tplc="6F768D2A">
      <w:start w:val="1"/>
      <w:numFmt w:val="decimal"/>
      <w:suff w:val="tab"/>
      <w:lvlText w:val="(%4)"/>
      <w:lvlJc w:val="left"/>
      <w:pPr>
        <w:ind w:hanging="360" w:left="1440"/>
      </w:pPr>
      <w:rPr/>
    </w:lvl>
    <w:lvl w:ilvl="4" w:tplc="EFE254E4">
      <w:start w:val="1"/>
      <w:numFmt w:val="lowerLetter"/>
      <w:suff w:val="tab"/>
      <w:lvlText w:val="(%5)"/>
      <w:lvlJc w:val="left"/>
      <w:pPr>
        <w:ind w:hanging="360" w:left="1800"/>
      </w:pPr>
      <w:rPr/>
    </w:lvl>
    <w:lvl w:ilvl="5" w:tplc="2FD690D6">
      <w:start w:val="1"/>
      <w:numFmt w:val="lowerRoman"/>
      <w:suff w:val="tab"/>
      <w:lvlText w:val="(%6)"/>
      <w:lvlJc w:val="left"/>
      <w:pPr>
        <w:ind w:hanging="360" w:left="2160"/>
      </w:pPr>
      <w:rPr/>
    </w:lvl>
    <w:lvl w:ilvl="6" w:tplc="D59A30E8">
      <w:start w:val="1"/>
      <w:numFmt w:val="decimal"/>
      <w:suff w:val="tab"/>
      <w:lvlText w:val="%7."/>
      <w:lvlJc w:val="left"/>
      <w:pPr>
        <w:ind w:hanging="360" w:left="2520"/>
      </w:pPr>
      <w:rPr/>
    </w:lvl>
    <w:lvl w:ilvl="7" w:tplc="9912C928">
      <w:start w:val="1"/>
      <w:numFmt w:val="lowerLetter"/>
      <w:suff w:val="tab"/>
      <w:lvlText w:val="%8."/>
      <w:lvlJc w:val="left"/>
      <w:pPr>
        <w:ind w:hanging="360" w:left="2880"/>
      </w:pPr>
      <w:rPr/>
    </w:lvl>
    <w:lvl w:ilvl="8" w:tplc="7C122FE8">
      <w:start w:val="1"/>
      <w:numFmt w:val="lowerRoman"/>
      <w:suff w:val="tab"/>
      <w:lvlText w:val="%9."/>
      <w:lvlJc w:val="left"/>
      <w:pPr>
        <w:ind w:hanging="360" w:left="3240"/>
      </w:pPr>
      <w:rPr/>
    </w:lvl>
  </w:abstractNum>
  <w:abstractNum w:abstractNumId="15">
    <w:nsid w:val="15411E16"/>
    <w:multiLevelType w:val="hybridMultilevel"/>
    <w:lvl w:ilvl="0" w:tplc="406E3A1A">
      <w:start w:val="1"/>
      <w:numFmt w:val="decimal"/>
      <w:suff w:val="tab"/>
      <w:lvlText w:val="%1)"/>
      <w:lvlJc w:val="left"/>
      <w:pPr>
        <w:ind w:hanging="360" w:left="360"/>
      </w:pPr>
      <w:rPr/>
    </w:lvl>
    <w:lvl w:ilvl="1" w:tplc="478A0F26">
      <w:start w:val="1"/>
      <w:numFmt w:val="lowerLetter"/>
      <w:suff w:val="tab"/>
      <w:lvlText w:val="%2)"/>
      <w:lvlJc w:val="left"/>
      <w:pPr>
        <w:ind w:hanging="360" w:left="720"/>
      </w:pPr>
      <w:rPr/>
    </w:lvl>
    <w:lvl w:ilvl="2" w:tplc="99B686A0">
      <w:start w:val="1"/>
      <w:numFmt w:val="lowerRoman"/>
      <w:suff w:val="tab"/>
      <w:lvlText w:val="%3)"/>
      <w:lvlJc w:val="left"/>
      <w:pPr>
        <w:ind w:hanging="360" w:left="1080"/>
      </w:pPr>
      <w:rPr/>
    </w:lvl>
    <w:lvl w:ilvl="3" w:tplc="39EEB592">
      <w:start w:val="1"/>
      <w:numFmt w:val="decimal"/>
      <w:suff w:val="tab"/>
      <w:lvlText w:val="(%4)"/>
      <w:lvlJc w:val="left"/>
      <w:pPr>
        <w:ind w:hanging="360" w:left="1440"/>
      </w:pPr>
      <w:rPr/>
    </w:lvl>
    <w:lvl w:ilvl="4" w:tplc="444A3304">
      <w:start w:val="1"/>
      <w:numFmt w:val="lowerLetter"/>
      <w:suff w:val="tab"/>
      <w:lvlText w:val="(%5)"/>
      <w:lvlJc w:val="left"/>
      <w:pPr>
        <w:ind w:hanging="360" w:left="1800"/>
      </w:pPr>
      <w:rPr/>
    </w:lvl>
    <w:lvl w:ilvl="5" w:tplc="7F880A72">
      <w:start w:val="1"/>
      <w:numFmt w:val="lowerRoman"/>
      <w:suff w:val="tab"/>
      <w:lvlText w:val="(%6)"/>
      <w:lvlJc w:val="left"/>
      <w:pPr>
        <w:ind w:hanging="360" w:left="2160"/>
      </w:pPr>
      <w:rPr/>
    </w:lvl>
    <w:lvl w:ilvl="6" w:tplc="24B0C5DA">
      <w:start w:val="1"/>
      <w:numFmt w:val="decimal"/>
      <w:suff w:val="tab"/>
      <w:lvlText w:val="%7."/>
      <w:lvlJc w:val="left"/>
      <w:pPr>
        <w:ind w:hanging="360" w:left="2520"/>
      </w:pPr>
      <w:rPr/>
    </w:lvl>
    <w:lvl w:ilvl="7" w:tplc="E5FEF17C">
      <w:start w:val="1"/>
      <w:numFmt w:val="lowerLetter"/>
      <w:suff w:val="tab"/>
      <w:lvlText w:val="%8."/>
      <w:lvlJc w:val="left"/>
      <w:pPr>
        <w:ind w:hanging="360" w:left="2880"/>
      </w:pPr>
      <w:rPr/>
    </w:lvl>
    <w:lvl w:ilvl="8" w:tplc="E62A5B06">
      <w:start w:val="1"/>
      <w:numFmt w:val="lowerRoman"/>
      <w:suff w:val="tab"/>
      <w:lvlText w:val="%9."/>
      <w:lvlJc w:val="left"/>
      <w:pPr>
        <w:ind w:hanging="360" w:left="3240"/>
      </w:pPr>
      <w:rPr/>
    </w:lvl>
  </w:abstractNum>
  <w:abstractNum w:abstractNumId="16">
    <w:nsid w:val="16F6203E"/>
    <w:multiLevelType w:val="hybridMultilevel"/>
    <w:tmpl w:val="0409001D"/>
    <w:numStyleLink w:val="N2"/>
  </w:abstractNum>
  <w:abstractNum w:abstractNumId="17">
    <w:nsid w:val="21166ECC"/>
    <w:multiLevelType w:val="multilevel"/>
    <w:lvl w:ilvl="0">
      <w:start w:val="1"/>
      <w:numFmt w:val="decimal"/>
      <w:suff w:val="tab"/>
      <w:lvlText w:val="%1."/>
      <w:lvlJc w:val="left"/>
      <w:pPr>
        <w:ind w:hanging="567" w:left="567"/>
        <w:tabs>
          <w:tab w:val="num" w:pos="567" w:leader="none"/>
        </w:tabs>
      </w:pPr>
      <w:rPr/>
    </w:lvl>
    <w:lvl w:ilvl="1">
      <w:start w:val="1"/>
      <w:numFmt w:val="decimal"/>
      <w:suff w:val="tab"/>
      <w:lvlText w:val="%1.%2."/>
      <w:lvlJc w:val="left"/>
      <w:pPr>
        <w:ind w:hanging="680" w:left="680"/>
        <w:tabs>
          <w:tab w:val="num" w:pos="680" w:leader="none"/>
        </w:tabs>
      </w:pPr>
      <w:rPr/>
    </w:lvl>
    <w:lvl w:ilvl="2">
      <w:start w:val="1"/>
      <w:numFmt w:val="decimal"/>
      <w:suff w:val="tab"/>
      <w:lvlText w:val="%1.%2.%3."/>
      <w:lvlJc w:val="left"/>
      <w:pPr>
        <w:ind w:hanging="850" w:left="850"/>
        <w:tabs>
          <w:tab w:val="num" w:pos="850" w:leader="none"/>
        </w:tabs>
      </w:pPr>
      <w:rPr/>
    </w:lvl>
    <w:lvl w:ilvl="3">
      <w:start w:val="1"/>
      <w:numFmt w:val="decimal"/>
      <w:suff w:val="tab"/>
      <w:lvlText w:val="%1.%2.%3.%4."/>
      <w:lvlJc w:val="left"/>
      <w:pPr>
        <w:ind w:hanging="992" w:left="992"/>
        <w:tabs>
          <w:tab w:val="num" w:pos="992" w:leader="none"/>
        </w:tabs>
      </w:pPr>
      <w:rPr/>
    </w:lvl>
    <w:lvl w:ilvl="4">
      <w:start w:val="1"/>
      <w:numFmt w:val="decimal"/>
      <w:lvlRestart w:val="3"/>
      <w:suff w:val="tab"/>
      <w:lvlText w:val="%1.%2.%3.%4.%5."/>
      <w:lvlJc w:val="left"/>
      <w:pPr>
        <w:ind w:hanging="992" w:left="992"/>
        <w:tabs>
          <w:tab w:val="num" w:pos="992" w:leader="none"/>
        </w:tabs>
      </w:pPr>
      <w:rPr/>
    </w:lvl>
    <w:lvl w:ilvl="5">
      <w:start w:val="1"/>
      <w:numFmt w:val="decimal"/>
      <w:suff w:val="tab"/>
      <w:lvlText w:val="%1.%2.%3.%4.%5.%6"/>
      <w:lvlJc w:val="left"/>
      <w:pPr>
        <w:ind w:hanging="1152" w:left="1152"/>
      </w:pPr>
      <w:rPr/>
    </w:lvl>
    <w:lvl w:ilvl="6">
      <w:start w:val="1"/>
      <w:numFmt w:val="decimal"/>
      <w:suff w:val="tab"/>
      <w:lvlText w:val="%1.%2.%3.%4.%5.%6.%7"/>
      <w:lvlJc w:val="left"/>
      <w:pPr>
        <w:ind w:hanging="1296" w:left="1296"/>
      </w:pPr>
      <w:rPr/>
    </w:lvl>
    <w:lvl w:ilvl="7">
      <w:start w:val="1"/>
      <w:numFmt w:val="decimal"/>
      <w:suff w:val="tab"/>
      <w:lvlText w:val="%1.%2.%3.%4.%5.%6.%7.%8"/>
      <w:lvlJc w:val="left"/>
      <w:pPr>
        <w:ind w:hanging="1440" w:left="1440"/>
      </w:pPr>
      <w:rPr/>
    </w:lvl>
    <w:lvl w:ilvl="8">
      <w:start w:val="1"/>
      <w:numFmt w:val="decimal"/>
      <w:suff w:val="tab"/>
      <w:lvlText w:val="%1.%2.%3.%4.%5.%6.%7.%8.%9"/>
      <w:lvlJc w:val="left"/>
      <w:pPr>
        <w:ind w:hanging="1584" w:left="1584"/>
      </w:pPr>
      <w:rPr/>
    </w:lvl>
  </w:abstractNum>
  <w:abstractNum w:abstractNumId="18">
    <w:nsid w:val="22512307"/>
    <w:multiLevelType w:val="hybridMultilevel"/>
    <w:lvl w:ilvl="0" w:tplc="6AD0463C">
      <w:start w:val="1"/>
      <w:numFmt w:val="decimal"/>
      <w:suff w:val="tab"/>
      <w:lvlText w:val="%1)"/>
      <w:lvlJc w:val="left"/>
      <w:pPr>
        <w:ind w:hanging="360" w:left="360"/>
      </w:pPr>
      <w:rPr/>
    </w:lvl>
    <w:lvl w:ilvl="1" w:tplc="FA02DAE8">
      <w:start w:val="1"/>
      <w:numFmt w:val="lowerLetter"/>
      <w:suff w:val="tab"/>
      <w:lvlText w:val="%2)"/>
      <w:lvlJc w:val="left"/>
      <w:pPr>
        <w:ind w:hanging="360" w:left="720"/>
      </w:pPr>
      <w:rPr/>
    </w:lvl>
    <w:lvl w:ilvl="2" w:tplc="9B581B84">
      <w:start w:val="1"/>
      <w:numFmt w:val="lowerRoman"/>
      <w:suff w:val="tab"/>
      <w:lvlText w:val="%3)"/>
      <w:lvlJc w:val="left"/>
      <w:pPr>
        <w:ind w:hanging="360" w:left="1080"/>
      </w:pPr>
      <w:rPr/>
    </w:lvl>
    <w:lvl w:ilvl="3" w:tplc="E0022C76">
      <w:start w:val="1"/>
      <w:numFmt w:val="decimal"/>
      <w:suff w:val="tab"/>
      <w:lvlText w:val="(%4)"/>
      <w:lvlJc w:val="left"/>
      <w:pPr>
        <w:ind w:hanging="360" w:left="1440"/>
      </w:pPr>
      <w:rPr/>
    </w:lvl>
    <w:lvl w:ilvl="4" w:tplc="32CE79BA">
      <w:start w:val="1"/>
      <w:numFmt w:val="lowerLetter"/>
      <w:suff w:val="tab"/>
      <w:lvlText w:val="(%5)"/>
      <w:lvlJc w:val="left"/>
      <w:pPr>
        <w:ind w:hanging="360" w:left="1800"/>
      </w:pPr>
      <w:rPr/>
    </w:lvl>
    <w:lvl w:ilvl="5" w:tplc="30381FCE">
      <w:start w:val="1"/>
      <w:numFmt w:val="lowerRoman"/>
      <w:suff w:val="tab"/>
      <w:lvlText w:val="(%6)"/>
      <w:lvlJc w:val="left"/>
      <w:pPr>
        <w:ind w:hanging="360" w:left="2160"/>
      </w:pPr>
      <w:rPr/>
    </w:lvl>
    <w:lvl w:ilvl="6" w:tplc="9162D1F0">
      <w:start w:val="1"/>
      <w:numFmt w:val="decimal"/>
      <w:suff w:val="tab"/>
      <w:lvlText w:val="%7."/>
      <w:lvlJc w:val="left"/>
      <w:pPr>
        <w:ind w:hanging="360" w:left="2520"/>
      </w:pPr>
      <w:rPr/>
    </w:lvl>
    <w:lvl w:ilvl="7" w:tplc="8946C7EE">
      <w:start w:val="1"/>
      <w:numFmt w:val="lowerLetter"/>
      <w:suff w:val="tab"/>
      <w:lvlText w:val="%8."/>
      <w:lvlJc w:val="left"/>
      <w:pPr>
        <w:ind w:hanging="360" w:left="2880"/>
      </w:pPr>
      <w:rPr/>
    </w:lvl>
    <w:lvl w:ilvl="8" w:tplc="A552E0C4">
      <w:start w:val="1"/>
      <w:numFmt w:val="lowerRoman"/>
      <w:suff w:val="tab"/>
      <w:lvlText w:val="%9."/>
      <w:lvlJc w:val="left"/>
      <w:pPr>
        <w:ind w:hanging="360" w:left="3240"/>
      </w:pPr>
      <w:rPr/>
    </w:lvl>
  </w:abstractNum>
  <w:abstractNum w:abstractNumId="19">
    <w:nsid w:val="26CA549A"/>
    <w:multiLevelType w:val="hybridMultilevel"/>
    <w:lvl w:ilvl="0" w:tplc="653E5570">
      <w:start w:val="1"/>
      <w:numFmt w:val="decimal"/>
      <w:suff w:val="tab"/>
      <w:lvlText w:val="%1)"/>
      <w:lvlJc w:val="left"/>
      <w:pPr>
        <w:ind w:hanging="360" w:left="360"/>
      </w:pPr>
      <w:rPr/>
    </w:lvl>
    <w:lvl w:ilvl="1" w:tplc="05E4353E">
      <w:start w:val="1"/>
      <w:numFmt w:val="lowerLetter"/>
      <w:suff w:val="tab"/>
      <w:lvlText w:val="%2)"/>
      <w:lvlJc w:val="left"/>
      <w:pPr>
        <w:ind w:hanging="360" w:left="720"/>
      </w:pPr>
      <w:rPr/>
    </w:lvl>
    <w:lvl w:ilvl="2" w:tplc="F9F01734">
      <w:start w:val="1"/>
      <w:numFmt w:val="lowerRoman"/>
      <w:suff w:val="tab"/>
      <w:lvlText w:val="%3)"/>
      <w:lvlJc w:val="left"/>
      <w:pPr>
        <w:ind w:hanging="360" w:left="1080"/>
      </w:pPr>
      <w:rPr/>
    </w:lvl>
    <w:lvl w:ilvl="3" w:tplc="937C8FB4">
      <w:start w:val="1"/>
      <w:numFmt w:val="decimal"/>
      <w:suff w:val="tab"/>
      <w:lvlText w:val="(%4)"/>
      <w:lvlJc w:val="left"/>
      <w:pPr>
        <w:ind w:hanging="360" w:left="1440"/>
      </w:pPr>
      <w:rPr/>
    </w:lvl>
    <w:lvl w:ilvl="4" w:tplc="836C36E6">
      <w:start w:val="1"/>
      <w:numFmt w:val="lowerLetter"/>
      <w:suff w:val="tab"/>
      <w:lvlText w:val="(%5)"/>
      <w:lvlJc w:val="left"/>
      <w:pPr>
        <w:ind w:hanging="360" w:left="1800"/>
      </w:pPr>
      <w:rPr/>
    </w:lvl>
    <w:lvl w:ilvl="5" w:tplc="A1B08576">
      <w:start w:val="1"/>
      <w:numFmt w:val="lowerRoman"/>
      <w:suff w:val="tab"/>
      <w:lvlText w:val="(%6)"/>
      <w:lvlJc w:val="left"/>
      <w:pPr>
        <w:ind w:hanging="360" w:left="2160"/>
      </w:pPr>
      <w:rPr/>
    </w:lvl>
    <w:lvl w:ilvl="6" w:tplc="9FB686B0">
      <w:start w:val="1"/>
      <w:numFmt w:val="decimal"/>
      <w:suff w:val="tab"/>
      <w:lvlText w:val="%7."/>
      <w:lvlJc w:val="left"/>
      <w:pPr>
        <w:ind w:hanging="360" w:left="2520"/>
      </w:pPr>
      <w:rPr/>
    </w:lvl>
    <w:lvl w:ilvl="7" w:tplc="B016CA78">
      <w:start w:val="1"/>
      <w:numFmt w:val="lowerLetter"/>
      <w:suff w:val="tab"/>
      <w:lvlText w:val="%8."/>
      <w:lvlJc w:val="left"/>
      <w:pPr>
        <w:ind w:hanging="360" w:left="2880"/>
      </w:pPr>
      <w:rPr/>
    </w:lvl>
    <w:lvl w:ilvl="8" w:tplc="0F2C6788">
      <w:start w:val="1"/>
      <w:numFmt w:val="lowerRoman"/>
      <w:suff w:val="tab"/>
      <w:lvlText w:val="%9."/>
      <w:lvlJc w:val="left"/>
      <w:pPr>
        <w:ind w:hanging="360" w:left="3240"/>
      </w:pPr>
      <w:rPr/>
    </w:lvl>
  </w:abstractNum>
  <w:abstractNum w:abstractNumId="20">
    <w:nsid w:val="28F50B13"/>
    <w:multiLevelType w:val="hybridMultilevel"/>
    <w:lvl w:ilvl="0" w:tplc="33C209A6">
      <w:start w:val="1"/>
      <w:numFmt w:val="decimal"/>
      <w:suff w:val="tab"/>
      <w:lvlText w:val="%1)"/>
      <w:lvlJc w:val="left"/>
      <w:pPr>
        <w:ind w:hanging="360" w:left="360"/>
      </w:pPr>
      <w:rPr/>
    </w:lvl>
    <w:lvl w:ilvl="1" w:tplc="8BE41F24">
      <w:start w:val="1"/>
      <w:numFmt w:val="lowerLetter"/>
      <w:suff w:val="tab"/>
      <w:lvlText w:val="%2)"/>
      <w:lvlJc w:val="left"/>
      <w:pPr>
        <w:ind w:hanging="360" w:left="720"/>
      </w:pPr>
      <w:rPr/>
    </w:lvl>
    <w:lvl w:ilvl="2" w:tplc="FDEE291C">
      <w:start w:val="1"/>
      <w:numFmt w:val="lowerRoman"/>
      <w:suff w:val="tab"/>
      <w:lvlText w:val="%3)"/>
      <w:lvlJc w:val="left"/>
      <w:pPr>
        <w:ind w:hanging="360" w:left="1080"/>
      </w:pPr>
      <w:rPr/>
    </w:lvl>
    <w:lvl w:ilvl="3" w:tplc="750CCA1C">
      <w:start w:val="1"/>
      <w:numFmt w:val="decimal"/>
      <w:suff w:val="tab"/>
      <w:lvlText w:val="(%4)"/>
      <w:lvlJc w:val="left"/>
      <w:pPr>
        <w:ind w:hanging="360" w:left="1440"/>
      </w:pPr>
      <w:rPr/>
    </w:lvl>
    <w:lvl w:ilvl="4" w:tplc="159087AE">
      <w:start w:val="1"/>
      <w:numFmt w:val="lowerLetter"/>
      <w:suff w:val="tab"/>
      <w:lvlText w:val="(%5)"/>
      <w:lvlJc w:val="left"/>
      <w:pPr>
        <w:ind w:hanging="360" w:left="1800"/>
      </w:pPr>
      <w:rPr/>
    </w:lvl>
    <w:lvl w:ilvl="5" w:tplc="B8D08C34">
      <w:start w:val="1"/>
      <w:numFmt w:val="lowerRoman"/>
      <w:suff w:val="tab"/>
      <w:lvlText w:val="(%6)"/>
      <w:lvlJc w:val="left"/>
      <w:pPr>
        <w:ind w:hanging="360" w:left="2160"/>
      </w:pPr>
      <w:rPr/>
    </w:lvl>
    <w:lvl w:ilvl="6" w:tplc="2DB85DE2">
      <w:start w:val="1"/>
      <w:numFmt w:val="decimal"/>
      <w:suff w:val="tab"/>
      <w:lvlText w:val="%7."/>
      <w:lvlJc w:val="left"/>
      <w:pPr>
        <w:ind w:hanging="360" w:left="2520"/>
      </w:pPr>
      <w:rPr/>
    </w:lvl>
    <w:lvl w:ilvl="7" w:tplc="1AF44CE4">
      <w:start w:val="1"/>
      <w:numFmt w:val="lowerLetter"/>
      <w:suff w:val="tab"/>
      <w:lvlText w:val="%8."/>
      <w:lvlJc w:val="left"/>
      <w:pPr>
        <w:ind w:hanging="360" w:left="2880"/>
      </w:pPr>
      <w:rPr/>
    </w:lvl>
    <w:lvl w:ilvl="8" w:tplc="41688426">
      <w:start w:val="1"/>
      <w:numFmt w:val="lowerRoman"/>
      <w:suff w:val="tab"/>
      <w:lvlText w:val="%9."/>
      <w:lvlJc w:val="left"/>
      <w:pPr>
        <w:ind w:hanging="360" w:left="3240"/>
      </w:pPr>
      <w:rPr/>
    </w:lvl>
  </w:abstractNum>
  <w:abstractNum w:abstractNumId="21">
    <w:nsid w:val="29C35579"/>
    <w:multiLevelType w:val="hybridMultilevel"/>
    <w:lvl w:ilvl="0" w:tplc="47587212">
      <w:start w:val="1"/>
      <w:numFmt w:val="decimal"/>
      <w:suff w:val="tab"/>
      <w:lvlText w:val="%1)"/>
      <w:lvlJc w:val="left"/>
      <w:pPr>
        <w:ind w:hanging="360" w:left="360"/>
      </w:pPr>
      <w:rPr/>
    </w:lvl>
    <w:lvl w:ilvl="1" w:tplc="8D2C5E8C">
      <w:start w:val="1"/>
      <w:numFmt w:val="lowerLetter"/>
      <w:suff w:val="tab"/>
      <w:lvlText w:val="%2)"/>
      <w:lvlJc w:val="left"/>
      <w:pPr>
        <w:ind w:hanging="360" w:left="720"/>
      </w:pPr>
      <w:rPr/>
    </w:lvl>
    <w:lvl w:ilvl="2" w:tplc="8F9CBF28">
      <w:start w:val="1"/>
      <w:numFmt w:val="lowerRoman"/>
      <w:suff w:val="tab"/>
      <w:lvlText w:val="%3)"/>
      <w:lvlJc w:val="left"/>
      <w:pPr>
        <w:ind w:hanging="360" w:left="1080"/>
      </w:pPr>
      <w:rPr/>
    </w:lvl>
    <w:lvl w:ilvl="3" w:tplc="F536BAA2">
      <w:start w:val="1"/>
      <w:numFmt w:val="decimal"/>
      <w:suff w:val="tab"/>
      <w:lvlText w:val="(%4)"/>
      <w:lvlJc w:val="left"/>
      <w:pPr>
        <w:ind w:hanging="360" w:left="1440"/>
      </w:pPr>
      <w:rPr/>
    </w:lvl>
    <w:lvl w:ilvl="4" w:tplc="58DA31AE">
      <w:start w:val="1"/>
      <w:numFmt w:val="lowerLetter"/>
      <w:suff w:val="tab"/>
      <w:lvlText w:val="(%5)"/>
      <w:lvlJc w:val="left"/>
      <w:pPr>
        <w:ind w:hanging="360" w:left="1800"/>
      </w:pPr>
      <w:rPr/>
    </w:lvl>
    <w:lvl w:ilvl="5" w:tplc="5E08D712">
      <w:start w:val="1"/>
      <w:numFmt w:val="lowerRoman"/>
      <w:suff w:val="tab"/>
      <w:lvlText w:val="(%6)"/>
      <w:lvlJc w:val="left"/>
      <w:pPr>
        <w:ind w:hanging="360" w:left="2160"/>
      </w:pPr>
      <w:rPr/>
    </w:lvl>
    <w:lvl w:ilvl="6" w:tplc="7EBECC68">
      <w:start w:val="1"/>
      <w:numFmt w:val="decimal"/>
      <w:suff w:val="tab"/>
      <w:lvlText w:val="%7."/>
      <w:lvlJc w:val="left"/>
      <w:pPr>
        <w:ind w:hanging="360" w:left="2520"/>
      </w:pPr>
      <w:rPr/>
    </w:lvl>
    <w:lvl w:ilvl="7" w:tplc="3F749408">
      <w:start w:val="1"/>
      <w:numFmt w:val="lowerLetter"/>
      <w:suff w:val="tab"/>
      <w:lvlText w:val="%8."/>
      <w:lvlJc w:val="left"/>
      <w:pPr>
        <w:ind w:hanging="360" w:left="2880"/>
      </w:pPr>
      <w:rPr/>
    </w:lvl>
    <w:lvl w:ilvl="8" w:tplc="9FFAA51C">
      <w:start w:val="1"/>
      <w:numFmt w:val="lowerRoman"/>
      <w:suff w:val="tab"/>
      <w:lvlText w:val="%9."/>
      <w:lvlJc w:val="left"/>
      <w:pPr>
        <w:ind w:hanging="360" w:left="3240"/>
      </w:pPr>
      <w:rPr/>
    </w:lvl>
  </w:abstractNum>
  <w:abstractNum w:abstractNumId="22">
    <w:nsid w:val="2AA82A4B"/>
    <w:multiLevelType w:val="hybridMultilevel"/>
    <w:tmpl w:val="0409001D"/>
    <w:numStyleLink w:val="N2"/>
  </w:abstractNum>
  <w:abstractNum w:abstractNumId="23">
    <w:nsid w:val="2CF60E73"/>
    <w:multiLevelType w:val="multilevel"/>
    <w:lvl w:ilvl="0">
      <w:start w:val="1"/>
      <w:numFmt w:val="decimal"/>
      <w:suff w:val="tab"/>
      <w:lvlText w:val="%1."/>
      <w:lvlJc w:val="left"/>
      <w:pPr>
        <w:ind w:hanging="567" w:left="567"/>
        <w:tabs>
          <w:tab w:val="num" w:pos="567" w:leader="none"/>
        </w:tabs>
      </w:pPr>
      <w:rPr/>
    </w:lvl>
    <w:lvl w:ilvl="1">
      <w:start w:val="1"/>
      <w:numFmt w:val="decimal"/>
      <w:pStyle w:val="P16"/>
      <w:suff w:val="tab"/>
      <w:lvlText w:val="%1.%2."/>
      <w:lvlJc w:val="left"/>
      <w:pPr>
        <w:ind w:hanging="680" w:left="680"/>
        <w:tabs>
          <w:tab w:val="num" w:pos="680" w:leader="none"/>
        </w:tabs>
      </w:pPr>
      <w:rPr/>
    </w:lvl>
    <w:lvl w:ilvl="2">
      <w:start w:val="1"/>
      <w:numFmt w:val="decimal"/>
      <w:pStyle w:val="P17"/>
      <w:suff w:val="tab"/>
      <w:lvlText w:val="%1.%2.%3."/>
      <w:lvlJc w:val="left"/>
      <w:pPr>
        <w:ind w:hanging="850" w:left="850"/>
        <w:tabs>
          <w:tab w:val="num" w:pos="850" w:leader="none"/>
        </w:tabs>
      </w:pPr>
      <w:rPr/>
    </w:lvl>
    <w:lvl w:ilvl="3">
      <w:start w:val="1"/>
      <w:numFmt w:val="decimal"/>
      <w:pStyle w:val="P25"/>
      <w:suff w:val="tab"/>
      <w:lvlText w:val="%1.%2.%3.%4."/>
      <w:lvlJc w:val="left"/>
      <w:pPr>
        <w:ind w:hanging="992" w:left="992"/>
        <w:tabs>
          <w:tab w:val="num" w:pos="992" w:leader="none"/>
        </w:tabs>
      </w:pPr>
      <w:rPr/>
    </w:lvl>
    <w:lvl w:ilvl="4">
      <w:start w:val="1"/>
      <w:numFmt w:val="decimal"/>
      <w:lvlRestart w:val="3"/>
      <w:pStyle w:val="P26"/>
      <w:suff w:val="tab"/>
      <w:lvlText w:val="%1.%2.%3.%4.%5."/>
      <w:lvlJc w:val="left"/>
      <w:pPr>
        <w:ind w:hanging="992" w:left="992"/>
        <w:tabs>
          <w:tab w:val="num" w:pos="992" w:leader="none"/>
        </w:tabs>
      </w:pPr>
      <w:rPr/>
    </w:lvl>
    <w:lvl w:ilvl="5">
      <w:start w:val="1"/>
      <w:numFmt w:val="decimal"/>
      <w:suff w:val="tab"/>
      <w:lvlText w:val="%1.%2.%3.%4.%5.%6"/>
      <w:lvlJc w:val="left"/>
      <w:pPr>
        <w:ind w:hanging="1152" w:left="1152"/>
      </w:pPr>
      <w:rPr/>
    </w:lvl>
    <w:lvl w:ilvl="6">
      <w:start w:val="1"/>
      <w:numFmt w:val="decimal"/>
      <w:suff w:val="tab"/>
      <w:lvlText w:val="%1.%2.%3.%4.%5.%6.%7"/>
      <w:lvlJc w:val="left"/>
      <w:pPr>
        <w:ind w:hanging="1296" w:left="1296"/>
      </w:pPr>
      <w:rPr/>
    </w:lvl>
    <w:lvl w:ilvl="7">
      <w:start w:val="1"/>
      <w:numFmt w:val="decimal"/>
      <w:suff w:val="tab"/>
      <w:lvlText w:val="%1.%2.%3.%4.%5.%6.%7.%8"/>
      <w:lvlJc w:val="left"/>
      <w:pPr>
        <w:ind w:hanging="1440" w:left="1440"/>
      </w:pPr>
      <w:rPr/>
    </w:lvl>
    <w:lvl w:ilvl="8">
      <w:start w:val="1"/>
      <w:numFmt w:val="decimal"/>
      <w:pStyle w:val="P9"/>
      <w:suff w:val="tab"/>
      <w:lvlText w:val="%1.%2.%3.%4.%5.%6.%7.%8.%9"/>
      <w:lvlJc w:val="left"/>
      <w:pPr>
        <w:ind w:hanging="1584" w:left="1584"/>
      </w:pPr>
      <w:rPr/>
    </w:lvl>
  </w:abstractNum>
  <w:abstractNum w:abstractNumId="24">
    <w:nsid w:val="30241EEE"/>
    <w:multiLevelType w:val="hybridMultilevel"/>
    <w:lvl w:ilvl="0" w:tplc="7EB68A1C">
      <w:start w:val="1"/>
      <w:numFmt w:val="bullet"/>
      <w:suff w:val="tab"/>
      <w:lvlText w:val=""/>
      <w:lvlJc w:val="left"/>
      <w:pPr>
        <w:ind w:hanging="453" w:left="453"/>
        <w:tabs>
          <w:tab w:val="num" w:pos="453" w:leader="none"/>
        </w:tabs>
      </w:pPr>
      <w:rPr>
        <w:rFonts w:ascii="Symbol" w:hAnsi="Symbol" w:cs="Times New Roman" w:hint="default"/>
      </w:rPr>
    </w:lvl>
    <w:lvl w:ilvl="1" w:tplc="EFB0B3A4">
      <w:start w:val="1"/>
      <w:numFmt w:val="lowerLetter"/>
      <w:suff w:val="tab"/>
      <w:lvlText w:val="-"/>
      <w:lvlJc w:val="left"/>
      <w:pPr>
        <w:ind w:hanging="454" w:left="907"/>
        <w:tabs>
          <w:tab w:val="num" w:pos="907" w:leader="none"/>
        </w:tabs>
      </w:pPr>
      <w:rPr>
        <w:rFonts w:ascii="Arial" w:hAnsi="Arial" w:cs="Arial"/>
      </w:rPr>
    </w:lvl>
    <w:lvl w:ilvl="2" w:tplc="505C6C78">
      <w:start w:val="1"/>
      <w:numFmt w:val="lowerRoman"/>
      <w:suff w:val="tab"/>
      <w:lvlText w:val="-"/>
      <w:lvlJc w:val="left"/>
      <w:pPr>
        <w:ind w:hanging="453" w:left="1360"/>
        <w:tabs>
          <w:tab w:val="num" w:pos="1360" w:leader="none"/>
        </w:tabs>
      </w:pPr>
      <w:rPr>
        <w:rFonts w:ascii="Arial" w:hAnsi="Arial" w:cs="Arial"/>
      </w:rPr>
    </w:lvl>
    <w:lvl w:ilvl="3" w:tplc="C094A6D2">
      <w:start w:val="1"/>
      <w:numFmt w:val="bullet"/>
      <w:suff w:val="tab"/>
      <w:lvlText w:val="-"/>
      <w:lvlJc w:val="left"/>
      <w:pPr>
        <w:ind w:hanging="454" w:left="1814"/>
        <w:tabs>
          <w:tab w:val="num" w:pos="1814" w:leader="none"/>
        </w:tabs>
      </w:pPr>
      <w:rPr>
        <w:rFonts w:ascii="Arial" w:hAnsi="Arial" w:cs="Arial"/>
      </w:rPr>
    </w:lvl>
    <w:lvl w:ilvl="4" w:tplc="3C44792E">
      <w:start w:val="1"/>
      <w:numFmt w:val="lowerLetter"/>
      <w:suff w:val="tab"/>
      <w:lvlText w:val="-"/>
      <w:lvlJc w:val="left"/>
      <w:pPr>
        <w:ind w:hanging="453" w:left="2267"/>
        <w:tabs>
          <w:tab w:val="num" w:pos="2267" w:leader="none"/>
        </w:tabs>
      </w:pPr>
      <w:rPr>
        <w:rFonts w:ascii="Arial" w:hAnsi="Arial" w:cs="Arial"/>
      </w:rPr>
    </w:lvl>
    <w:lvl w:ilvl="5" w:tplc="72EC5D26">
      <w:start w:val="1"/>
      <w:numFmt w:val="lowerRoman"/>
      <w:suff w:val="tab"/>
      <w:lvlText w:val="-"/>
      <w:lvlJc w:val="left"/>
      <w:pPr>
        <w:ind w:hanging="453" w:left="2720"/>
        <w:tabs>
          <w:tab w:val="num" w:pos="2720" w:leader="none"/>
        </w:tabs>
      </w:pPr>
      <w:rPr>
        <w:rFonts w:ascii="Arial" w:hAnsi="Arial" w:cs="Arial"/>
      </w:rPr>
    </w:lvl>
    <w:lvl w:ilvl="6" w:tplc="1032BA12">
      <w:start w:val="1"/>
      <w:numFmt w:val="bullet"/>
      <w:suff w:val="tab"/>
      <w:lvlText w:val="-"/>
      <w:lvlJc w:val="left"/>
      <w:pPr>
        <w:ind w:hanging="454" w:left="3174"/>
        <w:tabs>
          <w:tab w:val="num" w:pos="3174" w:leader="none"/>
        </w:tabs>
      </w:pPr>
      <w:rPr>
        <w:rFonts w:ascii="Arial" w:hAnsi="Arial" w:cs="Arial"/>
      </w:rPr>
    </w:lvl>
    <w:lvl w:ilvl="7" w:tplc="C2909FB6">
      <w:start w:val="1"/>
      <w:numFmt w:val="lowerRoman"/>
      <w:suff w:val="tab"/>
      <w:lvlText w:val="-"/>
      <w:lvlJc w:val="left"/>
      <w:pPr>
        <w:ind w:hanging="453" w:left="3627"/>
        <w:tabs>
          <w:tab w:val="num" w:pos="3627" w:leader="none"/>
        </w:tabs>
      </w:pPr>
      <w:rPr>
        <w:rFonts w:ascii="Arial" w:hAnsi="Arial" w:cs="Arial"/>
      </w:rPr>
    </w:lvl>
    <w:lvl w:ilvl="8" w:tplc="A2A651D2">
      <w:start w:val="1"/>
      <w:numFmt w:val="bullet"/>
      <w:suff w:val="tab"/>
      <w:lvlText w:val="-"/>
      <w:lvlJc w:val="left"/>
      <w:pPr>
        <w:ind w:hanging="454" w:left="4081"/>
        <w:tabs>
          <w:tab w:val="num" w:pos="4081" w:leader="none"/>
        </w:tabs>
      </w:pPr>
      <w:rPr>
        <w:rFonts w:ascii="Arial" w:hAnsi="Arial" w:cs="Arial"/>
      </w:rPr>
    </w:lvl>
  </w:abstractNum>
  <w:abstractNum w:abstractNumId="25">
    <w:nsid w:val="33562309"/>
    <w:multiLevelType w:val="hybridMultilevel"/>
    <w:tmpl w:val="0409001D"/>
    <w:styleLink w:val="N2"/>
    <w:lvl w:ilvl="0" w:tplc="0146365E">
      <w:start w:val="1"/>
      <w:numFmt w:val="bullet"/>
      <w:suff w:val="tab"/>
      <w:lvlText w:val="•"/>
      <w:lvlJc w:val="left"/>
      <w:pPr>
        <w:ind w:hanging="340" w:left="340"/>
        <w:tabs>
          <w:tab w:val="num" w:pos="340" w:leader="none"/>
        </w:tabs>
      </w:pPr>
      <w:rPr>
        <w:rFonts w:ascii="Calibri" w:hAnsi="Calibri" w:hint="default"/>
      </w:rPr>
    </w:lvl>
    <w:lvl w:ilvl="1" w:tplc="FBFC8FB8">
      <w:start w:val="1"/>
      <w:numFmt w:val="bullet"/>
      <w:suff w:val="tab"/>
      <w:lvlText w:val="-"/>
      <w:lvlJc w:val="left"/>
      <w:pPr>
        <w:ind w:hanging="340" w:left="680"/>
        <w:tabs>
          <w:tab w:val="num" w:pos="680" w:leader="none"/>
        </w:tabs>
      </w:pPr>
      <w:rPr>
        <w:rFonts w:ascii="Times New Roman" w:hAnsi="Times New Roman" w:cs="Times New Roman" w:hint="default"/>
        <w:sz w:val="24"/>
      </w:rPr>
    </w:lvl>
    <w:lvl w:ilvl="2" w:tplc="E86AE662">
      <w:start w:val="1"/>
      <w:numFmt w:val="bullet"/>
      <w:suff w:val="tab"/>
      <w:lvlText w:val="-"/>
      <w:lvlJc w:val="left"/>
      <w:pPr>
        <w:ind w:hanging="340" w:left="1020"/>
        <w:tabs>
          <w:tab w:val="num" w:pos="1020" w:leader="none"/>
        </w:tabs>
      </w:pPr>
      <w:rPr>
        <w:rFonts w:ascii="Times New Roman" w:hAnsi="Times New Roman" w:cs="Times New Roman" w:hint="default"/>
      </w:rPr>
    </w:lvl>
    <w:lvl w:ilvl="3" w:tplc="F90A9F6C">
      <w:start w:val="1"/>
      <w:numFmt w:val="bullet"/>
      <w:suff w:val="tab"/>
      <w:lvlText w:val="-"/>
      <w:lvlJc w:val="left"/>
      <w:pPr>
        <w:ind w:hanging="340" w:left="1360"/>
        <w:tabs>
          <w:tab w:val="num" w:pos="1360" w:leader="none"/>
        </w:tabs>
      </w:pPr>
      <w:rPr>
        <w:rFonts w:ascii="Times New Roman" w:hAnsi="Times New Roman" w:cs="Times New Roman" w:hint="default"/>
      </w:rPr>
    </w:lvl>
    <w:lvl w:ilvl="4" w:tplc="95BCDE62">
      <w:start w:val="1"/>
      <w:numFmt w:val="bullet"/>
      <w:suff w:val="tab"/>
      <w:lvlText w:val="-"/>
      <w:lvlJc w:val="left"/>
      <w:pPr>
        <w:ind w:hanging="340" w:left="1700"/>
        <w:tabs>
          <w:tab w:val="num" w:pos="1700" w:leader="none"/>
        </w:tabs>
      </w:pPr>
      <w:rPr>
        <w:rFonts w:ascii="Times New Roman" w:hAnsi="Times New Roman" w:cs="Times New Roman" w:hint="default"/>
      </w:rPr>
    </w:lvl>
    <w:lvl w:ilvl="5" w:tplc="FB3605E2">
      <w:start w:val="1"/>
      <w:numFmt w:val="lowerRoman"/>
      <w:suff w:val="tab"/>
      <w:lvlText w:val="(%6)"/>
      <w:lvlJc w:val="left"/>
      <w:pPr>
        <w:ind w:hanging="340" w:left="2040"/>
        <w:tabs>
          <w:tab w:val="num" w:pos="2040" w:leader="none"/>
        </w:tabs>
      </w:pPr>
      <w:rPr>
        <w:rFonts w:hint="default"/>
      </w:rPr>
    </w:lvl>
    <w:lvl w:ilvl="6" w:tplc="F06E469E">
      <w:start w:val="1"/>
      <w:numFmt w:val="decimal"/>
      <w:suff w:val="tab"/>
      <w:lvlText w:val="%7."/>
      <w:lvlJc w:val="left"/>
      <w:pPr>
        <w:ind w:hanging="340" w:left="2380"/>
        <w:tabs>
          <w:tab w:val="num" w:pos="2380" w:leader="none"/>
        </w:tabs>
      </w:pPr>
      <w:rPr>
        <w:rFonts w:hint="default"/>
      </w:rPr>
    </w:lvl>
    <w:lvl w:ilvl="7" w:tplc="925C6FCC">
      <w:start w:val="1"/>
      <w:numFmt w:val="lowerLetter"/>
      <w:suff w:val="tab"/>
      <w:lvlText w:val="%8."/>
      <w:lvlJc w:val="left"/>
      <w:pPr>
        <w:ind w:hanging="340" w:left="2720"/>
        <w:tabs>
          <w:tab w:val="num" w:pos="2720" w:leader="none"/>
        </w:tabs>
      </w:pPr>
      <w:rPr>
        <w:rFonts w:hint="default"/>
      </w:rPr>
    </w:lvl>
    <w:lvl w:ilvl="8" w:tplc="6F84B798">
      <w:start w:val="1"/>
      <w:numFmt w:val="lowerRoman"/>
      <w:suff w:val="tab"/>
      <w:lvlText w:val="%9."/>
      <w:lvlJc w:val="left"/>
      <w:pPr>
        <w:ind w:hanging="340" w:left="3060"/>
        <w:tabs>
          <w:tab w:val="num" w:pos="3060" w:leader="none"/>
        </w:tabs>
      </w:pPr>
      <w:rPr>
        <w:rFonts w:hint="default"/>
      </w:rPr>
    </w:lvl>
  </w:abstractNum>
  <w:abstractNum w:abstractNumId="26">
    <w:nsid w:val="356E7F4D"/>
    <w:multiLevelType w:val="hybridMultilevel"/>
    <w:tmpl w:val="0409001D"/>
    <w:numStyleLink w:val="N1"/>
  </w:abstractNum>
  <w:abstractNum w:abstractNumId="27">
    <w:nsid w:val="378E7AA6"/>
    <w:multiLevelType w:val="hybridMultilevel"/>
    <w:lvl w:ilvl="0" w:tplc="CE1C8696">
      <w:start w:val="1"/>
      <w:numFmt w:val="decimal"/>
      <w:suff w:val="tab"/>
      <w:lvlText w:val="%1)"/>
      <w:lvlJc w:val="left"/>
      <w:pPr>
        <w:ind w:hanging="360" w:left="360"/>
      </w:pPr>
      <w:rPr/>
    </w:lvl>
    <w:lvl w:ilvl="1" w:tplc="9D4E3D42">
      <w:start w:val="1"/>
      <w:numFmt w:val="lowerLetter"/>
      <w:suff w:val="tab"/>
      <w:lvlText w:val="%2)"/>
      <w:lvlJc w:val="left"/>
      <w:pPr>
        <w:ind w:hanging="360" w:left="720"/>
      </w:pPr>
      <w:rPr/>
    </w:lvl>
    <w:lvl w:ilvl="2" w:tplc="93747568">
      <w:start w:val="1"/>
      <w:numFmt w:val="lowerRoman"/>
      <w:suff w:val="tab"/>
      <w:lvlText w:val="%3)"/>
      <w:lvlJc w:val="left"/>
      <w:pPr>
        <w:ind w:hanging="360" w:left="1080"/>
      </w:pPr>
      <w:rPr/>
    </w:lvl>
    <w:lvl w:ilvl="3" w:tplc="B96AC9AA">
      <w:start w:val="1"/>
      <w:numFmt w:val="decimal"/>
      <w:suff w:val="tab"/>
      <w:lvlText w:val="(%4)"/>
      <w:lvlJc w:val="left"/>
      <w:pPr>
        <w:ind w:hanging="360" w:left="1440"/>
      </w:pPr>
      <w:rPr/>
    </w:lvl>
    <w:lvl w:ilvl="4" w:tplc="2B66570C">
      <w:start w:val="1"/>
      <w:numFmt w:val="lowerLetter"/>
      <w:suff w:val="tab"/>
      <w:lvlText w:val="(%5)"/>
      <w:lvlJc w:val="left"/>
      <w:pPr>
        <w:ind w:hanging="360" w:left="1800"/>
      </w:pPr>
      <w:rPr/>
    </w:lvl>
    <w:lvl w:ilvl="5" w:tplc="DB4C80D8">
      <w:start w:val="1"/>
      <w:numFmt w:val="lowerRoman"/>
      <w:suff w:val="tab"/>
      <w:lvlText w:val="(%6)"/>
      <w:lvlJc w:val="left"/>
      <w:pPr>
        <w:ind w:hanging="360" w:left="2160"/>
      </w:pPr>
      <w:rPr/>
    </w:lvl>
    <w:lvl w:ilvl="6" w:tplc="6B0C3506">
      <w:start w:val="1"/>
      <w:numFmt w:val="decimal"/>
      <w:suff w:val="tab"/>
      <w:lvlText w:val="%7."/>
      <w:lvlJc w:val="left"/>
      <w:pPr>
        <w:ind w:hanging="360" w:left="2520"/>
      </w:pPr>
      <w:rPr/>
    </w:lvl>
    <w:lvl w:ilvl="7" w:tplc="B8A2C32E">
      <w:start w:val="1"/>
      <w:numFmt w:val="lowerLetter"/>
      <w:suff w:val="tab"/>
      <w:lvlText w:val="%8."/>
      <w:lvlJc w:val="left"/>
      <w:pPr>
        <w:ind w:hanging="360" w:left="2880"/>
      </w:pPr>
      <w:rPr/>
    </w:lvl>
    <w:lvl w:ilvl="8" w:tplc="5712DB40">
      <w:start w:val="1"/>
      <w:numFmt w:val="lowerRoman"/>
      <w:suff w:val="tab"/>
      <w:lvlText w:val="%9."/>
      <w:lvlJc w:val="left"/>
      <w:pPr>
        <w:ind w:hanging="360" w:left="3240"/>
      </w:pPr>
      <w:rPr/>
    </w:lvl>
  </w:abstractNum>
  <w:abstractNum w:abstractNumId="28">
    <w:nsid w:val="382F17D5"/>
    <w:multiLevelType w:val="hybridMultilevel"/>
    <w:lvl w:ilvl="0" w:tplc="752A2E86">
      <w:start w:val="1"/>
      <w:numFmt w:val="decimal"/>
      <w:suff w:val="tab"/>
      <w:lvlText w:val="%1."/>
      <w:lvlJc w:val="left"/>
      <w:pPr>
        <w:ind w:hanging="453" w:left="453"/>
        <w:tabs>
          <w:tab w:val="num" w:pos="453" w:leader="none"/>
        </w:tabs>
      </w:pPr>
      <w:rPr>
        <w:rFonts w:ascii="Times New Roman" w:hAnsi="Times New Roman" w:cs="Times New Roman"/>
      </w:rPr>
    </w:lvl>
    <w:lvl w:ilvl="1" w:tplc="245E9A9C">
      <w:start w:val="1"/>
      <w:numFmt w:val="lowerLetter"/>
      <w:suff w:val="tab"/>
      <w:lvlText w:val="%2)"/>
      <w:lvlJc w:val="left"/>
      <w:pPr>
        <w:ind w:hanging="454" w:left="907"/>
        <w:tabs>
          <w:tab w:val="num" w:pos="907" w:leader="none"/>
        </w:tabs>
      </w:pPr>
      <w:rPr>
        <w:rFonts w:ascii="Times New Roman" w:hAnsi="Times New Roman" w:cs="Times New Roman"/>
      </w:rPr>
    </w:lvl>
    <w:lvl w:ilvl="2" w:tplc="D6BC8DA4">
      <w:start w:val="1"/>
      <w:numFmt w:val="lowerRoman"/>
      <w:suff w:val="tab"/>
      <w:lvlText w:val="%3)"/>
      <w:lvlJc w:val="left"/>
      <w:pPr>
        <w:ind w:hanging="453" w:left="1360"/>
        <w:tabs>
          <w:tab w:val="num" w:pos="1360" w:leader="none"/>
        </w:tabs>
      </w:pPr>
      <w:rPr>
        <w:rFonts w:ascii="Times New Roman" w:hAnsi="Times New Roman" w:cs="Times New Roman"/>
      </w:rPr>
    </w:lvl>
    <w:lvl w:ilvl="3" w:tplc="41D29FCA">
      <w:start w:val="1"/>
      <w:numFmt w:val="lowerLetter"/>
      <w:suff w:val="tab"/>
      <w:lvlText w:val="-"/>
      <w:lvlJc w:val="left"/>
      <w:pPr>
        <w:ind w:hanging="454" w:left="1814"/>
        <w:tabs>
          <w:tab w:val="num" w:pos="1814" w:leader="none"/>
        </w:tabs>
      </w:pPr>
      <w:rPr>
        <w:rFonts w:ascii="Times New Roman" w:hAnsi="Times New Roman" w:cs="Times New Roman"/>
      </w:rPr>
    </w:lvl>
    <w:lvl w:ilvl="4" w:tplc="9C143DCE">
      <w:start w:val="1"/>
      <w:numFmt w:val="lowerLetter"/>
      <w:suff w:val="tab"/>
      <w:lvlText w:val="-"/>
      <w:lvlJc w:val="left"/>
      <w:pPr>
        <w:ind w:hanging="453" w:left="2267"/>
        <w:tabs>
          <w:tab w:val="num" w:pos="2267" w:leader="none"/>
        </w:tabs>
      </w:pPr>
      <w:rPr>
        <w:rFonts w:ascii="Times New Roman" w:hAnsi="Times New Roman" w:cs="Times New Roman"/>
      </w:rPr>
    </w:lvl>
    <w:lvl w:ilvl="5" w:tplc="7FE012FA">
      <w:start w:val="1"/>
      <w:numFmt w:val="lowerLetter"/>
      <w:suff w:val="tab"/>
      <w:lvlText w:val="-"/>
      <w:lvlJc w:val="left"/>
      <w:pPr>
        <w:ind w:hanging="453" w:left="2720"/>
        <w:tabs>
          <w:tab w:val="num" w:pos="2720" w:leader="none"/>
        </w:tabs>
      </w:pPr>
      <w:rPr>
        <w:rFonts w:ascii="Times New Roman" w:hAnsi="Times New Roman" w:cs="Times New Roman"/>
      </w:rPr>
    </w:lvl>
    <w:lvl w:ilvl="6" w:tplc="74649370">
      <w:start w:val="1"/>
      <w:numFmt w:val="lowerLetter"/>
      <w:suff w:val="tab"/>
      <w:lvlText w:val="-"/>
      <w:lvlJc w:val="left"/>
      <w:pPr>
        <w:ind w:hanging="454" w:left="3174"/>
        <w:tabs>
          <w:tab w:val="num" w:pos="3174" w:leader="none"/>
        </w:tabs>
      </w:pPr>
      <w:rPr>
        <w:rFonts w:ascii="Times New Roman" w:hAnsi="Times New Roman" w:cs="Times New Roman"/>
      </w:rPr>
    </w:lvl>
    <w:lvl w:ilvl="7" w:tplc="CE10B2B6">
      <w:start w:val="1"/>
      <w:numFmt w:val="lowerLetter"/>
      <w:suff w:val="tab"/>
      <w:lvlText w:val="-"/>
      <w:lvlJc w:val="left"/>
      <w:pPr>
        <w:ind w:hanging="453" w:left="3627"/>
        <w:tabs>
          <w:tab w:val="num" w:pos="3627" w:leader="none"/>
        </w:tabs>
      </w:pPr>
      <w:rPr>
        <w:rFonts w:ascii="Times New Roman" w:hAnsi="Times New Roman" w:cs="Times New Roman"/>
      </w:rPr>
    </w:lvl>
    <w:lvl w:ilvl="8" w:tplc="899ED644">
      <w:start w:val="1"/>
      <w:numFmt w:val="lowerLetter"/>
      <w:suff w:val="tab"/>
      <w:lvlText w:val="-"/>
      <w:lvlJc w:val="left"/>
      <w:pPr>
        <w:ind w:hanging="454" w:left="4081"/>
        <w:tabs>
          <w:tab w:val="num" w:pos="4081" w:leader="none"/>
        </w:tabs>
      </w:pPr>
      <w:rPr>
        <w:rFonts w:ascii="Times New Roman" w:hAnsi="Times New Roman" w:cs="Times New Roman"/>
      </w:rPr>
    </w:lvl>
  </w:abstractNum>
  <w:abstractNum w:abstractNumId="29">
    <w:nsid w:val="3BE1741E"/>
    <w:multiLevelType w:val="hybridMultilevel"/>
    <w:lvl w:ilvl="0" w:tplc="977ACE9C">
      <w:start w:val="1"/>
      <w:numFmt w:val="decimal"/>
      <w:suff w:val="tab"/>
      <w:lvlText w:val="%1)"/>
      <w:lvlJc w:val="left"/>
      <w:pPr>
        <w:ind w:hanging="360" w:left="360"/>
      </w:pPr>
      <w:rPr/>
    </w:lvl>
    <w:lvl w:ilvl="1" w:tplc="D1DA3A68">
      <w:start w:val="1"/>
      <w:numFmt w:val="lowerLetter"/>
      <w:suff w:val="tab"/>
      <w:lvlText w:val="%2)"/>
      <w:lvlJc w:val="left"/>
      <w:pPr>
        <w:ind w:hanging="360" w:left="720"/>
      </w:pPr>
      <w:rPr/>
    </w:lvl>
    <w:lvl w:ilvl="2" w:tplc="2146D8B2">
      <w:start w:val="1"/>
      <w:numFmt w:val="lowerRoman"/>
      <w:suff w:val="tab"/>
      <w:lvlText w:val="%3)"/>
      <w:lvlJc w:val="left"/>
      <w:pPr>
        <w:ind w:hanging="360" w:left="1080"/>
      </w:pPr>
      <w:rPr/>
    </w:lvl>
    <w:lvl w:ilvl="3" w:tplc="D93E9CA4">
      <w:start w:val="1"/>
      <w:numFmt w:val="decimal"/>
      <w:suff w:val="tab"/>
      <w:lvlText w:val="(%4)"/>
      <w:lvlJc w:val="left"/>
      <w:pPr>
        <w:ind w:hanging="360" w:left="1440"/>
      </w:pPr>
      <w:rPr/>
    </w:lvl>
    <w:lvl w:ilvl="4" w:tplc="C298F0F2">
      <w:start w:val="1"/>
      <w:numFmt w:val="lowerLetter"/>
      <w:suff w:val="tab"/>
      <w:lvlText w:val="(%5)"/>
      <w:lvlJc w:val="left"/>
      <w:pPr>
        <w:ind w:hanging="360" w:left="1800"/>
      </w:pPr>
      <w:rPr/>
    </w:lvl>
    <w:lvl w:ilvl="5" w:tplc="F31C393E">
      <w:start w:val="1"/>
      <w:numFmt w:val="lowerRoman"/>
      <w:suff w:val="tab"/>
      <w:lvlText w:val="(%6)"/>
      <w:lvlJc w:val="left"/>
      <w:pPr>
        <w:ind w:hanging="360" w:left="2160"/>
      </w:pPr>
      <w:rPr/>
    </w:lvl>
    <w:lvl w:ilvl="6" w:tplc="5044AB78">
      <w:start w:val="1"/>
      <w:numFmt w:val="decimal"/>
      <w:suff w:val="tab"/>
      <w:lvlText w:val="%7."/>
      <w:lvlJc w:val="left"/>
      <w:pPr>
        <w:ind w:hanging="360" w:left="2520"/>
      </w:pPr>
      <w:rPr/>
    </w:lvl>
    <w:lvl w:ilvl="7" w:tplc="A0067744">
      <w:start w:val="1"/>
      <w:numFmt w:val="lowerLetter"/>
      <w:suff w:val="tab"/>
      <w:lvlText w:val="%8."/>
      <w:lvlJc w:val="left"/>
      <w:pPr>
        <w:ind w:hanging="360" w:left="2880"/>
      </w:pPr>
      <w:rPr/>
    </w:lvl>
    <w:lvl w:ilvl="8" w:tplc="CA6C189C">
      <w:start w:val="1"/>
      <w:numFmt w:val="lowerRoman"/>
      <w:suff w:val="tab"/>
      <w:lvlText w:val="%9."/>
      <w:lvlJc w:val="left"/>
      <w:pPr>
        <w:ind w:hanging="360" w:left="3240"/>
      </w:pPr>
      <w:rPr/>
    </w:lvl>
  </w:abstractNum>
  <w:abstractNum w:abstractNumId="30">
    <w:nsid w:val="3DFB1768"/>
    <w:multiLevelType w:val="hybridMultilevel"/>
    <w:lvl w:ilvl="0" w:tplc="A1FE3D14">
      <w:start w:val="1"/>
      <w:numFmt w:val="decimal"/>
      <w:suff w:val="tab"/>
      <w:lvlText w:val="%1)"/>
      <w:lvlJc w:val="left"/>
      <w:pPr>
        <w:ind w:hanging="360" w:left="360"/>
      </w:pPr>
      <w:rPr/>
    </w:lvl>
    <w:lvl w:ilvl="1" w:tplc="B0AC52B6">
      <w:start w:val="1"/>
      <w:numFmt w:val="lowerLetter"/>
      <w:suff w:val="tab"/>
      <w:lvlText w:val="%2)"/>
      <w:lvlJc w:val="left"/>
      <w:pPr>
        <w:ind w:hanging="360" w:left="720"/>
      </w:pPr>
      <w:rPr/>
    </w:lvl>
    <w:lvl w:ilvl="2" w:tplc="A2A4FF94">
      <w:start w:val="1"/>
      <w:numFmt w:val="lowerRoman"/>
      <w:suff w:val="tab"/>
      <w:lvlText w:val="%3)"/>
      <w:lvlJc w:val="left"/>
      <w:pPr>
        <w:ind w:hanging="360" w:left="1080"/>
      </w:pPr>
      <w:rPr/>
    </w:lvl>
    <w:lvl w:ilvl="3" w:tplc="55307608">
      <w:start w:val="1"/>
      <w:numFmt w:val="decimal"/>
      <w:suff w:val="tab"/>
      <w:lvlText w:val="(%4)"/>
      <w:lvlJc w:val="left"/>
      <w:pPr>
        <w:ind w:hanging="360" w:left="1440"/>
      </w:pPr>
      <w:rPr/>
    </w:lvl>
    <w:lvl w:ilvl="4" w:tplc="A5E018FC">
      <w:start w:val="1"/>
      <w:numFmt w:val="lowerLetter"/>
      <w:suff w:val="tab"/>
      <w:lvlText w:val="(%5)"/>
      <w:lvlJc w:val="left"/>
      <w:pPr>
        <w:ind w:hanging="360" w:left="1800"/>
      </w:pPr>
      <w:rPr/>
    </w:lvl>
    <w:lvl w:ilvl="5" w:tplc="DC460D86">
      <w:start w:val="1"/>
      <w:numFmt w:val="lowerRoman"/>
      <w:suff w:val="tab"/>
      <w:lvlText w:val="(%6)"/>
      <w:lvlJc w:val="left"/>
      <w:pPr>
        <w:ind w:hanging="360" w:left="2160"/>
      </w:pPr>
      <w:rPr/>
    </w:lvl>
    <w:lvl w:ilvl="6" w:tplc="3C04D9B0">
      <w:start w:val="1"/>
      <w:numFmt w:val="decimal"/>
      <w:suff w:val="tab"/>
      <w:lvlText w:val="%7."/>
      <w:lvlJc w:val="left"/>
      <w:pPr>
        <w:ind w:hanging="360" w:left="2520"/>
      </w:pPr>
      <w:rPr/>
    </w:lvl>
    <w:lvl w:ilvl="7" w:tplc="F1586FCA">
      <w:start w:val="1"/>
      <w:numFmt w:val="lowerLetter"/>
      <w:suff w:val="tab"/>
      <w:lvlText w:val="%8."/>
      <w:lvlJc w:val="left"/>
      <w:pPr>
        <w:ind w:hanging="360" w:left="2880"/>
      </w:pPr>
      <w:rPr/>
    </w:lvl>
    <w:lvl w:ilvl="8" w:tplc="2C3C4064">
      <w:start w:val="1"/>
      <w:numFmt w:val="lowerRoman"/>
      <w:suff w:val="tab"/>
      <w:lvlText w:val="%9."/>
      <w:lvlJc w:val="left"/>
      <w:pPr>
        <w:ind w:hanging="360" w:left="3240"/>
      </w:pPr>
      <w:rPr/>
    </w:lvl>
  </w:abstractNum>
  <w:abstractNum w:abstractNumId="31">
    <w:nsid w:val="4C2D2DF2"/>
    <w:multiLevelType w:val="hybridMultilevel"/>
    <w:lvl w:ilvl="0" w:tplc="894A6A02">
      <w:start w:val="1"/>
      <w:numFmt w:val="decimal"/>
      <w:suff w:val="tab"/>
      <w:lvlText w:val="%1)"/>
      <w:lvlJc w:val="left"/>
      <w:pPr>
        <w:ind w:hanging="360" w:left="360"/>
      </w:pPr>
      <w:rPr/>
    </w:lvl>
    <w:lvl w:ilvl="1" w:tplc="5AC6F516">
      <w:start w:val="1"/>
      <w:numFmt w:val="lowerLetter"/>
      <w:suff w:val="tab"/>
      <w:lvlText w:val="%2)"/>
      <w:lvlJc w:val="left"/>
      <w:pPr>
        <w:ind w:hanging="360" w:left="720"/>
      </w:pPr>
      <w:rPr/>
    </w:lvl>
    <w:lvl w:ilvl="2" w:tplc="E35E38CC">
      <w:start w:val="1"/>
      <w:numFmt w:val="lowerRoman"/>
      <w:suff w:val="tab"/>
      <w:lvlText w:val="%3)"/>
      <w:lvlJc w:val="left"/>
      <w:pPr>
        <w:ind w:hanging="360" w:left="1080"/>
      </w:pPr>
      <w:rPr/>
    </w:lvl>
    <w:lvl w:ilvl="3" w:tplc="5BF07186">
      <w:start w:val="1"/>
      <w:numFmt w:val="decimal"/>
      <w:suff w:val="tab"/>
      <w:lvlText w:val="(%4)"/>
      <w:lvlJc w:val="left"/>
      <w:pPr>
        <w:ind w:hanging="360" w:left="1440"/>
      </w:pPr>
      <w:rPr/>
    </w:lvl>
    <w:lvl w:ilvl="4" w:tplc="C590AEBC">
      <w:start w:val="1"/>
      <w:numFmt w:val="lowerLetter"/>
      <w:suff w:val="tab"/>
      <w:lvlText w:val="(%5)"/>
      <w:lvlJc w:val="left"/>
      <w:pPr>
        <w:ind w:hanging="360" w:left="1800"/>
      </w:pPr>
      <w:rPr/>
    </w:lvl>
    <w:lvl w:ilvl="5" w:tplc="E91EDB06">
      <w:start w:val="1"/>
      <w:numFmt w:val="lowerRoman"/>
      <w:suff w:val="tab"/>
      <w:lvlText w:val="(%6)"/>
      <w:lvlJc w:val="left"/>
      <w:pPr>
        <w:ind w:hanging="360" w:left="2160"/>
      </w:pPr>
      <w:rPr/>
    </w:lvl>
    <w:lvl w:ilvl="6" w:tplc="1C927336">
      <w:start w:val="1"/>
      <w:numFmt w:val="decimal"/>
      <w:suff w:val="tab"/>
      <w:lvlText w:val="%7."/>
      <w:lvlJc w:val="left"/>
      <w:pPr>
        <w:ind w:hanging="360" w:left="2520"/>
      </w:pPr>
      <w:rPr/>
    </w:lvl>
    <w:lvl w:ilvl="7" w:tplc="7E18F05A">
      <w:start w:val="1"/>
      <w:numFmt w:val="lowerLetter"/>
      <w:suff w:val="tab"/>
      <w:lvlText w:val="%8."/>
      <w:lvlJc w:val="left"/>
      <w:pPr>
        <w:ind w:hanging="360" w:left="2880"/>
      </w:pPr>
      <w:rPr/>
    </w:lvl>
    <w:lvl w:ilvl="8" w:tplc="2BFA9538">
      <w:start w:val="1"/>
      <w:numFmt w:val="lowerRoman"/>
      <w:suff w:val="tab"/>
      <w:lvlText w:val="%9."/>
      <w:lvlJc w:val="left"/>
      <w:pPr>
        <w:ind w:hanging="360" w:left="3240"/>
      </w:pPr>
      <w:rPr/>
    </w:lvl>
  </w:abstractNum>
  <w:abstractNum w:abstractNumId="32">
    <w:nsid w:val="4D377467"/>
    <w:multiLevelType w:val="hybridMultilevel"/>
    <w:lvl w:ilvl="0" w:tplc="9AFE9160">
      <w:start w:val="1"/>
      <w:numFmt w:val="bullet"/>
      <w:suff w:val="tab"/>
      <w:lvlText w:val=""/>
      <w:lvlJc w:val="left"/>
      <w:pPr>
        <w:ind w:hanging="360" w:left="720"/>
        <w:tabs>
          <w:tab w:val="num" w:pos="720" w:leader="none"/>
        </w:tabs>
      </w:pPr>
      <w:rPr>
        <w:rFonts w:ascii="Symbol" w:hAnsi="Symbol" w:hint="default"/>
        <w:sz w:val="20"/>
      </w:rPr>
    </w:lvl>
    <w:lvl w:ilvl="1" w:tplc="A2A2D2D4">
      <w:start w:val="1"/>
      <w:numFmt w:val="bullet"/>
      <w:suff w:val="tab"/>
      <w:lvlText w:val="o"/>
      <w:lvlJc w:val="left"/>
      <w:pPr>
        <w:ind w:hanging="360" w:left="1440"/>
        <w:tabs>
          <w:tab w:val="num" w:pos="1440" w:leader="none"/>
        </w:tabs>
      </w:pPr>
      <w:rPr>
        <w:rFonts w:ascii="Courier New" w:hAnsi="Courier New" w:hint="default"/>
        <w:sz w:val="20"/>
      </w:rPr>
    </w:lvl>
    <w:lvl w:ilvl="2" w:tplc="A6ACB6DE">
      <w:start w:val="1"/>
      <w:numFmt w:val="bullet"/>
      <w:suff w:val="tab"/>
      <w:lvlText w:val=""/>
      <w:lvlJc w:val="left"/>
      <w:pPr>
        <w:ind w:hanging="360" w:left="2160"/>
        <w:tabs>
          <w:tab w:val="num" w:pos="2160" w:leader="none"/>
        </w:tabs>
      </w:pPr>
      <w:rPr>
        <w:rFonts w:ascii="Wingdings" w:hAnsi="Wingdings" w:hint="default"/>
        <w:sz w:val="20"/>
      </w:rPr>
    </w:lvl>
    <w:lvl w:ilvl="3" w:tplc="F2C4EC10">
      <w:start w:val="1"/>
      <w:numFmt w:val="bullet"/>
      <w:suff w:val="tab"/>
      <w:lvlText w:val=""/>
      <w:lvlJc w:val="left"/>
      <w:pPr>
        <w:ind w:hanging="360" w:left="2880"/>
        <w:tabs>
          <w:tab w:val="num" w:pos="2880" w:leader="none"/>
        </w:tabs>
      </w:pPr>
      <w:rPr>
        <w:rFonts w:ascii="Wingdings" w:hAnsi="Wingdings" w:hint="default"/>
        <w:sz w:val="20"/>
      </w:rPr>
    </w:lvl>
    <w:lvl w:ilvl="4" w:tplc="CAD85BF4">
      <w:start w:val="1"/>
      <w:numFmt w:val="bullet"/>
      <w:suff w:val="tab"/>
      <w:lvlText w:val=""/>
      <w:lvlJc w:val="left"/>
      <w:pPr>
        <w:ind w:hanging="360" w:left="3600"/>
        <w:tabs>
          <w:tab w:val="num" w:pos="3600" w:leader="none"/>
        </w:tabs>
      </w:pPr>
      <w:rPr>
        <w:rFonts w:ascii="Wingdings" w:hAnsi="Wingdings" w:hint="default"/>
        <w:sz w:val="20"/>
      </w:rPr>
    </w:lvl>
    <w:lvl w:ilvl="5" w:tplc="32FA1252">
      <w:start w:val="1"/>
      <w:numFmt w:val="bullet"/>
      <w:suff w:val="tab"/>
      <w:lvlText w:val=""/>
      <w:lvlJc w:val="left"/>
      <w:pPr>
        <w:ind w:hanging="360" w:left="4320"/>
        <w:tabs>
          <w:tab w:val="num" w:pos="4320" w:leader="none"/>
        </w:tabs>
      </w:pPr>
      <w:rPr>
        <w:rFonts w:ascii="Wingdings" w:hAnsi="Wingdings" w:hint="default"/>
        <w:sz w:val="20"/>
      </w:rPr>
    </w:lvl>
    <w:lvl w:ilvl="6" w:tplc="268C2376">
      <w:start w:val="1"/>
      <w:numFmt w:val="bullet"/>
      <w:suff w:val="tab"/>
      <w:lvlText w:val=""/>
      <w:lvlJc w:val="left"/>
      <w:pPr>
        <w:ind w:hanging="360" w:left="5040"/>
        <w:tabs>
          <w:tab w:val="num" w:pos="5040" w:leader="none"/>
        </w:tabs>
      </w:pPr>
      <w:rPr>
        <w:rFonts w:ascii="Wingdings" w:hAnsi="Wingdings" w:hint="default"/>
        <w:sz w:val="20"/>
      </w:rPr>
    </w:lvl>
    <w:lvl w:ilvl="7" w:tplc="D2E2D35E">
      <w:start w:val="1"/>
      <w:numFmt w:val="bullet"/>
      <w:suff w:val="tab"/>
      <w:lvlText w:val=""/>
      <w:lvlJc w:val="left"/>
      <w:pPr>
        <w:ind w:hanging="360" w:left="5760"/>
        <w:tabs>
          <w:tab w:val="num" w:pos="5760" w:leader="none"/>
        </w:tabs>
      </w:pPr>
      <w:rPr>
        <w:rFonts w:ascii="Wingdings" w:hAnsi="Wingdings" w:hint="default"/>
        <w:sz w:val="20"/>
      </w:rPr>
    </w:lvl>
    <w:lvl w:ilvl="8" w:tplc="6C8A63F0">
      <w:start w:val="1"/>
      <w:numFmt w:val="bullet"/>
      <w:suff w:val="tab"/>
      <w:lvlText w:val=""/>
      <w:lvlJc w:val="left"/>
      <w:pPr>
        <w:ind w:hanging="360" w:left="6480"/>
        <w:tabs>
          <w:tab w:val="num" w:pos="6480" w:leader="none"/>
        </w:tabs>
      </w:pPr>
      <w:rPr>
        <w:rFonts w:ascii="Wingdings" w:hAnsi="Wingdings" w:hint="default"/>
        <w:sz w:val="20"/>
      </w:rPr>
    </w:lvl>
  </w:abstractNum>
  <w:abstractNum w:abstractNumId="33">
    <w:nsid w:val="4E5E3F19"/>
    <w:multiLevelType w:val="hybridMultilevel"/>
    <w:tmpl w:val="0409001D"/>
    <w:numStyleLink w:val="N2"/>
  </w:abstractNum>
  <w:abstractNum w:abstractNumId="34">
    <w:nsid w:val="4FD0214B"/>
    <w:multiLevelType w:val="multilevel"/>
    <w:lvl w:ilvl="0">
      <w:start w:val="1"/>
      <w:numFmt w:val="decimal"/>
      <w:suff w:val="tab"/>
      <w:lvlText w:val="%1."/>
      <w:lvlJc w:val="left"/>
      <w:pPr>
        <w:ind w:hanging="567" w:left="567"/>
        <w:tabs>
          <w:tab w:val="num" w:pos="567" w:leader="none"/>
        </w:tabs>
      </w:pPr>
      <w:rPr/>
    </w:lvl>
    <w:lvl w:ilvl="1">
      <w:start w:val="1"/>
      <w:numFmt w:val="decimal"/>
      <w:suff w:val="tab"/>
      <w:lvlText w:val="%1.%2."/>
      <w:lvlJc w:val="left"/>
      <w:pPr>
        <w:ind w:hanging="680" w:left="680"/>
        <w:tabs>
          <w:tab w:val="num" w:pos="680" w:leader="none"/>
        </w:tabs>
      </w:pPr>
      <w:rPr/>
    </w:lvl>
    <w:lvl w:ilvl="2">
      <w:start w:val="1"/>
      <w:numFmt w:val="decimal"/>
      <w:suff w:val="tab"/>
      <w:lvlText w:val="%1.%2.%3."/>
      <w:lvlJc w:val="left"/>
      <w:pPr>
        <w:ind w:hanging="850" w:left="850"/>
        <w:tabs>
          <w:tab w:val="num" w:pos="850" w:leader="none"/>
        </w:tabs>
      </w:pPr>
      <w:rPr/>
    </w:lvl>
    <w:lvl w:ilvl="3">
      <w:start w:val="1"/>
      <w:numFmt w:val="decimal"/>
      <w:suff w:val="tab"/>
      <w:lvlText w:val="%1.%2.%3.%4."/>
      <w:lvlJc w:val="left"/>
      <w:pPr>
        <w:ind w:hanging="992" w:left="992"/>
        <w:tabs>
          <w:tab w:val="num" w:pos="992" w:leader="none"/>
        </w:tabs>
      </w:pPr>
      <w:rPr/>
    </w:lvl>
    <w:lvl w:ilvl="4">
      <w:start w:val="1"/>
      <w:numFmt w:val="decimal"/>
      <w:lvlRestart w:val="3"/>
      <w:suff w:val="tab"/>
      <w:lvlText w:val="%1.%2.%3.%4.%5."/>
      <w:lvlJc w:val="left"/>
      <w:pPr>
        <w:ind w:hanging="992" w:left="992"/>
        <w:tabs>
          <w:tab w:val="num" w:pos="992" w:leader="none"/>
        </w:tabs>
      </w:pPr>
      <w:rPr/>
    </w:lvl>
    <w:lvl w:ilvl="5">
      <w:start w:val="1"/>
      <w:numFmt w:val="decimal"/>
      <w:suff w:val="tab"/>
      <w:lvlText w:val="%1.%2.%3.%4.%5.%6"/>
      <w:lvlJc w:val="left"/>
      <w:pPr>
        <w:ind w:hanging="1152" w:left="1152"/>
      </w:pPr>
      <w:rPr/>
    </w:lvl>
    <w:lvl w:ilvl="6">
      <w:start w:val="1"/>
      <w:numFmt w:val="decimal"/>
      <w:suff w:val="tab"/>
      <w:lvlText w:val="%1.%2.%3.%4.%5.%6.%7"/>
      <w:lvlJc w:val="left"/>
      <w:pPr>
        <w:ind w:hanging="1296" w:left="1296"/>
      </w:pPr>
      <w:rPr/>
    </w:lvl>
    <w:lvl w:ilvl="7">
      <w:start w:val="1"/>
      <w:numFmt w:val="decimal"/>
      <w:suff w:val="tab"/>
      <w:lvlText w:val="%1.%2.%3.%4.%5.%6.%7.%8"/>
      <w:lvlJc w:val="left"/>
      <w:pPr>
        <w:ind w:hanging="1440" w:left="1440"/>
      </w:pPr>
      <w:rPr/>
    </w:lvl>
    <w:lvl w:ilvl="8">
      <w:start w:val="1"/>
      <w:numFmt w:val="decimal"/>
      <w:suff w:val="tab"/>
      <w:lvlText w:val="%1.%2.%3.%4.%5.%6.%7.%8.%9"/>
      <w:lvlJc w:val="left"/>
      <w:pPr>
        <w:ind w:hanging="1584" w:left="1584"/>
      </w:pPr>
      <w:rPr/>
    </w:lvl>
  </w:abstractNum>
  <w:abstractNum w:abstractNumId="35">
    <w:nsid w:val="50BD2522"/>
    <w:multiLevelType w:val="hybridMultilevel"/>
    <w:tmpl w:val="0409001D"/>
    <w:numStyleLink w:val="N2"/>
  </w:abstractNum>
  <w:abstractNum w:abstractNumId="36">
    <w:nsid w:val="539F372A"/>
    <w:multiLevelType w:val="hybridMultilevel"/>
    <w:tmpl w:val="0409001D"/>
    <w:numStyleLink w:val="N2"/>
  </w:abstractNum>
  <w:abstractNum w:abstractNumId="37">
    <w:nsid w:val="53E1351F"/>
    <w:multiLevelType w:val="hybridMultilevel"/>
    <w:tmpl w:val="0409001D"/>
    <w:numStyleLink w:val="N1"/>
  </w:abstractNum>
  <w:abstractNum w:abstractNumId="38">
    <w:nsid w:val="5DA67D21"/>
    <w:multiLevelType w:val="hybridMultilevel"/>
    <w:tmpl w:val="0409001D"/>
    <w:numStyleLink w:val="N1"/>
  </w:abstractNum>
  <w:abstractNum w:abstractNumId="39">
    <w:nsid w:val="5EF81732"/>
    <w:multiLevelType w:val="hybridMultilevel"/>
    <w:lvl w:ilvl="0" w:tplc="769EE8D0">
      <w:start w:val="1"/>
      <w:numFmt w:val="decimal"/>
      <w:suff w:val="tab"/>
      <w:lvlText w:val="%1)"/>
      <w:lvlJc w:val="left"/>
      <w:pPr>
        <w:ind w:hanging="360" w:left="360"/>
      </w:pPr>
      <w:rPr/>
    </w:lvl>
    <w:lvl w:ilvl="1" w:tplc="374A7582">
      <w:start w:val="1"/>
      <w:numFmt w:val="lowerLetter"/>
      <w:suff w:val="tab"/>
      <w:lvlText w:val="%2)"/>
      <w:lvlJc w:val="left"/>
      <w:pPr>
        <w:ind w:hanging="360" w:left="720"/>
      </w:pPr>
      <w:rPr/>
    </w:lvl>
    <w:lvl w:ilvl="2" w:tplc="91E8FAD8">
      <w:start w:val="1"/>
      <w:numFmt w:val="lowerRoman"/>
      <w:suff w:val="tab"/>
      <w:lvlText w:val="%3)"/>
      <w:lvlJc w:val="left"/>
      <w:pPr>
        <w:ind w:hanging="360" w:left="1080"/>
      </w:pPr>
      <w:rPr/>
    </w:lvl>
    <w:lvl w:ilvl="3" w:tplc="DC38CC1E">
      <w:start w:val="1"/>
      <w:numFmt w:val="decimal"/>
      <w:suff w:val="tab"/>
      <w:lvlText w:val="(%4)"/>
      <w:lvlJc w:val="left"/>
      <w:pPr>
        <w:ind w:hanging="360" w:left="1440"/>
      </w:pPr>
      <w:rPr/>
    </w:lvl>
    <w:lvl w:ilvl="4" w:tplc="501E0478">
      <w:start w:val="1"/>
      <w:numFmt w:val="lowerLetter"/>
      <w:suff w:val="tab"/>
      <w:lvlText w:val="(%5)"/>
      <w:lvlJc w:val="left"/>
      <w:pPr>
        <w:ind w:hanging="360" w:left="1800"/>
      </w:pPr>
      <w:rPr/>
    </w:lvl>
    <w:lvl w:ilvl="5" w:tplc="CD387BFC">
      <w:start w:val="1"/>
      <w:numFmt w:val="lowerRoman"/>
      <w:suff w:val="tab"/>
      <w:lvlText w:val="(%6)"/>
      <w:lvlJc w:val="left"/>
      <w:pPr>
        <w:ind w:hanging="360" w:left="2160"/>
      </w:pPr>
      <w:rPr/>
    </w:lvl>
    <w:lvl w:ilvl="6" w:tplc="04C67978">
      <w:start w:val="1"/>
      <w:numFmt w:val="decimal"/>
      <w:suff w:val="tab"/>
      <w:lvlText w:val="%7."/>
      <w:lvlJc w:val="left"/>
      <w:pPr>
        <w:ind w:hanging="360" w:left="2520"/>
      </w:pPr>
      <w:rPr/>
    </w:lvl>
    <w:lvl w:ilvl="7" w:tplc="73B4446A">
      <w:start w:val="1"/>
      <w:numFmt w:val="lowerLetter"/>
      <w:suff w:val="tab"/>
      <w:lvlText w:val="%8."/>
      <w:lvlJc w:val="left"/>
      <w:pPr>
        <w:ind w:hanging="360" w:left="2880"/>
      </w:pPr>
      <w:rPr/>
    </w:lvl>
    <w:lvl w:ilvl="8" w:tplc="01768C80">
      <w:start w:val="1"/>
      <w:numFmt w:val="lowerRoman"/>
      <w:suff w:val="tab"/>
      <w:lvlText w:val="%9."/>
      <w:lvlJc w:val="left"/>
      <w:pPr>
        <w:ind w:hanging="360" w:left="3240"/>
      </w:pPr>
      <w:rPr/>
    </w:lvl>
  </w:abstractNum>
  <w:abstractNum w:abstractNumId="40">
    <w:nsid w:val="607248C1"/>
    <w:multiLevelType w:val="hybridMultilevel"/>
    <w:lvl w:ilvl="0" w:tplc="A678B576">
      <w:start w:val="1"/>
      <w:numFmt w:val="decimal"/>
      <w:suff w:val="tab"/>
      <w:lvlText w:val="%1)"/>
      <w:lvlJc w:val="left"/>
      <w:pPr>
        <w:ind w:hanging="360" w:left="360"/>
      </w:pPr>
      <w:rPr/>
    </w:lvl>
    <w:lvl w:ilvl="1" w:tplc="2804754A">
      <w:start w:val="1"/>
      <w:numFmt w:val="lowerLetter"/>
      <w:suff w:val="tab"/>
      <w:lvlText w:val="%2)"/>
      <w:lvlJc w:val="left"/>
      <w:pPr>
        <w:ind w:hanging="360" w:left="720"/>
      </w:pPr>
      <w:rPr/>
    </w:lvl>
    <w:lvl w:ilvl="2" w:tplc="FFEA3E9C">
      <w:start w:val="1"/>
      <w:numFmt w:val="lowerRoman"/>
      <w:suff w:val="tab"/>
      <w:lvlText w:val="%3)"/>
      <w:lvlJc w:val="left"/>
      <w:pPr>
        <w:ind w:hanging="360" w:left="1080"/>
      </w:pPr>
      <w:rPr/>
    </w:lvl>
    <w:lvl w:ilvl="3" w:tplc="3006A46C">
      <w:start w:val="1"/>
      <w:numFmt w:val="decimal"/>
      <w:suff w:val="tab"/>
      <w:lvlText w:val="(%4)"/>
      <w:lvlJc w:val="left"/>
      <w:pPr>
        <w:ind w:hanging="360" w:left="1440"/>
      </w:pPr>
      <w:rPr/>
    </w:lvl>
    <w:lvl w:ilvl="4" w:tplc="56B84534">
      <w:start w:val="1"/>
      <w:numFmt w:val="lowerLetter"/>
      <w:suff w:val="tab"/>
      <w:lvlText w:val="(%5)"/>
      <w:lvlJc w:val="left"/>
      <w:pPr>
        <w:ind w:hanging="360" w:left="1800"/>
      </w:pPr>
      <w:rPr/>
    </w:lvl>
    <w:lvl w:ilvl="5" w:tplc="697881E8">
      <w:start w:val="1"/>
      <w:numFmt w:val="lowerRoman"/>
      <w:suff w:val="tab"/>
      <w:lvlText w:val="(%6)"/>
      <w:lvlJc w:val="left"/>
      <w:pPr>
        <w:ind w:hanging="360" w:left="2160"/>
      </w:pPr>
      <w:rPr/>
    </w:lvl>
    <w:lvl w:ilvl="6" w:tplc="313C130A">
      <w:start w:val="1"/>
      <w:numFmt w:val="decimal"/>
      <w:suff w:val="tab"/>
      <w:lvlText w:val="%7."/>
      <w:lvlJc w:val="left"/>
      <w:pPr>
        <w:ind w:hanging="360" w:left="2520"/>
      </w:pPr>
      <w:rPr/>
    </w:lvl>
    <w:lvl w:ilvl="7" w:tplc="D8C476E2">
      <w:start w:val="1"/>
      <w:numFmt w:val="lowerLetter"/>
      <w:suff w:val="tab"/>
      <w:lvlText w:val="%8."/>
      <w:lvlJc w:val="left"/>
      <w:pPr>
        <w:ind w:hanging="360" w:left="2880"/>
      </w:pPr>
      <w:rPr/>
    </w:lvl>
    <w:lvl w:ilvl="8" w:tplc="271E28AE">
      <w:start w:val="1"/>
      <w:numFmt w:val="lowerRoman"/>
      <w:suff w:val="tab"/>
      <w:lvlText w:val="%9."/>
      <w:lvlJc w:val="left"/>
      <w:pPr>
        <w:ind w:hanging="360" w:left="3240"/>
      </w:pPr>
      <w:rPr/>
    </w:lvl>
  </w:abstractNum>
  <w:abstractNum w:abstractNumId="41">
    <w:nsid w:val="636451EC"/>
    <w:multiLevelType w:val="hybridMultilevel"/>
    <w:lvl w:ilvl="0" w:tplc="17463D54">
      <w:start w:val="1"/>
      <w:numFmt w:val="bullet"/>
      <w:suff w:val="tab"/>
      <w:lvlText w:val=""/>
      <w:lvlJc w:val="left"/>
      <w:pPr>
        <w:ind w:hanging="397" w:left="397"/>
        <w:tabs>
          <w:tab w:val="num" w:pos="397" w:leader="none"/>
        </w:tabs>
      </w:pPr>
      <w:rPr>
        <w:rFonts w:ascii="Symbol" w:hAnsi="Symbol" w:hint="default"/>
        <w:color w:val="auto"/>
      </w:rPr>
    </w:lvl>
    <w:lvl w:ilvl="1" w:tplc="082824FC">
      <w:start w:val="1"/>
      <w:numFmt w:val="none"/>
      <w:suff w:val="tab"/>
      <w:lvlText w:val="%2-"/>
      <w:lvlJc w:val="left"/>
      <w:pPr>
        <w:ind w:hanging="397" w:left="794"/>
        <w:tabs>
          <w:tab w:val="num" w:pos="737" w:leader="none"/>
        </w:tabs>
      </w:pPr>
      <w:rPr>
        <w:rFonts w:ascii="Arial" w:hAnsi="Arial" w:cs="Arial" w:hint="default"/>
      </w:rPr>
    </w:lvl>
    <w:lvl w:ilvl="2" w:tplc="2B6C15E8">
      <w:start w:val="1"/>
      <w:numFmt w:val="none"/>
      <w:suff w:val="tab"/>
      <w:lvlText w:val="%3-"/>
      <w:lvlJc w:val="left"/>
      <w:pPr>
        <w:ind w:hanging="397" w:left="1191"/>
        <w:tabs>
          <w:tab w:val="num" w:pos="1021" w:leader="none"/>
        </w:tabs>
      </w:pPr>
      <w:rPr>
        <w:rFonts w:ascii="Arial" w:hAnsi="Arial" w:cs="Arial" w:hint="default"/>
      </w:rPr>
    </w:lvl>
    <w:lvl w:ilvl="3" w:tplc="E4368836">
      <w:start w:val="1"/>
      <w:numFmt w:val="bullet"/>
      <w:suff w:val="tab"/>
      <w:lvlText w:val="-"/>
      <w:lvlJc w:val="left"/>
      <w:pPr>
        <w:ind w:hanging="397" w:left="1588"/>
        <w:tabs>
          <w:tab w:val="num" w:pos="1305" w:leader="none"/>
        </w:tabs>
      </w:pPr>
      <w:rPr>
        <w:rFonts w:ascii="Arial" w:hAnsi="Arial" w:hint="default"/>
      </w:rPr>
    </w:lvl>
    <w:lvl w:ilvl="4" w:tplc="F54C1F0C">
      <w:start w:val="1"/>
      <w:numFmt w:val="none"/>
      <w:suff w:val="tab"/>
      <w:lvlText w:val="%5-"/>
      <w:lvlJc w:val="left"/>
      <w:pPr>
        <w:ind w:hanging="397" w:left="1985"/>
        <w:tabs>
          <w:tab w:val="num" w:pos="1589" w:leader="none"/>
        </w:tabs>
      </w:pPr>
      <w:rPr>
        <w:rFonts w:ascii="Arial" w:hAnsi="Arial" w:cs="Arial" w:hint="default"/>
      </w:rPr>
    </w:lvl>
    <w:lvl w:ilvl="5" w:tplc="6ABE6BD0">
      <w:start w:val="1"/>
      <w:numFmt w:val="none"/>
      <w:suff w:val="tab"/>
      <w:lvlText w:val="%6-"/>
      <w:lvlJc w:val="left"/>
      <w:pPr>
        <w:ind w:hanging="396" w:left="2381"/>
        <w:tabs>
          <w:tab w:val="num" w:pos="1985" w:leader="none"/>
        </w:tabs>
      </w:pPr>
      <w:rPr>
        <w:rFonts w:ascii="Arial" w:hAnsi="Arial" w:cs="Arial" w:hint="default"/>
      </w:rPr>
    </w:lvl>
    <w:lvl w:ilvl="6" w:tplc="A7B07A12">
      <w:start w:val="1"/>
      <w:numFmt w:val="none"/>
      <w:suff w:val="tab"/>
      <w:lvlText w:val="-"/>
      <w:lvlJc w:val="left"/>
      <w:pPr>
        <w:ind w:hanging="397" w:left="2778"/>
        <w:tabs>
          <w:tab w:val="num" w:pos="2381" w:leader="none"/>
        </w:tabs>
      </w:pPr>
      <w:rPr>
        <w:rFonts w:hint="default"/>
      </w:rPr>
    </w:lvl>
    <w:lvl w:ilvl="7" w:tplc="7E1ED75E">
      <w:start w:val="1"/>
      <w:numFmt w:val="none"/>
      <w:suff w:val="tab"/>
      <w:lvlText w:val="%8-"/>
      <w:lvlJc w:val="left"/>
      <w:pPr>
        <w:ind w:hanging="397" w:left="3175"/>
        <w:tabs>
          <w:tab w:val="num" w:pos="2778" w:leader="none"/>
        </w:tabs>
      </w:pPr>
      <w:rPr>
        <w:rFonts w:ascii="Arial" w:hAnsi="Arial" w:cs="Arial" w:hint="default"/>
      </w:rPr>
    </w:lvl>
    <w:lvl w:ilvl="8" w:tplc="BCAA3EE4">
      <w:start w:val="1"/>
      <w:numFmt w:val="none"/>
      <w:suff w:val="tab"/>
      <w:lvlText w:val=""/>
      <w:lvlJc w:val="left"/>
      <w:pPr>
        <w:ind w:hanging="397" w:left="3572"/>
        <w:tabs>
          <w:tab w:val="num" w:pos="3175" w:leader="none"/>
        </w:tabs>
      </w:pPr>
      <w:rPr>
        <w:rFonts w:hint="default"/>
      </w:rPr>
    </w:lvl>
  </w:abstractNum>
  <w:abstractNum w:abstractNumId="42">
    <w:nsid w:val="64A427C0"/>
    <w:multiLevelType w:val="hybridMultilevel"/>
    <w:lvl w:ilvl="0" w:tplc="1100A658">
      <w:start w:val="1"/>
      <w:numFmt w:val="decimal"/>
      <w:suff w:val="tab"/>
      <w:lvlText w:val="%1)"/>
      <w:lvlJc w:val="left"/>
      <w:pPr>
        <w:ind w:hanging="360" w:left="360"/>
      </w:pPr>
      <w:rPr/>
    </w:lvl>
    <w:lvl w:ilvl="1" w:tplc="2668B87E">
      <w:start w:val="1"/>
      <w:numFmt w:val="lowerLetter"/>
      <w:suff w:val="tab"/>
      <w:lvlText w:val="%2)"/>
      <w:lvlJc w:val="left"/>
      <w:pPr>
        <w:ind w:hanging="360" w:left="720"/>
      </w:pPr>
      <w:rPr/>
    </w:lvl>
    <w:lvl w:ilvl="2" w:tplc="6B368412">
      <w:start w:val="1"/>
      <w:numFmt w:val="lowerRoman"/>
      <w:suff w:val="tab"/>
      <w:lvlText w:val="%3)"/>
      <w:lvlJc w:val="left"/>
      <w:pPr>
        <w:ind w:hanging="360" w:left="1080"/>
      </w:pPr>
      <w:rPr/>
    </w:lvl>
    <w:lvl w:ilvl="3" w:tplc="15024982">
      <w:start w:val="1"/>
      <w:numFmt w:val="decimal"/>
      <w:suff w:val="tab"/>
      <w:lvlText w:val="(%4)"/>
      <w:lvlJc w:val="left"/>
      <w:pPr>
        <w:ind w:hanging="360" w:left="1440"/>
      </w:pPr>
      <w:rPr/>
    </w:lvl>
    <w:lvl w:ilvl="4" w:tplc="764E0D2E">
      <w:start w:val="1"/>
      <w:numFmt w:val="lowerLetter"/>
      <w:suff w:val="tab"/>
      <w:lvlText w:val="(%5)"/>
      <w:lvlJc w:val="left"/>
      <w:pPr>
        <w:ind w:hanging="360" w:left="1800"/>
      </w:pPr>
      <w:rPr/>
    </w:lvl>
    <w:lvl w:ilvl="5" w:tplc="07A82428">
      <w:start w:val="1"/>
      <w:numFmt w:val="lowerRoman"/>
      <w:suff w:val="tab"/>
      <w:lvlText w:val="(%6)"/>
      <w:lvlJc w:val="left"/>
      <w:pPr>
        <w:ind w:hanging="360" w:left="2160"/>
      </w:pPr>
      <w:rPr/>
    </w:lvl>
    <w:lvl w:ilvl="6" w:tplc="61009DD6">
      <w:start w:val="1"/>
      <w:numFmt w:val="decimal"/>
      <w:suff w:val="tab"/>
      <w:lvlText w:val="%7."/>
      <w:lvlJc w:val="left"/>
      <w:pPr>
        <w:ind w:hanging="360" w:left="2520"/>
      </w:pPr>
      <w:rPr/>
    </w:lvl>
    <w:lvl w:ilvl="7" w:tplc="827C42A8">
      <w:start w:val="1"/>
      <w:numFmt w:val="lowerLetter"/>
      <w:suff w:val="tab"/>
      <w:lvlText w:val="%8."/>
      <w:lvlJc w:val="left"/>
      <w:pPr>
        <w:ind w:hanging="360" w:left="2880"/>
      </w:pPr>
      <w:rPr/>
    </w:lvl>
    <w:lvl w:ilvl="8" w:tplc="7A467478">
      <w:start w:val="1"/>
      <w:numFmt w:val="lowerRoman"/>
      <w:suff w:val="tab"/>
      <w:lvlText w:val="%9."/>
      <w:lvlJc w:val="left"/>
      <w:pPr>
        <w:ind w:hanging="360" w:left="3240"/>
      </w:pPr>
      <w:rPr/>
    </w:lvl>
  </w:abstractNum>
  <w:abstractNum w:abstractNumId="43">
    <w:nsid w:val="64CD49B7"/>
    <w:multiLevelType w:val="hybridMultilevel"/>
    <w:tmpl w:val="0409001D"/>
    <w:numStyleLink w:val="N1"/>
  </w:abstractNum>
  <w:abstractNum w:abstractNumId="44">
    <w:nsid w:val="64F54B07"/>
    <w:multiLevelType w:val="hybridMultilevel"/>
    <w:tmpl w:val="0409001D"/>
    <w:numStyleLink w:val="N1"/>
  </w:abstractNum>
  <w:abstractNum w:abstractNumId="45">
    <w:nsid w:val="65B21E75"/>
    <w:multiLevelType w:val="hybridMultilevel"/>
    <w:lvl w:ilvl="0" w:tplc="79C2AC04">
      <w:start w:val="1"/>
      <w:numFmt w:val="decimal"/>
      <w:suff w:val="tab"/>
      <w:lvlText w:val="%1)"/>
      <w:lvlJc w:val="left"/>
      <w:pPr>
        <w:ind w:hanging="360" w:left="360"/>
      </w:pPr>
      <w:rPr/>
    </w:lvl>
    <w:lvl w:ilvl="1" w:tplc="9DE613EA">
      <w:start w:val="1"/>
      <w:numFmt w:val="lowerLetter"/>
      <w:suff w:val="tab"/>
      <w:lvlText w:val="%2)"/>
      <w:lvlJc w:val="left"/>
      <w:pPr>
        <w:ind w:hanging="360" w:left="720"/>
      </w:pPr>
      <w:rPr/>
    </w:lvl>
    <w:lvl w:ilvl="2" w:tplc="69821EDE">
      <w:start w:val="1"/>
      <w:numFmt w:val="lowerRoman"/>
      <w:suff w:val="tab"/>
      <w:lvlText w:val="%3)"/>
      <w:lvlJc w:val="left"/>
      <w:pPr>
        <w:ind w:hanging="360" w:left="1080"/>
      </w:pPr>
      <w:rPr/>
    </w:lvl>
    <w:lvl w:ilvl="3" w:tplc="730E5FCC">
      <w:start w:val="1"/>
      <w:numFmt w:val="decimal"/>
      <w:suff w:val="tab"/>
      <w:lvlText w:val="(%4)"/>
      <w:lvlJc w:val="left"/>
      <w:pPr>
        <w:ind w:hanging="360" w:left="1440"/>
      </w:pPr>
      <w:rPr/>
    </w:lvl>
    <w:lvl w:ilvl="4" w:tplc="80E69D0E">
      <w:start w:val="1"/>
      <w:numFmt w:val="lowerLetter"/>
      <w:suff w:val="tab"/>
      <w:lvlText w:val="(%5)"/>
      <w:lvlJc w:val="left"/>
      <w:pPr>
        <w:ind w:hanging="360" w:left="1800"/>
      </w:pPr>
      <w:rPr/>
    </w:lvl>
    <w:lvl w:ilvl="5" w:tplc="D06660F6">
      <w:start w:val="1"/>
      <w:numFmt w:val="lowerRoman"/>
      <w:suff w:val="tab"/>
      <w:lvlText w:val="(%6)"/>
      <w:lvlJc w:val="left"/>
      <w:pPr>
        <w:ind w:hanging="360" w:left="2160"/>
      </w:pPr>
      <w:rPr/>
    </w:lvl>
    <w:lvl w:ilvl="6" w:tplc="4A5C1254">
      <w:start w:val="1"/>
      <w:numFmt w:val="decimal"/>
      <w:suff w:val="tab"/>
      <w:lvlText w:val="%7."/>
      <w:lvlJc w:val="left"/>
      <w:pPr>
        <w:ind w:hanging="360" w:left="2520"/>
      </w:pPr>
      <w:rPr/>
    </w:lvl>
    <w:lvl w:ilvl="7" w:tplc="A2F2B238">
      <w:start w:val="1"/>
      <w:numFmt w:val="lowerLetter"/>
      <w:suff w:val="tab"/>
      <w:lvlText w:val="%8."/>
      <w:lvlJc w:val="left"/>
      <w:pPr>
        <w:ind w:hanging="360" w:left="2880"/>
      </w:pPr>
      <w:rPr/>
    </w:lvl>
    <w:lvl w:ilvl="8" w:tplc="A5D42552">
      <w:start w:val="1"/>
      <w:numFmt w:val="lowerRoman"/>
      <w:suff w:val="tab"/>
      <w:lvlText w:val="%9."/>
      <w:lvlJc w:val="left"/>
      <w:pPr>
        <w:ind w:hanging="360" w:left="3240"/>
      </w:pPr>
      <w:rPr/>
    </w:lvl>
  </w:abstractNum>
  <w:abstractNum w:abstractNumId="46">
    <w:nsid w:val="65EF5ADC"/>
    <w:multiLevelType w:val="hybridMultilevel"/>
    <w:lvl w:ilvl="0" w:tplc="077A2F2A">
      <w:start w:val="1"/>
      <w:numFmt w:val="decimal"/>
      <w:suff w:val="tab"/>
      <w:lvlText w:val="%1)"/>
      <w:lvlJc w:val="left"/>
      <w:pPr>
        <w:ind w:hanging="360" w:left="360"/>
      </w:pPr>
      <w:rPr/>
    </w:lvl>
    <w:lvl w:ilvl="1" w:tplc="ED72C09A">
      <w:start w:val="1"/>
      <w:numFmt w:val="lowerLetter"/>
      <w:suff w:val="tab"/>
      <w:lvlText w:val="%2)"/>
      <w:lvlJc w:val="left"/>
      <w:pPr>
        <w:ind w:hanging="360" w:left="720"/>
      </w:pPr>
      <w:rPr/>
    </w:lvl>
    <w:lvl w:ilvl="2" w:tplc="580A080A">
      <w:start w:val="1"/>
      <w:numFmt w:val="lowerRoman"/>
      <w:suff w:val="tab"/>
      <w:lvlText w:val="%3)"/>
      <w:lvlJc w:val="left"/>
      <w:pPr>
        <w:ind w:hanging="360" w:left="1080"/>
      </w:pPr>
      <w:rPr/>
    </w:lvl>
    <w:lvl w:ilvl="3" w:tplc="C1CC3D2E">
      <w:start w:val="1"/>
      <w:numFmt w:val="decimal"/>
      <w:suff w:val="tab"/>
      <w:lvlText w:val="(%4)"/>
      <w:lvlJc w:val="left"/>
      <w:pPr>
        <w:ind w:hanging="360" w:left="1440"/>
      </w:pPr>
      <w:rPr/>
    </w:lvl>
    <w:lvl w:ilvl="4" w:tplc="78B64186">
      <w:start w:val="1"/>
      <w:numFmt w:val="lowerLetter"/>
      <w:suff w:val="tab"/>
      <w:lvlText w:val="(%5)"/>
      <w:lvlJc w:val="left"/>
      <w:pPr>
        <w:ind w:hanging="360" w:left="1800"/>
      </w:pPr>
      <w:rPr/>
    </w:lvl>
    <w:lvl w:ilvl="5" w:tplc="2B3E5348">
      <w:start w:val="1"/>
      <w:numFmt w:val="lowerRoman"/>
      <w:suff w:val="tab"/>
      <w:lvlText w:val="(%6)"/>
      <w:lvlJc w:val="left"/>
      <w:pPr>
        <w:ind w:hanging="360" w:left="2160"/>
      </w:pPr>
      <w:rPr/>
    </w:lvl>
    <w:lvl w:ilvl="6" w:tplc="85B6F9DC">
      <w:start w:val="1"/>
      <w:numFmt w:val="decimal"/>
      <w:suff w:val="tab"/>
      <w:lvlText w:val="%7."/>
      <w:lvlJc w:val="left"/>
      <w:pPr>
        <w:ind w:hanging="360" w:left="2520"/>
      </w:pPr>
      <w:rPr/>
    </w:lvl>
    <w:lvl w:ilvl="7" w:tplc="2F0C28B2">
      <w:start w:val="1"/>
      <w:numFmt w:val="lowerLetter"/>
      <w:suff w:val="tab"/>
      <w:lvlText w:val="%8."/>
      <w:lvlJc w:val="left"/>
      <w:pPr>
        <w:ind w:hanging="360" w:left="2880"/>
      </w:pPr>
      <w:rPr/>
    </w:lvl>
    <w:lvl w:ilvl="8" w:tplc="8AB4B0EA">
      <w:start w:val="1"/>
      <w:numFmt w:val="lowerRoman"/>
      <w:suff w:val="tab"/>
      <w:lvlText w:val="%9."/>
      <w:lvlJc w:val="left"/>
      <w:pPr>
        <w:ind w:hanging="360" w:left="3240"/>
      </w:pPr>
      <w:rPr/>
    </w:lvl>
  </w:abstractNum>
  <w:abstractNum w:abstractNumId="47">
    <w:nsid w:val="675E4D18"/>
    <w:multiLevelType w:val="hybridMultilevel"/>
    <w:lvl w:ilvl="0" w:tplc="81B46306">
      <w:start w:val="1"/>
      <w:numFmt w:val="decimal"/>
      <w:suff w:val="tab"/>
      <w:lvlText w:val="%1)"/>
      <w:lvlJc w:val="left"/>
      <w:pPr>
        <w:ind w:hanging="360" w:left="360"/>
      </w:pPr>
      <w:rPr/>
    </w:lvl>
    <w:lvl w:ilvl="1" w:tplc="5F12BAF2">
      <w:start w:val="1"/>
      <w:numFmt w:val="lowerLetter"/>
      <w:suff w:val="tab"/>
      <w:lvlText w:val="%2)"/>
      <w:lvlJc w:val="left"/>
      <w:pPr>
        <w:ind w:hanging="360" w:left="720"/>
      </w:pPr>
      <w:rPr/>
    </w:lvl>
    <w:lvl w:ilvl="2" w:tplc="4B2C3C28">
      <w:start w:val="1"/>
      <w:numFmt w:val="lowerRoman"/>
      <w:suff w:val="tab"/>
      <w:lvlText w:val="%3)"/>
      <w:lvlJc w:val="left"/>
      <w:pPr>
        <w:ind w:hanging="360" w:left="1080"/>
      </w:pPr>
      <w:rPr/>
    </w:lvl>
    <w:lvl w:ilvl="3" w:tplc="5F34D96C">
      <w:start w:val="1"/>
      <w:numFmt w:val="decimal"/>
      <w:suff w:val="tab"/>
      <w:lvlText w:val="(%4)"/>
      <w:lvlJc w:val="left"/>
      <w:pPr>
        <w:ind w:hanging="360" w:left="1440"/>
      </w:pPr>
      <w:rPr/>
    </w:lvl>
    <w:lvl w:ilvl="4" w:tplc="7ED2B2CA">
      <w:start w:val="1"/>
      <w:numFmt w:val="lowerLetter"/>
      <w:suff w:val="tab"/>
      <w:lvlText w:val="(%5)"/>
      <w:lvlJc w:val="left"/>
      <w:pPr>
        <w:ind w:hanging="360" w:left="1800"/>
      </w:pPr>
      <w:rPr/>
    </w:lvl>
    <w:lvl w:ilvl="5" w:tplc="8620F5DC">
      <w:start w:val="1"/>
      <w:numFmt w:val="lowerRoman"/>
      <w:suff w:val="tab"/>
      <w:lvlText w:val="(%6)"/>
      <w:lvlJc w:val="left"/>
      <w:pPr>
        <w:ind w:hanging="360" w:left="2160"/>
      </w:pPr>
      <w:rPr/>
    </w:lvl>
    <w:lvl w:ilvl="6" w:tplc="83420DC0">
      <w:start w:val="1"/>
      <w:numFmt w:val="decimal"/>
      <w:suff w:val="tab"/>
      <w:lvlText w:val="%7."/>
      <w:lvlJc w:val="left"/>
      <w:pPr>
        <w:ind w:hanging="360" w:left="2520"/>
      </w:pPr>
      <w:rPr/>
    </w:lvl>
    <w:lvl w:ilvl="7" w:tplc="C5DABD02">
      <w:start w:val="1"/>
      <w:numFmt w:val="lowerLetter"/>
      <w:suff w:val="tab"/>
      <w:lvlText w:val="%8."/>
      <w:lvlJc w:val="left"/>
      <w:pPr>
        <w:ind w:hanging="360" w:left="2880"/>
      </w:pPr>
      <w:rPr/>
    </w:lvl>
    <w:lvl w:ilvl="8" w:tplc="8EE43F20">
      <w:start w:val="1"/>
      <w:numFmt w:val="lowerRoman"/>
      <w:suff w:val="tab"/>
      <w:lvlText w:val="%9."/>
      <w:lvlJc w:val="left"/>
      <w:pPr>
        <w:ind w:hanging="360" w:left="3240"/>
      </w:pPr>
      <w:rPr/>
    </w:lvl>
  </w:abstractNum>
  <w:abstractNum w:abstractNumId="48">
    <w:nsid w:val="676A1F06"/>
    <w:multiLevelType w:val="hybridMultilevel"/>
    <w:lvl w:ilvl="0" w:tplc="041D0001">
      <w:start w:val="1"/>
      <w:numFmt w:val="bullet"/>
      <w:suff w:val="tab"/>
      <w:lvlText w:val=""/>
      <w:lvlJc w:val="left"/>
      <w:pPr>
        <w:ind w:hanging="360" w:left="720"/>
      </w:pPr>
      <w:rPr>
        <w:rFonts w:ascii="Symbol" w:hAnsi="Symbol" w:hint="default"/>
      </w:rPr>
    </w:lvl>
    <w:lvl w:ilvl="1" w:tplc="041D0003">
      <w:start w:val="1"/>
      <w:numFmt w:val="bullet"/>
      <w:suff w:val="tab"/>
      <w:lvlText w:val="o"/>
      <w:lvlJc w:val="left"/>
      <w:pPr>
        <w:ind w:hanging="360" w:left="1440"/>
      </w:pPr>
      <w:rPr>
        <w:rFonts w:ascii="Courier New" w:hAnsi="Courier New" w:cs="Courier New" w:hint="default"/>
      </w:rPr>
    </w:lvl>
    <w:lvl w:ilvl="2" w:tplc="041D0005">
      <w:start w:val="1"/>
      <w:numFmt w:val="bullet"/>
      <w:suff w:val="tab"/>
      <w:lvlText w:val=""/>
      <w:lvlJc w:val="left"/>
      <w:pPr>
        <w:ind w:hanging="360" w:left="2160"/>
      </w:pPr>
      <w:rPr>
        <w:rFonts w:ascii="Wingdings" w:hAnsi="Wingdings" w:hint="default"/>
      </w:rPr>
    </w:lvl>
    <w:lvl w:ilvl="3" w:tplc="041D0001">
      <w:start w:val="1"/>
      <w:numFmt w:val="bullet"/>
      <w:suff w:val="tab"/>
      <w:lvlText w:val=""/>
      <w:lvlJc w:val="left"/>
      <w:pPr>
        <w:ind w:hanging="360" w:left="2880"/>
      </w:pPr>
      <w:rPr>
        <w:rFonts w:ascii="Symbol" w:hAnsi="Symbol" w:hint="default"/>
      </w:rPr>
    </w:lvl>
    <w:lvl w:ilvl="4" w:tplc="041D0003">
      <w:start w:val="1"/>
      <w:numFmt w:val="bullet"/>
      <w:suff w:val="tab"/>
      <w:lvlText w:val="o"/>
      <w:lvlJc w:val="left"/>
      <w:pPr>
        <w:ind w:hanging="360" w:left="3600"/>
      </w:pPr>
      <w:rPr>
        <w:rFonts w:ascii="Courier New" w:hAnsi="Courier New" w:cs="Courier New" w:hint="default"/>
      </w:rPr>
    </w:lvl>
    <w:lvl w:ilvl="5" w:tplc="041D0005">
      <w:start w:val="1"/>
      <w:numFmt w:val="bullet"/>
      <w:suff w:val="tab"/>
      <w:lvlText w:val=""/>
      <w:lvlJc w:val="left"/>
      <w:pPr>
        <w:ind w:hanging="360" w:left="4320"/>
      </w:pPr>
      <w:rPr>
        <w:rFonts w:ascii="Wingdings" w:hAnsi="Wingdings" w:hint="default"/>
      </w:rPr>
    </w:lvl>
    <w:lvl w:ilvl="6" w:tplc="041D0001">
      <w:start w:val="1"/>
      <w:numFmt w:val="bullet"/>
      <w:suff w:val="tab"/>
      <w:lvlText w:val=""/>
      <w:lvlJc w:val="left"/>
      <w:pPr>
        <w:ind w:hanging="360" w:left="5040"/>
      </w:pPr>
      <w:rPr>
        <w:rFonts w:ascii="Symbol" w:hAnsi="Symbol" w:hint="default"/>
      </w:rPr>
    </w:lvl>
    <w:lvl w:ilvl="7" w:tplc="041D0003">
      <w:start w:val="1"/>
      <w:numFmt w:val="bullet"/>
      <w:suff w:val="tab"/>
      <w:lvlText w:val="o"/>
      <w:lvlJc w:val="left"/>
      <w:pPr>
        <w:ind w:hanging="360" w:left="5760"/>
      </w:pPr>
      <w:rPr>
        <w:rFonts w:ascii="Courier New" w:hAnsi="Courier New" w:cs="Courier New" w:hint="default"/>
      </w:rPr>
    </w:lvl>
    <w:lvl w:ilvl="8" w:tplc="041D0005">
      <w:start w:val="1"/>
      <w:numFmt w:val="bullet"/>
      <w:suff w:val="tab"/>
      <w:lvlText w:val=""/>
      <w:lvlJc w:val="left"/>
      <w:pPr>
        <w:ind w:hanging="360" w:left="6480"/>
      </w:pPr>
      <w:rPr>
        <w:rFonts w:ascii="Wingdings" w:hAnsi="Wingdings" w:hint="default"/>
      </w:rPr>
    </w:lvl>
  </w:abstractNum>
  <w:abstractNum w:abstractNumId="49">
    <w:nsid w:val="67DA63E3"/>
    <w:multiLevelType w:val="hybridMultilevel"/>
    <w:lvl w:ilvl="0" w:tplc="07EEB204">
      <w:start w:val="1"/>
      <w:numFmt w:val="decimal"/>
      <w:suff w:val="tab"/>
      <w:lvlText w:val="%1)"/>
      <w:lvlJc w:val="left"/>
      <w:pPr>
        <w:ind w:hanging="360" w:left="360"/>
      </w:pPr>
      <w:rPr/>
    </w:lvl>
    <w:lvl w:ilvl="1" w:tplc="DAFA5D28">
      <w:start w:val="1"/>
      <w:numFmt w:val="lowerLetter"/>
      <w:suff w:val="tab"/>
      <w:lvlText w:val="%2)"/>
      <w:lvlJc w:val="left"/>
      <w:pPr>
        <w:ind w:hanging="360" w:left="720"/>
      </w:pPr>
      <w:rPr/>
    </w:lvl>
    <w:lvl w:ilvl="2" w:tplc="22F6784A">
      <w:start w:val="1"/>
      <w:numFmt w:val="lowerRoman"/>
      <w:suff w:val="tab"/>
      <w:lvlText w:val="%3)"/>
      <w:lvlJc w:val="left"/>
      <w:pPr>
        <w:ind w:hanging="360" w:left="1080"/>
      </w:pPr>
      <w:rPr/>
    </w:lvl>
    <w:lvl w:ilvl="3" w:tplc="3698B9E2">
      <w:start w:val="1"/>
      <w:numFmt w:val="decimal"/>
      <w:suff w:val="tab"/>
      <w:lvlText w:val="(%4)"/>
      <w:lvlJc w:val="left"/>
      <w:pPr>
        <w:ind w:hanging="360" w:left="1440"/>
      </w:pPr>
      <w:rPr/>
    </w:lvl>
    <w:lvl w:ilvl="4" w:tplc="B6C4FA9A">
      <w:start w:val="1"/>
      <w:numFmt w:val="lowerLetter"/>
      <w:suff w:val="tab"/>
      <w:lvlText w:val="(%5)"/>
      <w:lvlJc w:val="left"/>
      <w:pPr>
        <w:ind w:hanging="360" w:left="1800"/>
      </w:pPr>
      <w:rPr/>
    </w:lvl>
    <w:lvl w:ilvl="5" w:tplc="9AAC37EE">
      <w:start w:val="1"/>
      <w:numFmt w:val="lowerRoman"/>
      <w:suff w:val="tab"/>
      <w:lvlText w:val="(%6)"/>
      <w:lvlJc w:val="left"/>
      <w:pPr>
        <w:ind w:hanging="360" w:left="2160"/>
      </w:pPr>
      <w:rPr/>
    </w:lvl>
    <w:lvl w:ilvl="6" w:tplc="177C68F4">
      <w:start w:val="1"/>
      <w:numFmt w:val="decimal"/>
      <w:suff w:val="tab"/>
      <w:lvlText w:val="%7."/>
      <w:lvlJc w:val="left"/>
      <w:pPr>
        <w:ind w:hanging="360" w:left="2520"/>
      </w:pPr>
      <w:rPr/>
    </w:lvl>
    <w:lvl w:ilvl="7" w:tplc="BCD60DD2">
      <w:start w:val="1"/>
      <w:numFmt w:val="lowerLetter"/>
      <w:suff w:val="tab"/>
      <w:lvlText w:val="%8."/>
      <w:lvlJc w:val="left"/>
      <w:pPr>
        <w:ind w:hanging="360" w:left="2880"/>
      </w:pPr>
      <w:rPr/>
    </w:lvl>
    <w:lvl w:ilvl="8" w:tplc="70B68760">
      <w:start w:val="1"/>
      <w:numFmt w:val="lowerRoman"/>
      <w:suff w:val="tab"/>
      <w:lvlText w:val="%9."/>
      <w:lvlJc w:val="left"/>
      <w:pPr>
        <w:ind w:hanging="360" w:left="3240"/>
      </w:pPr>
      <w:rPr/>
    </w:lvl>
  </w:abstractNum>
  <w:abstractNum w:abstractNumId="50">
    <w:nsid w:val="6E1A2E51"/>
    <w:multiLevelType w:val="hybridMultilevel"/>
    <w:tmpl w:val="0409001D"/>
    <w:styleLink w:val="N1"/>
    <w:lvl w:ilvl="0" w:tplc="AF12CEAA">
      <w:start w:val="1"/>
      <w:numFmt w:val="decimal"/>
      <w:suff w:val="tab"/>
      <w:lvlText w:val="%1."/>
      <w:lvlJc w:val="left"/>
      <w:pPr>
        <w:ind w:hanging="340" w:left="340"/>
        <w:tabs>
          <w:tab w:val="num" w:pos="340" w:leader="none"/>
        </w:tabs>
      </w:pPr>
      <w:rPr/>
    </w:lvl>
    <w:lvl w:ilvl="1" w:tplc="FCB07B38">
      <w:start w:val="1"/>
      <w:numFmt w:val="lowerLetter"/>
      <w:suff w:val="tab"/>
      <w:lvlText w:val="%2)"/>
      <w:lvlJc w:val="left"/>
      <w:pPr>
        <w:ind w:hanging="340" w:left="680"/>
        <w:tabs>
          <w:tab w:val="num" w:pos="680" w:leader="none"/>
        </w:tabs>
      </w:pPr>
      <w:rPr/>
    </w:lvl>
    <w:lvl w:ilvl="2" w:tplc="8084DEF2">
      <w:start w:val="1"/>
      <w:numFmt w:val="lowerRoman"/>
      <w:suff w:val="tab"/>
      <w:lvlText w:val="%3)"/>
      <w:lvlJc w:val="left"/>
      <w:pPr>
        <w:ind w:hanging="340" w:left="1020"/>
        <w:tabs>
          <w:tab w:val="num" w:pos="1020" w:leader="none"/>
        </w:tabs>
      </w:pPr>
      <w:rPr/>
    </w:lvl>
    <w:lvl w:ilvl="3" w:tplc="64767E54">
      <w:start w:val="1"/>
      <w:numFmt w:val="decimal"/>
      <w:suff w:val="tab"/>
      <w:lvlText w:val="%4"/>
      <w:lvlJc w:val="left"/>
      <w:pPr>
        <w:ind w:hanging="340" w:left="1360"/>
        <w:tabs>
          <w:tab w:val="num" w:pos="1360" w:leader="none"/>
        </w:tabs>
      </w:pPr>
      <w:rPr/>
    </w:lvl>
    <w:lvl w:ilvl="4" w:tplc="FAC857B0">
      <w:start w:val="1"/>
      <w:numFmt w:val="lowerLetter"/>
      <w:suff w:val="tab"/>
      <w:lvlText w:val="(%5)"/>
      <w:lvlJc w:val="left"/>
      <w:pPr>
        <w:ind w:hanging="340" w:left="1700"/>
        <w:tabs>
          <w:tab w:val="num" w:pos="1700" w:leader="none"/>
        </w:tabs>
      </w:pPr>
      <w:rPr/>
    </w:lvl>
    <w:lvl w:ilvl="5" w:tplc="713A425E">
      <w:start w:val="1"/>
      <w:numFmt w:val="lowerRoman"/>
      <w:suff w:val="tab"/>
      <w:lvlText w:val="(%6)"/>
      <w:lvlJc w:val="left"/>
      <w:pPr>
        <w:ind w:hanging="340" w:left="2040"/>
        <w:tabs>
          <w:tab w:val="num" w:pos="2040" w:leader="none"/>
        </w:tabs>
      </w:pPr>
      <w:rPr/>
    </w:lvl>
    <w:lvl w:ilvl="6" w:tplc="7274629E">
      <w:start w:val="1"/>
      <w:numFmt w:val="decimal"/>
      <w:suff w:val="tab"/>
      <w:lvlText w:val="%7."/>
      <w:lvlJc w:val="left"/>
      <w:pPr>
        <w:ind w:hanging="340" w:left="2380"/>
        <w:tabs>
          <w:tab w:val="num" w:pos="2380" w:leader="none"/>
        </w:tabs>
      </w:pPr>
      <w:rPr/>
    </w:lvl>
    <w:lvl w:ilvl="7" w:tplc="CB3C34F2">
      <w:start w:val="1"/>
      <w:numFmt w:val="lowerLetter"/>
      <w:suff w:val="tab"/>
      <w:lvlText w:val="%8."/>
      <w:lvlJc w:val="left"/>
      <w:pPr>
        <w:ind w:hanging="340" w:left="2720"/>
        <w:tabs>
          <w:tab w:val="num" w:pos="2720" w:leader="none"/>
        </w:tabs>
      </w:pPr>
      <w:rPr/>
    </w:lvl>
    <w:lvl w:ilvl="8" w:tplc="825A2E78">
      <w:start w:val="1"/>
      <w:numFmt w:val="lowerRoman"/>
      <w:suff w:val="tab"/>
      <w:lvlText w:val="%9."/>
      <w:lvlJc w:val="left"/>
      <w:pPr>
        <w:ind w:hanging="340" w:left="3060"/>
        <w:tabs>
          <w:tab w:val="num" w:pos="3060" w:leader="none"/>
        </w:tabs>
      </w:pPr>
      <w:rPr/>
    </w:lvl>
  </w:abstractNum>
  <w:abstractNum w:abstractNumId="51">
    <w:nsid w:val="7ABE24AB"/>
    <w:multiLevelType w:val="hybridMultilevel"/>
    <w:lvl w:ilvl="0" w:tplc="04720BF0">
      <w:start w:val="1"/>
      <w:numFmt w:val="bullet"/>
      <w:suff w:val="tab"/>
      <w:lvlText w:val="•"/>
      <w:lvlJc w:val="left"/>
      <w:pPr>
        <w:ind w:hanging="340" w:left="340"/>
        <w:tabs>
          <w:tab w:val="num" w:pos="340" w:leader="none"/>
        </w:tabs>
      </w:pPr>
      <w:rPr>
        <w:rFonts w:ascii="Calibri" w:hAnsi="Calibri" w:hint="default"/>
      </w:rPr>
    </w:lvl>
    <w:lvl w:ilvl="1" w:tplc="46A6C45C">
      <w:start w:val="1"/>
      <w:numFmt w:val="bullet"/>
      <w:suff w:val="tab"/>
      <w:lvlText w:val="-"/>
      <w:lvlJc w:val="left"/>
      <w:pPr>
        <w:ind w:hanging="340" w:left="680"/>
        <w:tabs>
          <w:tab w:val="num" w:pos="680" w:leader="none"/>
        </w:tabs>
      </w:pPr>
      <w:rPr>
        <w:rFonts w:ascii="Times New Roman" w:hAnsi="Times New Roman" w:cs="Times New Roman" w:hint="default"/>
        <w:sz w:val="24"/>
      </w:rPr>
    </w:lvl>
    <w:lvl w:ilvl="2" w:tplc="771838AE">
      <w:start w:val="1"/>
      <w:numFmt w:val="bullet"/>
      <w:suff w:val="tab"/>
      <w:lvlText w:val="-"/>
      <w:lvlJc w:val="left"/>
      <w:pPr>
        <w:ind w:hanging="340" w:left="1020"/>
        <w:tabs>
          <w:tab w:val="num" w:pos="1020" w:leader="none"/>
        </w:tabs>
      </w:pPr>
      <w:rPr>
        <w:rFonts w:ascii="Times New Roman" w:hAnsi="Times New Roman" w:cs="Times New Roman" w:hint="default"/>
      </w:rPr>
    </w:lvl>
    <w:lvl w:ilvl="3" w:tplc="BD20EB56">
      <w:start w:val="1"/>
      <w:numFmt w:val="bullet"/>
      <w:suff w:val="tab"/>
      <w:lvlText w:val="-"/>
      <w:lvlJc w:val="left"/>
      <w:pPr>
        <w:ind w:hanging="340" w:left="1360"/>
        <w:tabs>
          <w:tab w:val="num" w:pos="1360" w:leader="none"/>
        </w:tabs>
      </w:pPr>
      <w:rPr>
        <w:rFonts w:ascii="Times New Roman" w:hAnsi="Times New Roman" w:cs="Times New Roman" w:hint="default"/>
      </w:rPr>
    </w:lvl>
    <w:lvl w:ilvl="4" w:tplc="CDF6CC2E">
      <w:start w:val="1"/>
      <w:numFmt w:val="lowerLetter"/>
      <w:suff w:val="tab"/>
      <w:lvlText w:val="(%5)"/>
      <w:lvlJc w:val="left"/>
      <w:pPr>
        <w:ind w:hanging="340" w:left="1700"/>
        <w:tabs>
          <w:tab w:val="num" w:pos="1700" w:leader="none"/>
        </w:tabs>
      </w:pPr>
      <w:rPr>
        <w:rFonts w:hint="default"/>
      </w:rPr>
    </w:lvl>
    <w:lvl w:ilvl="5" w:tplc="967ECD00">
      <w:start w:val="1"/>
      <w:numFmt w:val="lowerRoman"/>
      <w:suff w:val="tab"/>
      <w:lvlText w:val="(%6)"/>
      <w:lvlJc w:val="left"/>
      <w:pPr>
        <w:ind w:hanging="340" w:left="2040"/>
        <w:tabs>
          <w:tab w:val="num" w:pos="2040" w:leader="none"/>
        </w:tabs>
      </w:pPr>
      <w:rPr>
        <w:rFonts w:hint="default"/>
      </w:rPr>
    </w:lvl>
    <w:lvl w:ilvl="6" w:tplc="20E0AEDA">
      <w:start w:val="1"/>
      <w:numFmt w:val="decimal"/>
      <w:suff w:val="tab"/>
      <w:lvlText w:val="%7."/>
      <w:lvlJc w:val="left"/>
      <w:pPr>
        <w:ind w:hanging="340" w:left="2380"/>
        <w:tabs>
          <w:tab w:val="num" w:pos="2380" w:leader="none"/>
        </w:tabs>
      </w:pPr>
      <w:rPr>
        <w:rFonts w:hint="default"/>
      </w:rPr>
    </w:lvl>
    <w:lvl w:ilvl="7" w:tplc="877C07B4">
      <w:start w:val="1"/>
      <w:numFmt w:val="lowerLetter"/>
      <w:suff w:val="tab"/>
      <w:lvlText w:val="%8."/>
      <w:lvlJc w:val="left"/>
      <w:pPr>
        <w:ind w:hanging="340" w:left="2720"/>
        <w:tabs>
          <w:tab w:val="num" w:pos="2720" w:leader="none"/>
        </w:tabs>
      </w:pPr>
      <w:rPr>
        <w:rFonts w:hint="default"/>
      </w:rPr>
    </w:lvl>
    <w:lvl w:ilvl="8" w:tplc="C0A64868">
      <w:start w:val="1"/>
      <w:numFmt w:val="lowerRoman"/>
      <w:suff w:val="tab"/>
      <w:lvlText w:val="%9."/>
      <w:lvlJc w:val="left"/>
      <w:pPr>
        <w:ind w:hanging="340" w:left="3060"/>
        <w:tabs>
          <w:tab w:val="num" w:pos="3060" w:leader="none"/>
        </w:tabs>
      </w:pPr>
      <w:rPr>
        <w:rFonts w:hint="default"/>
      </w:rPr>
    </w:lvl>
  </w:abstractNum>
  <w:abstractNum w:abstractNumId="52">
    <w:nsid w:val="7AD05235"/>
    <w:multiLevelType w:val="hybridMultilevel"/>
    <w:tmpl w:val="0409001D"/>
    <w:numStyleLink w:val="N1"/>
  </w:abstractNum>
  <w:abstractNum w:abstractNumId="53">
    <w:nsid w:val="7B7A4AA5"/>
    <w:multiLevelType w:val="hybridMultilevel"/>
    <w:tmpl w:val="0409001D"/>
    <w:numStyleLink w:val="N2"/>
  </w:abstractNum>
  <w:num w:numId="1">
    <w:abstractNumId w:val="2"/>
  </w:num>
  <w:num w:numId="2">
    <w:abstractNumId w:val="3"/>
  </w:num>
  <w:num w:numId="3">
    <w:abstractNumId w:val="0"/>
  </w:num>
  <w:num w:numId="4">
    <w:abstractNumId w:val="28"/>
  </w:num>
  <w:num w:numId="5">
    <w:abstractNumId w:val="24"/>
  </w:num>
  <w:num w:numId="6">
    <w:abstractNumId w:val="11"/>
  </w:num>
  <w:num w:numId="7">
    <w:abstractNumId w:val="17"/>
  </w:num>
  <w:num w:numId="8">
    <w:abstractNumId w:val="34"/>
  </w:num>
  <w:num w:numId="9">
    <w:abstractNumId w:val="6"/>
  </w:num>
  <w:num w:numId="10">
    <w:abstractNumId w:val="41"/>
  </w:num>
  <w:num w:numId="11">
    <w:abstractNumId w:val="9"/>
  </w:num>
  <w:num w:numId="12">
    <w:abstractNumId w:val="5"/>
  </w:num>
  <w:num w:numId="13">
    <w:abstractNumId w:val="13"/>
  </w:num>
  <w:num w:numId="14">
    <w:abstractNumId w:val="52"/>
  </w:num>
  <w:num w:numId="15">
    <w:abstractNumId w:val="33"/>
  </w:num>
  <w:num w:numId="16">
    <w:abstractNumId w:val="23"/>
  </w:num>
  <w:num w:numId="17">
    <w:abstractNumId w:val="38"/>
  </w:num>
  <w:num w:numId="18">
    <w:abstractNumId w:val="44"/>
  </w:num>
  <w:num w:numId="19">
    <w:abstractNumId w:val="9"/>
  </w:num>
  <w:num w:numId="20">
    <w:abstractNumId w:val="41"/>
  </w:num>
  <w:num w:numId="21">
    <w:abstractNumId w:val="50"/>
  </w:num>
  <w:num w:numId="22">
    <w:abstractNumId w:val="25"/>
  </w:num>
  <w:num w:numId="23">
    <w:abstractNumId w:val="0"/>
  </w:num>
  <w:num w:numId="24">
    <w:abstractNumId w:val="51"/>
  </w:num>
  <w:num w:numId="25">
    <w:abstractNumId w:val="36"/>
  </w:num>
  <w:num w:numId="26">
    <w:abstractNumId w:val="26"/>
  </w:num>
  <w:num w:numId="27">
    <w:abstractNumId w:val="53"/>
  </w:num>
  <w:num w:numId="28">
    <w:abstractNumId w:val="35"/>
  </w:num>
  <w:num w:numId="29">
    <w:abstractNumId w:val="37"/>
  </w:num>
  <w:num w:numId="30">
    <w:abstractNumId w:val="16"/>
  </w:num>
  <w:num w:numId="31">
    <w:abstractNumId w:val="43"/>
  </w:num>
  <w:num w:numId="32">
    <w:abstractNumId w:val="8"/>
  </w:num>
  <w:num w:numId="33">
    <w:abstractNumId w:val="22"/>
  </w:num>
  <w:num w:numId="34">
    <w:abstractNumId w:val="10"/>
  </w:num>
  <w:num w:numId="35">
    <w:abstractNumId w:val="48"/>
  </w:num>
  <w:num w:numId="36">
    <w:abstractNumId w:val="8"/>
  </w:num>
  <w:num w:numId="37">
    <w:abstractNumId w:val="32"/>
  </w:num>
  <w:num w:numId="38">
    <w:abstractNumId w:val="12"/>
  </w:num>
</w:numbering>
</file>

<file path=word/settings.xml><?xml version="1.0" encoding="utf-8"?>
<w:settings xmlns:w="http://schemas.openxmlformats.org/wordprocessingml/2006/main">
  <w:displayBackgroundShape w:val="0"/>
  <w:defaultTabStop w:val="1304"/>
  <w:autoHyphenation w:val="0"/>
  <w:hyphenationZone w:val="425"/>
  <w:evenAndOddHeaders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arDocumentPath" w:val="Yes"/>
    <w:docVar w:name="DVarLanguage" w:val="Sv"/>
    <w:docVar w:name="DVarPageNumberInserted" w:val="No"/>
  </w:docVars>
  <w:clrSchemeMapping w:bg1="light1" w:t1="dark1" w:bg2="light2" w:t2="dark2" w:accent1="accent1" w:accent2="accent2" w:accent3="accent3" w:accent4="accent4" w:accent5="accent5" w:accent6="accent6" w:hyperlink="hyperlink" w:followedHyperlink="followedHyperlink"/>
  <w:footnotePr>
    <w:footnote w:id="-1"/>
    <w:footnote w:id="0"/>
  </w:footnotePr>
  <w:endnotePr>
    <w:endnote w:id="-1"/>
    <w:endnote w:id="0"/>
  </w:endnotePr>
</w:settings>
</file>

<file path=word/styles.xml><?xml version="1.0" encoding="utf-8"?>
<w:styles xmlns:w="http://schemas.openxmlformats.org/wordprocessingml/2006/main">
  <w:docDefaults>
    <w:rPrDefault>
      <w:rPr>
        <w:rFonts w:ascii="Calibri" w:hAnsiTheme="minorHAnsi" w:cs="Times New Roman" w:eastAsiaTheme="minorEastAsia"/>
        <w:sz w:val="22"/>
        <w:szCs w:val="22"/>
        <w:lang w:val="en-US" w:bidi="ar-SA" w:eastAsia="en-US"/>
      </w:rPr>
    </w:rPrDefault>
    <w:pPrDefault>
      <w:pPr>
        <w:keepNext w:val="0"/>
        <w:keepLines w:val="0"/>
        <w:pageBreakBefore w:val="0"/>
        <w:widowControl w:val="1"/>
        <w:suppressLineNumbers w:val="0"/>
        <w:shd w:val="clear" w:fill="auto"/>
        <w:suppressAutoHyphens w:val="0"/>
        <w:spacing w:lineRule="atLeast" w:line="260" w:before="0" w:after="120" w:beforeAutospacing="0" w:afterAutospacing="0"/>
        <w:ind w:firstLine="0" w:left="0" w:right="0"/>
        <w:contextualSpacing w:val="0"/>
        <w:bidi w:val="0"/>
        <w:jc w:val="left"/>
        <w:outlineLvl w:val="9"/>
      </w:pPr>
    </w:pPrDefault>
  </w:docDefaults>
  <w:style w:type="paragraph" w:styleId="P0" w:default="1">
    <w:name w:val="Normal"/>
    <w:qFormat/>
    <w:pPr/>
    <w:rPr>
      <w:lang w:val="sv-SE"/>
    </w:rPr>
  </w:style>
  <w:style w:type="paragraph" w:styleId="P1">
    <w:name w:val="Heading 1"/>
    <w:basedOn w:val="P0"/>
    <w:link w:val="C4"/>
    <w:pPr>
      <w:spacing w:before="480" w:beforeAutospacing="0" w:afterAutospacing="0"/>
      <w:outlineLvl w:val="0"/>
    </w:pPr>
    <w:rPr>
      <w:b w:val="1"/>
      <w:color w:val="345A8A"/>
      <w:sz w:val="32"/>
    </w:rPr>
  </w:style>
  <w:style w:type="paragraph" w:styleId="P2">
    <w:name w:val="Heading 2"/>
    <w:basedOn w:val="P0"/>
    <w:link w:val="C6"/>
    <w:pPr>
      <w:spacing w:before="200" w:beforeAutospacing="0" w:afterAutospacing="0"/>
      <w:outlineLvl w:val="1"/>
    </w:pPr>
    <w:rPr>
      <w:b w:val="1"/>
      <w:color w:val="4F81BD"/>
      <w:sz w:val="26"/>
    </w:rPr>
  </w:style>
  <w:style w:type="paragraph" w:styleId="P3">
    <w:name w:val="Heading 3"/>
    <w:basedOn w:val="P0"/>
    <w:link w:val="C5"/>
    <w:pPr>
      <w:spacing w:before="200" w:beforeAutospacing="0" w:afterAutospacing="0"/>
      <w:outlineLvl w:val="2"/>
    </w:pPr>
    <w:rPr>
      <w:b w:val="1"/>
      <w:color w:val="4F81BD"/>
      <w:sz w:val="24"/>
    </w:rPr>
  </w:style>
  <w:style w:type="paragraph" w:styleId="P4">
    <w:name w:val="Heading 4"/>
    <w:basedOn w:val="P0"/>
    <w:next w:val="P0"/>
    <w:link w:val="C7"/>
    <w:semiHidden/>
    <w:pPr>
      <w:keepNext w:val="1"/>
      <w:spacing w:lineRule="auto" w:line="240" w:before="360" w:after="40" w:beforeAutospacing="0" w:afterAutospacing="0"/>
      <w:outlineLvl w:val="3"/>
    </w:pPr>
    <w:rPr>
      <w:rFonts w:hAnsiTheme="majorHAnsi"/>
      <w:b w:val="1"/>
      <w:bCs w:val="1"/>
      <w:iCs w:val="1"/>
    </w:rPr>
  </w:style>
  <w:style w:type="paragraph" w:styleId="P5">
    <w:name w:val="Heading 5"/>
    <w:basedOn w:val="P0"/>
    <w:next w:val="P0"/>
    <w:link w:val="C8"/>
    <w:semiHidden/>
    <w:pPr>
      <w:keepNext w:val="1"/>
      <w:spacing w:lineRule="atLeast" w:line="300" w:before="120" w:beforeAutospacing="0" w:afterAutospacing="0"/>
      <w:outlineLvl w:val="4"/>
    </w:pPr>
    <w:rPr/>
  </w:style>
  <w:style w:type="paragraph" w:styleId="P6">
    <w:name w:val="Heading 6"/>
    <w:basedOn w:val="P0"/>
    <w:next w:val="P0"/>
    <w:link w:val="C13"/>
    <w:semiHidden/>
    <w:pPr>
      <w:keepNext w:val="1"/>
      <w:spacing w:lineRule="atLeast" w:line="300" w:before="120" w:beforeAutospacing="0" w:afterAutospacing="0"/>
      <w:outlineLvl w:val="5"/>
    </w:pPr>
    <w:rPr>
      <w:iCs w:val="1"/>
    </w:rPr>
  </w:style>
  <w:style w:type="paragraph" w:styleId="P7">
    <w:name w:val="Heading 7"/>
    <w:basedOn w:val="P0"/>
    <w:next w:val="P0"/>
    <w:link w:val="C14"/>
    <w:semiHidden/>
    <w:pPr>
      <w:keepNext w:val="1"/>
      <w:spacing w:lineRule="atLeast" w:line="300" w:before="120" w:beforeAutospacing="0" w:afterAutospacing="0"/>
      <w:outlineLvl w:val="6"/>
    </w:pPr>
    <w:rPr>
      <w:rFonts w:eastAsiaTheme="majorEastAsia"/>
      <w:iCs w:val="1"/>
    </w:rPr>
  </w:style>
  <w:style w:type="paragraph" w:styleId="P8">
    <w:name w:val="Heading 8"/>
    <w:basedOn w:val="P0"/>
    <w:next w:val="P0"/>
    <w:link w:val="C15"/>
    <w:semiHidden/>
    <w:qFormat/>
    <w:pPr>
      <w:keepNext w:val="1"/>
      <w:keepLines w:val="1"/>
      <w:spacing w:before="200" w:beforeAutospacing="0" w:afterAutospacing="0"/>
      <w:outlineLvl w:val="7"/>
    </w:pPr>
    <w:rPr>
      <w:rFonts w:hAnsiTheme="majorHAnsi" w:cstheme="majorBidi" w:eastAsiaTheme="majorEastAsia"/>
      <w:color w:val="404040"/>
    </w:rPr>
  </w:style>
  <w:style w:type="paragraph" w:styleId="P9">
    <w:name w:val="Heading 9"/>
    <w:basedOn w:val="P0"/>
    <w:next w:val="P0"/>
    <w:link w:val="C16"/>
    <w:semiHidden/>
    <w:qFormat/>
    <w:pPr>
      <w:keepNext w:val="1"/>
      <w:keepLines w:val="1"/>
      <w:numPr>
        <w:ilvl w:val="8"/>
        <w:numId w:val="16"/>
      </w:numPr>
      <w:spacing w:before="200" w:beforeAutospacing="0" w:afterAutospacing="0"/>
      <w:outlineLvl w:val="8"/>
    </w:pPr>
    <w:rPr>
      <w:rFonts w:hAnsiTheme="majorHAnsi" w:cstheme="majorBidi" w:eastAsiaTheme="majorEastAsia"/>
      <w:i w:val="1"/>
      <w:iCs w:val="1"/>
      <w:color w:val="404040"/>
    </w:rPr>
  </w:style>
  <w:style w:type="paragraph" w:styleId="P10">
    <w:name w:val="Header"/>
    <w:basedOn w:val="P0"/>
    <w:link w:val="C21"/>
    <w:pPr>
      <w:tabs>
        <w:tab w:val="center" w:pos="4536" w:leader="none"/>
        <w:tab w:val="right" w:pos="9072" w:leader="none"/>
      </w:tabs>
      <w:spacing w:lineRule="auto" w:line="240" w:after="60" w:beforeAutospacing="0" w:afterAutospacing="0"/>
      <w:ind w:left="-680"/>
    </w:pPr>
    <w:rPr>
      <w:rFonts w:hAnsiTheme="majorHAnsi"/>
      <w:sz w:val="20"/>
    </w:rPr>
  </w:style>
  <w:style w:type="paragraph" w:styleId="P11">
    <w:name w:val="Footer"/>
    <w:basedOn w:val="P0"/>
    <w:link w:val="C9"/>
    <w:semiHidden/>
    <w:pPr>
      <w:tabs>
        <w:tab w:val="center" w:pos="4536" w:leader="none"/>
        <w:tab w:val="right" w:pos="9072" w:leader="none"/>
      </w:tabs>
      <w:spacing w:lineRule="atLeast" w:line="200" w:after="0" w:beforeAutospacing="0" w:afterAutospacing="0"/>
    </w:pPr>
    <w:rPr>
      <w:rFonts w:hAnsiTheme="majorHAnsi"/>
      <w:sz w:val="16"/>
    </w:rPr>
  </w:style>
  <w:style w:type="paragraph" w:styleId="P12">
    <w:name w:val="List Paragraph"/>
    <w:basedOn w:val="P0"/>
    <w:semiHidden/>
    <w:pPr>
      <w:ind w:left="720"/>
    </w:pPr>
    <w:rPr/>
  </w:style>
  <w:style w:type="paragraph" w:styleId="P13">
    <w:name w:val="Sökväg"/>
    <w:basedOn w:val="P0"/>
    <w:semiHidden/>
    <w:pPr>
      <w:framePr w:wrap="around" w:vAnchor="page" w:hAnchor="page" w:x="398" w:y="4962"/>
    </w:pPr>
    <w:rPr>
      <w:color w:val="808080"/>
      <w:sz w:val="13"/>
      <w:szCs w:val="15"/>
    </w:rPr>
  </w:style>
  <w:style w:type="paragraph" w:styleId="P14">
    <w:name w:val="TOC Heading"/>
    <w:basedOn w:val="P1"/>
    <w:next w:val="P0"/>
    <w:pPr>
      <w:keepLines w:val="1"/>
      <w:outlineLvl w:val="9"/>
    </w:pPr>
    <w:rPr>
      <w:rFonts w:cstheme="majorBidi"/>
      <w:szCs w:val="50"/>
      <w:lang w:eastAsia="sv-SE"/>
    </w:rPr>
  </w:style>
  <w:style w:type="paragraph" w:styleId="P15">
    <w:name w:val="Heading_1 No"/>
    <w:basedOn w:val="P0"/>
    <w:next w:val="P0"/>
    <w:link w:val="C10"/>
    <w:semiHidden/>
    <w:pPr>
      <w:keepNext w:val="1"/>
      <w:spacing w:before="300" w:after="60" w:beforeAutospacing="0" w:afterAutospacing="0"/>
      <w:outlineLvl w:val="0"/>
    </w:pPr>
    <w:rPr>
      <w:rFonts w:hAnsiTheme="majorHAnsi" w:cs="Arial" w:eastAsiaTheme="majorEastAsia"/>
      <w:color w:val="000000"/>
      <w:sz w:val="32"/>
      <w:szCs w:val="26"/>
      <w:lang w:eastAsia="sv-SE"/>
    </w:rPr>
  </w:style>
  <w:style w:type="paragraph" w:styleId="P16">
    <w:name w:val="Heading_2 No"/>
    <w:basedOn w:val="P0"/>
    <w:next w:val="P0"/>
    <w:link w:val="C11"/>
    <w:semiHidden/>
    <w:pPr>
      <w:keepNext w:val="1"/>
      <w:numPr>
        <w:ilvl w:val="1"/>
        <w:numId w:val="16"/>
      </w:numPr>
      <w:spacing w:before="300" w:after="60" w:beforeAutospacing="0" w:afterAutospacing="0"/>
      <w:outlineLvl w:val="1"/>
    </w:pPr>
    <w:rPr>
      <w:rFonts w:ascii="Arial" w:hAnsi="Arial" w:cs="Arial" w:eastAsiaTheme="majorEastAsia"/>
      <w:sz w:val="28"/>
      <w:szCs w:val="26"/>
      <w:lang w:eastAsia="sv-SE"/>
    </w:rPr>
  </w:style>
  <w:style w:type="paragraph" w:styleId="P17">
    <w:name w:val="Heading_3 No"/>
    <w:basedOn w:val="P0"/>
    <w:next w:val="P0"/>
    <w:link w:val="C12"/>
    <w:semiHidden/>
    <w:pPr>
      <w:keepNext w:val="1"/>
      <w:numPr>
        <w:ilvl w:val="2"/>
        <w:numId w:val="16"/>
      </w:numPr>
      <w:spacing w:before="300" w:beforeAutospacing="0" w:afterAutospacing="0"/>
      <w:ind w:hanging="851" w:left="851"/>
      <w:outlineLvl w:val="2"/>
    </w:pPr>
    <w:rPr>
      <w:rFonts w:hAnsiTheme="majorHAnsi" w:cs="Arial" w:eastAsiaTheme="majorEastAsia"/>
      <w:szCs w:val="26"/>
      <w:lang w:eastAsia="sv-SE"/>
    </w:rPr>
  </w:style>
  <w:style w:type="paragraph" w:styleId="P18">
    <w:name w:val="Startsida - Huvudrubrik"/>
    <w:basedOn w:val="P0"/>
    <w:semiHidden/>
    <w:pPr>
      <w:spacing w:lineRule="exact" w:line="840" w:before="240" w:after="240" w:beforeAutospacing="0" w:afterAutospacing="0"/>
      <w:ind w:right="1701"/>
    </w:pPr>
    <w:rPr>
      <w:rFonts w:hAnsiTheme="majorHAnsi"/>
      <w:b w:val="1"/>
      <w:color w:val="36BDBB"/>
      <w:sz w:val="72"/>
    </w:rPr>
  </w:style>
  <w:style w:type="paragraph" w:styleId="P19">
    <w:name w:val="Startsida - Underrubrik"/>
    <w:basedOn w:val="P0"/>
    <w:semiHidden/>
    <w:pPr/>
    <w:rPr>
      <w:rFonts w:hAnsiTheme="majorHAnsi"/>
      <w:caps w:val="1"/>
      <w:color w:val="154061"/>
      <w:sz w:val="28"/>
      <w:szCs w:val="36"/>
    </w:rPr>
  </w:style>
  <w:style w:type="paragraph" w:styleId="P20">
    <w:name w:val="TOC 1"/>
    <w:basedOn w:val="P0"/>
    <w:next w:val="P0"/>
    <w:pPr>
      <w:tabs>
        <w:tab w:val="left" w:pos="440" w:leader="none"/>
        <w:tab w:val="right" w:pos="8505" w:leader="dot"/>
      </w:tabs>
      <w:spacing w:before="120" w:after="0" w:beforeAutospacing="0" w:afterAutospacing="0"/>
    </w:pPr>
    <w:rPr>
      <w:rFonts w:hAnsiTheme="majorHAnsi"/>
      <w:b w:val="1"/>
    </w:rPr>
  </w:style>
  <w:style w:type="paragraph" w:styleId="P21">
    <w:name w:val="TOC 2"/>
    <w:basedOn w:val="P0"/>
    <w:next w:val="P0"/>
    <w:pPr>
      <w:tabs>
        <w:tab w:val="left" w:pos="1021" w:leader="none"/>
        <w:tab w:val="right" w:pos="8505" w:leader="dot"/>
      </w:tabs>
      <w:spacing w:after="0" w:beforeAutospacing="0" w:afterAutospacing="0"/>
      <w:ind w:left="454"/>
    </w:pPr>
    <w:rPr>
      <w:rFonts w:hAnsiTheme="majorHAnsi"/>
    </w:rPr>
  </w:style>
  <w:style w:type="paragraph" w:styleId="P22">
    <w:name w:val="TOC 3"/>
    <w:basedOn w:val="P0"/>
    <w:next w:val="P0"/>
    <w:pPr>
      <w:tabs>
        <w:tab w:val="left" w:pos="1701" w:leader="none"/>
        <w:tab w:val="right" w:pos="8505" w:leader="dot"/>
      </w:tabs>
      <w:spacing w:after="0" w:beforeAutospacing="0" w:afterAutospacing="0"/>
      <w:ind w:left="1021"/>
    </w:pPr>
    <w:rPr>
      <w:rFonts w:hAnsiTheme="majorHAnsi"/>
    </w:rPr>
  </w:style>
  <w:style w:type="paragraph" w:styleId="P23">
    <w:name w:val="Footnote Text"/>
    <w:basedOn w:val="P0"/>
    <w:link w:val="C17"/>
    <w:pPr>
      <w:spacing w:after="0" w:beforeAutospacing="0" w:afterAutospacing="0"/>
    </w:pPr>
    <w:rPr>
      <w:rFonts w:hAnsiTheme="majorHAnsi"/>
      <w:sz w:val="20"/>
    </w:rPr>
  </w:style>
  <w:style w:type="paragraph" w:styleId="P24">
    <w:name w:val="Innehåll"/>
    <w:basedOn w:val="P0"/>
    <w:semiHidden/>
    <w:pPr>
      <w:spacing w:before="500" w:beforeAutospacing="0" w:afterAutospacing="0"/>
    </w:pPr>
    <w:rPr>
      <w:rFonts w:hAnsiTheme="majorHAnsi"/>
      <w:b w:val="1"/>
      <w:color w:val="F9B000"/>
      <w:sz w:val="50"/>
      <w:szCs w:val="26"/>
    </w:rPr>
  </w:style>
  <w:style w:type="paragraph" w:styleId="P25">
    <w:name w:val="Heading_4 No"/>
    <w:basedOn w:val="P0"/>
    <w:next w:val="P0"/>
    <w:link w:val="C18"/>
    <w:semiHidden/>
    <w:pPr>
      <w:keepNext w:val="1"/>
      <w:numPr>
        <w:ilvl w:val="3"/>
        <w:numId w:val="16"/>
      </w:numPr>
      <w:spacing w:before="240" w:beforeAutospacing="0" w:afterAutospacing="0"/>
      <w:outlineLvl w:val="3"/>
    </w:pPr>
    <w:rPr>
      <w:rFonts w:hAnsiTheme="majorHAnsi" w:cs="Arial" w:eastAsiaTheme="majorEastAsia"/>
      <w:color w:val="000000"/>
      <w:szCs w:val="26"/>
      <w:lang w:eastAsia="sv-SE"/>
    </w:rPr>
  </w:style>
  <w:style w:type="paragraph" w:styleId="P26">
    <w:name w:val="Heading_5 No"/>
    <w:basedOn w:val="P0"/>
    <w:next w:val="P0"/>
    <w:link w:val="C19"/>
    <w:semiHidden/>
    <w:pPr>
      <w:keepNext w:val="1"/>
      <w:numPr>
        <w:ilvl w:val="4"/>
        <w:numId w:val="16"/>
      </w:numPr>
      <w:spacing w:before="240" w:beforeAutospacing="0" w:afterAutospacing="0"/>
      <w:outlineLvl w:val="4"/>
    </w:pPr>
    <w:rPr>
      <w:rFonts w:hAnsiTheme="majorHAnsi" w:eastAsiaTheme="majorEastAsia"/>
      <w:color w:val="000000"/>
      <w:szCs w:val="26"/>
      <w:lang w:val="en-GB" w:eastAsia="sv-SE"/>
    </w:rPr>
  </w:style>
  <w:style w:type="paragraph" w:styleId="P27">
    <w:name w:val="TOC 4"/>
    <w:basedOn w:val="P0"/>
    <w:next w:val="P0"/>
    <w:semiHidden/>
    <w:pPr>
      <w:ind w:left="660"/>
    </w:pPr>
    <w:rPr/>
  </w:style>
  <w:style w:type="paragraph" w:styleId="P28">
    <w:name w:val="TOC 5"/>
    <w:basedOn w:val="P0"/>
    <w:next w:val="P0"/>
    <w:semiHidden/>
    <w:pPr>
      <w:spacing w:after="100" w:beforeAutospacing="0" w:afterAutospacing="0"/>
      <w:ind w:left="800"/>
    </w:pPr>
    <w:rPr/>
  </w:style>
  <w:style w:type="paragraph" w:styleId="P29">
    <w:name w:val="List Bullet"/>
    <w:basedOn w:val="P0"/>
    <w:semiHidden/>
    <w:pPr>
      <w:contextualSpacing w:val="1"/>
    </w:pPr>
    <w:rPr/>
  </w:style>
  <w:style w:type="paragraph" w:styleId="P30">
    <w:name w:val="Normal (Web)"/>
    <w:basedOn w:val="P0"/>
    <w:semiHidden/>
    <w:pPr>
      <w:spacing w:lineRule="atLeast" w:line="210" w:after="210" w:beforeAutospacing="0" w:afterAutospacing="0"/>
      <w:jc w:val="both"/>
    </w:pPr>
    <w:rPr>
      <w:sz w:val="17"/>
      <w:szCs w:val="17"/>
      <w:lang w:val="en-GB" w:eastAsia="en-GB"/>
    </w:rPr>
  </w:style>
  <w:style w:type="paragraph" w:styleId="P31">
    <w:name w:val="Startsida - Författare och datum"/>
    <w:basedOn w:val="P19"/>
    <w:semiHidden/>
    <w:pPr/>
    <w:rPr>
      <w:sz w:val="24"/>
    </w:rPr>
  </w:style>
  <w:style w:type="paragraph" w:styleId="P32">
    <w:name w:val="Default"/>
    <w:semiHidden/>
    <w:pPr/>
    <w:rPr>
      <w:rFonts w:ascii="Calibri" w:hAnsi="Calibri" w:cs="Calibri"/>
      <w:color w:val="000000"/>
      <w:lang w:val="sv-SE"/>
    </w:rPr>
  </w:style>
  <w:style w:type="paragraph" w:styleId="P33">
    <w:name w:val="Lista - Punkter"/>
    <w:basedOn w:val="P12"/>
    <w:qFormat/>
    <w:pPr/>
    <w:rPr/>
  </w:style>
  <w:style w:type="paragraph" w:styleId="P34">
    <w:name w:val="Lista - Nummer"/>
    <w:basedOn w:val="P12"/>
    <w:qFormat/>
    <w:pPr/>
    <w:rPr/>
  </w:style>
  <w:style w:type="paragraph" w:styleId="P35">
    <w:name w:val="Balloon Text"/>
    <w:basedOn w:val="P0"/>
    <w:link w:val="C23"/>
    <w:semiHidden/>
    <w:pPr/>
    <w:rPr>
      <w:rFonts w:ascii="Segoe UI" w:hAnsi="Segoe UI" w:cs="Segoe UI"/>
      <w:sz w:val="18"/>
      <w:szCs w:val="18"/>
    </w:rPr>
  </w:style>
  <w:style w:type="paragraph" w:styleId="P36">
    <w:name w:val="Sidhuvud förstasida"/>
    <w:basedOn w:val="P10"/>
    <w:semiHidden/>
    <w:pPr/>
    <w:rPr/>
  </w:style>
  <w:style w:type="paragraph" w:styleId="P37">
    <w:name w:val="Dold rad"/>
    <w:basedOn w:val="P36"/>
    <w:semiHidden/>
    <w:pPr/>
    <w:rPr>
      <w:sz w:val="2"/>
    </w:rPr>
  </w:style>
  <w:style w:type="paragraph" w:styleId="P38">
    <w:name w:val="Profile"/>
    <w:basedOn w:val="P0"/>
    <w:semiHidden/>
    <w:pPr/>
    <w:rPr/>
  </w:style>
  <w:style w:type="paragraph" w:styleId="P39">
    <w:name w:val="Tillägg"/>
    <w:basedOn w:val="P11"/>
    <w:semiHidden/>
    <w:pPr/>
    <w:rPr>
      <w:sz w:val="20"/>
    </w:rPr>
  </w:style>
  <w:style w:type="paragraph" w:styleId="P40">
    <w:name w:val="Dokumentinformation"/>
    <w:basedOn w:val="P0"/>
    <w:semiHidden/>
    <w:pPr>
      <w:spacing w:lineRule="atLeast" w:line="240" w:after="0" w:beforeAutospacing="0" w:afterAutospacing="0"/>
    </w:pPr>
    <w:rPr>
      <w:rFonts w:hAnsiTheme="majorHAnsi"/>
      <w:sz w:val="20"/>
    </w:rPr>
  </w:style>
  <w:style w:type="paragraph" w:styleId="P41">
    <w:name w:val="Adress"/>
    <w:basedOn w:val="P0"/>
    <w:semiHidden/>
    <w:pPr/>
    <w:rPr>
      <w:rFonts w:hAnsiTheme="majorHAnsi"/>
    </w:rPr>
  </w:style>
  <w:style w:type="paragraph" w:styleId="P42">
    <w:name w:val="Etikett"/>
    <w:basedOn w:val="P0"/>
    <w:semiHidden/>
    <w:qFormat/>
    <w:pPr>
      <w:spacing w:lineRule="auto" w:line="240" w:after="0" w:beforeAutospacing="0" w:afterAutospacing="0"/>
    </w:pPr>
    <w:rPr>
      <w:rFonts w:eastAsia="Times New Roman"/>
      <w:sz w:val="14"/>
      <w:szCs w:val="16"/>
    </w:rPr>
  </w:style>
  <w:style w:type="paragraph" w:styleId="P43">
    <w:name w:val="Underrubrik - framsida"/>
    <w:basedOn w:val="P0"/>
    <w:pPr>
      <w:spacing w:lineRule="auto" w:line="240" w:after="0" w:beforeAutospacing="0" w:afterAutospacing="0"/>
    </w:pPr>
    <w:rPr>
      <w:rFonts w:hAnsiTheme="majorHAnsi"/>
      <w:sz w:val="48"/>
    </w:rPr>
  </w:style>
  <w:style w:type="paragraph" w:styleId="P44">
    <w:name w:val="Huvudrubrik - framsida"/>
    <w:basedOn w:val="P0"/>
    <w:next w:val="P0"/>
    <w:pPr>
      <w:spacing w:lineRule="auto" w:line="240" w:after="360" w:beforeAutospacing="0" w:afterAutospacing="0"/>
    </w:pPr>
    <w:rPr>
      <w:rFonts w:hAnsiTheme="majorHAnsi"/>
      <w:b w:val="1"/>
      <w:sz w:val="72"/>
    </w:rPr>
  </w:style>
  <w:style w:type="paragraph" w:styleId="P45">
    <w:name w:val="Caption"/>
    <w:basedOn w:val="P0"/>
    <w:next w:val="P0"/>
    <w:semiHidden/>
    <w:pPr>
      <w:spacing w:lineRule="auto" w:line="240" w:after="200" w:beforeAutospacing="0" w:afterAutospacing="0"/>
    </w:pPr>
    <w:rPr>
      <w:iCs w:val="1"/>
      <w:sz w:val="20"/>
      <w:szCs w:val="18"/>
    </w:rPr>
  </w:style>
  <w:style w:type="paragraph" w:styleId="P46">
    <w:name w:val="Body Text"/>
    <w:basedOn w:val="P0"/>
    <w:link w:val="C25"/>
    <w:qFormat/>
    <w:pPr>
      <w:spacing w:lineRule="auto" w:line="276" w:after="0" w:beforeAutospacing="0" w:afterAutospacing="0"/>
    </w:pPr>
    <w:rPr>
      <w:rFonts w:ascii="Lora" w:hAnsi="Lora" w:eastAsia="Times New Roman"/>
      <w:sz w:val="20"/>
      <w:szCs w:val="24"/>
      <w:lang w:eastAsia="sv-SE"/>
    </w:rPr>
  </w:style>
  <w:style w:type="paragraph" w:styleId="P47">
    <w:name w:val="annotation text"/>
    <w:basedOn w:val="P0"/>
    <w:link w:val="C27"/>
    <w:semiHidden/>
    <w:pPr>
      <w:spacing w:lineRule="auto" w:line="240" w:beforeAutospacing="0" w:afterAutospacing="0"/>
    </w:pPr>
    <w:rPr>
      <w:sz w:val="20"/>
      <w:szCs w:val="20"/>
    </w:rPr>
  </w:style>
  <w:style w:type="paragraph" w:styleId="P48">
    <w:name w:val="annotation subject"/>
    <w:basedOn w:val="P47"/>
    <w:next w:val="P47"/>
    <w:link w:val="C28"/>
    <w:semiHidden/>
    <w:pPr/>
    <w:rPr>
      <w:b w:val="1"/>
      <w:bCs w:val="1"/>
    </w:rPr>
  </w:style>
  <w:style w:type="paragraph" w:styleId="P49">
    <w:name w:val="Title"/>
    <w:basedOn w:val="P0"/>
    <w:pPr>
      <w:spacing w:after="300" w:beforeAutospacing="0" w:afterAutospacing="0"/>
    </w:pPr>
    <w:rPr>
      <w:color w:val="17365D"/>
      <w:sz w:val="52"/>
    </w:rPr>
  </w:style>
  <w:style w:type="paragraph" w:styleId="P50">
    <w:name w:val="Subtitle"/>
    <w:basedOn w:val="P0"/>
    <w:pPr/>
    <w:rPr>
      <w:i w:val="1"/>
      <w:color w:val="4F81BD"/>
      <w:sz w:val="24"/>
    </w:rPr>
  </w:style>
  <w:style w:type="paragraph" w:styleId="P51">
    <w:name w:val="Endnote Text"/>
    <w:link w:val="C31"/>
    <w:semiHidden/>
    <w:pPr>
      <w:spacing w:lineRule="auto" w:line="240" w:after="0"/>
    </w:pPr>
    <w:rPr>
      <w:sz w:val="20"/>
      <w:szCs w:val="20"/>
    </w:rPr>
  </w:style>
  <w:style w:type="character" w:styleId="C0" w:default="1">
    <w:name w:val="Default Paragraph Font"/>
    <w:semiHidden/>
    <w:rPr/>
  </w:style>
  <w:style w:type="character" w:styleId="C1">
    <w:name w:val="Line Number"/>
    <w:basedOn w:val="C0"/>
    <w:semiHidden/>
    <w:rPr/>
  </w:style>
  <w:style w:type="character" w:styleId="C2">
    <w:name w:val="Hyperlink"/>
    <w:basedOn w:val="C0"/>
    <w:rPr>
      <w:color w:val="auto"/>
      <w:u w:val="single"/>
    </w:rPr>
  </w:style>
  <w:style w:type="character" w:styleId="C3">
    <w:name w:val="Page Number"/>
    <w:basedOn w:val="C0"/>
    <w:semiHidden/>
    <w:rPr>
      <w:rFonts w:ascii="Calibri" w:hAnsiTheme="majorHAnsi"/>
      <w:color w:val="auto"/>
    </w:rPr>
  </w:style>
  <w:style w:type="character" w:styleId="C4">
    <w:name w:val="Rubrik 1 Char"/>
    <w:link w:val="P1"/>
    <w:rPr>
      <w:rFonts w:ascii="Calibri" w:hAnsiTheme="majorHAnsi" w:eastAsiaTheme="majorEastAsia"/>
      <w:b w:val="1"/>
      <w:bCs w:val="1"/>
      <w:color w:val="000000"/>
      <w:sz w:val="36"/>
      <w:szCs w:val="28"/>
      <w:lang w:val="sv-SE"/>
    </w:rPr>
  </w:style>
  <w:style w:type="character" w:styleId="C5">
    <w:name w:val="Rubrik 3 Char"/>
    <w:link w:val="P3"/>
    <w:rPr>
      <w:rFonts w:ascii="Calibri" w:hAnsiTheme="majorHAnsi" w:eastAsiaTheme="majorEastAsia"/>
      <w:b w:val="1"/>
      <w:bCs w:val="1"/>
      <w:lang w:val="sv-SE"/>
    </w:rPr>
  </w:style>
  <w:style w:type="character" w:styleId="C6">
    <w:name w:val="Rubrik 2 Char"/>
    <w:link w:val="P2"/>
    <w:rPr>
      <w:rFonts w:ascii="Calibri" w:hAnsiTheme="majorHAnsi" w:eastAsiaTheme="majorEastAsia"/>
      <w:b w:val="1"/>
      <w:bCs w:val="1"/>
      <w:color w:val="000000"/>
      <w:sz w:val="28"/>
      <w:szCs w:val="26"/>
      <w:lang w:val="sv-SE"/>
    </w:rPr>
  </w:style>
  <w:style w:type="character" w:styleId="C7">
    <w:name w:val="Rubrik 4 Char"/>
    <w:link w:val="P4"/>
    <w:semiHidden/>
    <w:rPr>
      <w:rFonts w:ascii="Calibri" w:hAnsiTheme="majorHAnsi"/>
      <w:b w:val="1"/>
      <w:bCs w:val="1"/>
      <w:iCs w:val="1"/>
      <w:lang w:val="sv-SE"/>
    </w:rPr>
  </w:style>
  <w:style w:type="character" w:styleId="C8">
    <w:name w:val="Rubrik 5 Char"/>
    <w:link w:val="P5"/>
    <w:semiHidden/>
    <w:rPr>
      <w:lang w:val="sv-SE"/>
    </w:rPr>
  </w:style>
  <w:style w:type="character" w:styleId="C9">
    <w:name w:val="Sidfot Char"/>
    <w:link w:val="P11"/>
    <w:semiHidden/>
    <w:rPr>
      <w:rFonts w:ascii="Calibri" w:hAnsiTheme="majorHAnsi"/>
      <w:sz w:val="16"/>
      <w:lang w:val="sv-SE"/>
    </w:rPr>
  </w:style>
  <w:style w:type="character" w:styleId="C10">
    <w:name w:val="Heading_1 No Char"/>
    <w:basedOn w:val="C6"/>
    <w:link w:val="P15"/>
    <w:semiHidden/>
    <w:rPr>
      <w:rFonts w:ascii="Calibri" w:hAnsiTheme="majorHAnsi" w:cs="Arial" w:eastAsiaTheme="majorEastAsia"/>
      <w:b w:val="0"/>
      <w:bCs w:val="0"/>
      <w:color w:val="000000"/>
      <w:sz w:val="32"/>
      <w:szCs w:val="26"/>
      <w:lang w:val="sv-SE" w:eastAsia="sv-SE"/>
    </w:rPr>
  </w:style>
  <w:style w:type="character" w:styleId="C11">
    <w:name w:val="Heading_2 No Char"/>
    <w:basedOn w:val="C6"/>
    <w:link w:val="P16"/>
    <w:semiHidden/>
    <w:rPr>
      <w:rFonts w:ascii="Arial" w:hAnsi="Arial" w:cs="Arial" w:eastAsiaTheme="majorEastAsia"/>
      <w:b w:val="0"/>
      <w:bCs w:val="0"/>
      <w:color w:val="000000"/>
      <w:sz w:val="28"/>
      <w:szCs w:val="26"/>
      <w:lang w:val="sv-SE" w:eastAsia="sv-SE"/>
    </w:rPr>
  </w:style>
  <w:style w:type="character" w:styleId="C12">
    <w:name w:val="Heading_3 No Char"/>
    <w:basedOn w:val="C6"/>
    <w:link w:val="P17"/>
    <w:semiHidden/>
    <w:rPr>
      <w:rFonts w:ascii="Calibri" w:hAnsiTheme="majorHAnsi" w:cs="Arial" w:eastAsiaTheme="majorEastAsia"/>
      <w:b w:val="0"/>
      <w:bCs w:val="0"/>
      <w:color w:val="000000"/>
      <w:sz w:val="28"/>
      <w:szCs w:val="26"/>
      <w:lang w:val="sv-SE" w:eastAsia="sv-SE"/>
    </w:rPr>
  </w:style>
  <w:style w:type="character" w:styleId="C13">
    <w:name w:val="Rubrik 6 Char"/>
    <w:link w:val="P6"/>
    <w:semiHidden/>
    <w:rPr>
      <w:iCs w:val="1"/>
      <w:lang w:val="sv-SE"/>
    </w:rPr>
  </w:style>
  <w:style w:type="character" w:styleId="C14">
    <w:name w:val="Rubrik 7 Char"/>
    <w:basedOn w:val="C0"/>
    <w:link w:val="P7"/>
    <w:semiHidden/>
    <w:rPr>
      <w:rFonts w:eastAsiaTheme="majorEastAsia"/>
      <w:iCs w:val="1"/>
      <w:lang w:val="sv-SE"/>
    </w:rPr>
  </w:style>
  <w:style w:type="character" w:styleId="C15">
    <w:name w:val="Rubrik 8 Char"/>
    <w:basedOn w:val="C0"/>
    <w:link w:val="P8"/>
    <w:semiHidden/>
    <w:rPr>
      <w:rFonts w:ascii="Calibri" w:hAnsiTheme="majorHAnsi" w:cstheme="majorBidi" w:eastAsiaTheme="majorEastAsia"/>
      <w:color w:val="404040"/>
      <w:lang w:val="sv-SE"/>
    </w:rPr>
  </w:style>
  <w:style w:type="character" w:styleId="C16">
    <w:name w:val="Rubrik 9 Char"/>
    <w:basedOn w:val="C0"/>
    <w:link w:val="P9"/>
    <w:semiHidden/>
    <w:rPr>
      <w:rFonts w:ascii="Calibri" w:hAnsiTheme="majorHAnsi" w:cstheme="majorBidi" w:eastAsiaTheme="majorEastAsia"/>
      <w:i w:val="1"/>
      <w:iCs w:val="1"/>
      <w:color w:val="404040"/>
    </w:rPr>
  </w:style>
  <w:style w:type="character" w:styleId="C17">
    <w:name w:val="Fotnotstext Char"/>
    <w:basedOn w:val="C0"/>
    <w:link w:val="P23"/>
    <w:rPr>
      <w:rFonts w:ascii="Calibri" w:hAnsiTheme="majorHAnsi"/>
      <w:sz w:val="20"/>
    </w:rPr>
  </w:style>
  <w:style w:type="character" w:styleId="C18">
    <w:name w:val="Heading_4 No Char"/>
    <w:basedOn w:val="C6"/>
    <w:link w:val="P25"/>
    <w:semiHidden/>
    <w:rPr>
      <w:rFonts w:ascii="Calibri" w:hAnsiTheme="majorHAnsi" w:cs="Arial" w:eastAsiaTheme="majorEastAsia"/>
      <w:b w:val="0"/>
      <w:bCs w:val="0"/>
      <w:color w:val="000000"/>
      <w:sz w:val="28"/>
      <w:szCs w:val="26"/>
      <w:lang w:val="sv-SE" w:eastAsia="sv-SE"/>
    </w:rPr>
  </w:style>
  <w:style w:type="character" w:styleId="C19">
    <w:name w:val="Heading_5 No Char"/>
    <w:basedOn w:val="C6"/>
    <w:link w:val="P26"/>
    <w:semiHidden/>
    <w:rPr>
      <w:rFonts w:ascii="Calibri" w:hAnsiTheme="majorHAnsi" w:eastAsiaTheme="majorEastAsia"/>
      <w:b w:val="1"/>
      <w:bCs w:val="0"/>
      <w:color w:val="000000"/>
      <w:sz w:val="28"/>
      <w:szCs w:val="26"/>
      <w:lang w:val="en-GB" w:eastAsia="sv-SE"/>
    </w:rPr>
  </w:style>
  <w:style w:type="character" w:styleId="C20">
    <w:name w:val="Footnote Reference"/>
    <w:basedOn w:val="C0"/>
    <w:semiHidden/>
    <w:rPr>
      <w:vertAlign w:val="superscript"/>
    </w:rPr>
  </w:style>
  <w:style w:type="character" w:styleId="C21">
    <w:name w:val="Sidhuvud Char"/>
    <w:link w:val="P10"/>
    <w:rPr>
      <w:rFonts w:ascii="Calibri" w:hAnsiTheme="majorHAnsi"/>
      <w:sz w:val="20"/>
      <w:lang w:val="sv-SE"/>
    </w:rPr>
  </w:style>
  <w:style w:type="character" w:styleId="C22">
    <w:name w:val="Olöst omnämnande1"/>
    <w:basedOn w:val="C0"/>
    <w:semiHidden/>
    <w:rPr>
      <w:color w:val="808080"/>
      <w:shd w:val="clear" w:color="auto" w:fill="E6E6E6"/>
    </w:rPr>
  </w:style>
  <w:style w:type="character" w:styleId="C23">
    <w:name w:val="Ballongtext Char"/>
    <w:basedOn w:val="C0"/>
    <w:link w:val="P35"/>
    <w:semiHidden/>
    <w:rPr>
      <w:rFonts w:ascii="Segoe UI" w:hAnsi="Segoe UI" w:cs="Segoe UI"/>
      <w:sz w:val="18"/>
      <w:szCs w:val="18"/>
    </w:rPr>
  </w:style>
  <w:style w:type="character" w:styleId="C24">
    <w:name w:val="Placeholder Text1"/>
    <w:basedOn w:val="C0"/>
    <w:semiHidden/>
    <w:rPr>
      <w:color w:val="808080"/>
    </w:rPr>
  </w:style>
  <w:style w:type="character" w:styleId="C25">
    <w:name w:val="Brödtext Char"/>
    <w:basedOn w:val="C0"/>
    <w:link w:val="P46"/>
    <w:rPr>
      <w:rFonts w:ascii="Lora" w:hAnsi="Lora" w:eastAsia="Times New Roman"/>
      <w:sz w:val="20"/>
      <w:szCs w:val="24"/>
      <w:lang w:val="sv-SE" w:eastAsia="sv-SE"/>
    </w:rPr>
  </w:style>
  <w:style w:type="character" w:styleId="C26">
    <w:name w:val="annotation reference"/>
    <w:basedOn w:val="C0"/>
    <w:semiHidden/>
    <w:rPr>
      <w:sz w:val="16"/>
      <w:szCs w:val="16"/>
    </w:rPr>
  </w:style>
  <w:style w:type="character" w:styleId="C27">
    <w:name w:val="Kommentarer Char"/>
    <w:basedOn w:val="C0"/>
    <w:link w:val="P47"/>
    <w:semiHidden/>
    <w:rPr>
      <w:sz w:val="20"/>
      <w:szCs w:val="20"/>
      <w:lang w:val="sv-SE"/>
    </w:rPr>
  </w:style>
  <w:style w:type="character" w:styleId="C28">
    <w:name w:val="Kommentarsämne Char"/>
    <w:basedOn w:val="C27"/>
    <w:link w:val="P48"/>
    <w:semiHidden/>
    <w:rPr>
      <w:b w:val="1"/>
      <w:bCs w:val="1"/>
      <w:sz w:val="20"/>
      <w:szCs w:val="20"/>
      <w:lang w:val="sv-SE"/>
    </w:rPr>
  </w:style>
  <w:style w:type="character" w:styleId="C29">
    <w:name w:val="Footnote Text Char"/>
    <w:semiHidden/>
    <w:rPr>
      <w:sz w:val="20"/>
      <w:szCs w:val="20"/>
    </w:rPr>
  </w:style>
  <w:style w:type="character" w:styleId="C30">
    <w:name w:val="Endnote Reference"/>
    <w:semiHidden/>
    <w:rPr>
      <w:vertAlign w:val="superscript"/>
    </w:rPr>
  </w:style>
  <w:style w:type="character" w:styleId="C31">
    <w:name w:val="Endnote Text Char"/>
    <w:link w:val="P51"/>
    <w:semiHidden/>
    <w:rPr>
      <w:sz w:val="20"/>
      <w:szCs w:val="20"/>
    </w:rPr>
  </w:style>
  <w:style w:type="table" w:styleId="T0" w:default="1">
    <w:name w:val="Normal Table"/>
    <w:semiHidden/>
    <w:tblPr>
      <w:tblInd w:w="0" w:type="dxa"/>
      <w:tblCellMar>
        <w:top w:w="0" w:type="dxa"/>
        <w:left w:w="108" w:type="dxa"/>
        <w:bottom w:w="0" w:type="dxa"/>
        <w:right w:w="108" w:type="dxa"/>
      </w:tblCellMar>
    </w:tblPr>
    <w:trPr/>
    <w:tc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trPr/>
    <w:tcPr/>
  </w:style>
  <w:style w:type="table" w:styleId="T2">
    <w:name w:val="Table Grid"/>
    <w:basedOn w:val="T0"/>
    <w:pPr>
      <w:spacing w:after="0" w:beforeAutospacing="0" w:afterAutospacing="0"/>
    </w:pPr>
    <w:rPr>
      <w:rFonts w:eastAsia="Times New Roman"/>
    </w:rPr>
    <w:tblPr>
      <w:tblCellMar>
        <w:left w:w="0" w:type="dxa"/>
        <w:right w:w="0" w:type="dxa"/>
      </w:tblCellMar>
    </w:tblPr>
    <w:trPr/>
    <w:tcPr/>
  </w:style>
  <w:style w:type="table" w:styleId="T3">
    <w:name w:val="Grid Table 7 Colorful Accent 6"/>
    <w:basedOn w:val="T0"/>
    <w:rPr>
      <w:color w:val="E31F56"/>
    </w:rPr>
    <w:tblPr>
      <w:tblStyleRowBandSize w:val="1"/>
      <w:tblStyleColBandSize w:val="1"/>
      <w:tblBorders>
        <w:top w:val="single" w:sz="4" w:space="0" w:shadow="0" w:frame="0" w:color="F4A7BD" w:themeColor="accent6" w:themeTint="99"/>
        <w:left w:val="single" w:sz="4" w:space="0" w:shadow="0" w:frame="0" w:color="F4A7BD" w:themeColor="accent6" w:themeTint="99"/>
        <w:bottom w:val="single" w:sz="4" w:space="0" w:shadow="0" w:frame="0" w:color="F4A7BD" w:themeColor="accent6" w:themeTint="99"/>
        <w:right w:val="single" w:sz="4" w:space="0" w:shadow="0" w:frame="0" w:color="F4A7BD" w:themeColor="accent6" w:themeTint="99"/>
        <w:insideH w:val="single" w:sz="4" w:space="0" w:shadow="0" w:frame="0" w:color="F4A7BD" w:themeColor="accent6" w:themeTint="99"/>
        <w:insideV w:val="single" w:sz="4" w:space="0" w:shadow="0" w:frame="0" w:color="F4A7BD" w:themeColor="accent6" w:themeTint="99"/>
      </w:tblBorders>
    </w:tblPr>
    <w:trPr/>
    <w:tcPr/>
    <w:tblStylePr w:type="swCell">
      <w:tblPr/>
      <w:trPr/>
      <w:tcPr>
        <w:tcBorders>
          <w:top w:val="single" w:sz="4" w:space="0" w:shadow="0" w:frame="0" w:color="F4A7BD" w:themeColor="accent6" w:themeTint="99"/>
        </w:tcBorders>
      </w:tcPr>
    </w:tblStylePr>
    <w:tblStylePr w:type="seCell">
      <w:tblPr/>
      <w:trPr/>
      <w:tcPr>
        <w:tcBorders>
          <w:top w:val="single" w:sz="4" w:space="0" w:shadow="0" w:frame="0" w:color="F4A7BD" w:themeColor="accent6" w:themeTint="99"/>
        </w:tcBorders>
      </w:tcPr>
    </w:tblStylePr>
    <w:tblStylePr w:type="nwCell">
      <w:tblPr/>
      <w:trPr/>
      <w:tcPr>
        <w:tcBorders>
          <w:bottom w:val="single" w:sz="4" w:space="0" w:shadow="0" w:frame="0" w:color="F4A7BD" w:themeColor="accent6" w:themeTint="99"/>
        </w:tcBorders>
      </w:tcPr>
    </w:tblStylePr>
    <w:tblStylePr w:type="neCell">
      <w:tblPr/>
      <w:trPr/>
      <w:tcPr>
        <w:tcBorders>
          <w:bottom w:val="single" w:sz="4" w:space="0" w:shadow="0" w:frame="0" w:color="F4A7BD" w:themeColor="accent6" w:themeTint="99"/>
        </w:tcBorders>
      </w:tcPr>
    </w:tblStylePr>
    <w:tblStylePr w:type="band1Horz">
      <w:tblPr/>
      <w:trPr/>
      <w:tcPr>
        <w:shd w:val="clear" w:color="auto" w:fill="FBE2E9" w:themeFill="accent6" w:themeFillTint="32"/>
      </w:tcPr>
    </w:tblStylePr>
    <w:tblStylePr w:type="band1Vert">
      <w:tblPr/>
      <w:trPr/>
      <w:tcPr>
        <w:shd w:val="clear" w:color="auto" w:fill="FBE2E9" w:themeFill="accent6" w:themeFillTint="32"/>
      </w:tcPr>
    </w:tblStylePr>
    <w:tblStylePr w:type="lastCol">
      <w:rPr>
        <w:i w:val="1"/>
        <w:iCs w:val="1"/>
      </w:rPr>
      <w:tblPr/>
      <w:trPr/>
      <w:tcPr>
        <w:tcBorders>
          <w:top w:val="nil"/>
          <w:bottom w:val="nil"/>
          <w:right w:val="nil"/>
          <w:insideH w:val="nil"/>
          <w:insideV w:val="nil"/>
        </w:tcBorders>
        <w:shd w:val="clear" w:color="auto" w:fill="FFFFFF" w:themeFill="background1"/>
      </w:tcPr>
    </w:tblStylePr>
    <w:tblStylePr w:type="firstCol">
      <w:pPr>
        <w:jc w:val="right"/>
      </w:pPr>
      <w:rPr>
        <w:i w:val="1"/>
        <w:iCs w:val="1"/>
      </w:rPr>
      <w:tblPr/>
      <w:trPr/>
      <w:tcPr>
        <w:tcBorders>
          <w:top w:val="nil"/>
          <w:left w:val="nil"/>
          <w:bottom w:val="nil"/>
          <w:insideH w:val="nil"/>
          <w:insideV w:val="nil"/>
        </w:tcBorders>
        <w:shd w:val="clear" w:color="auto" w:fill="FFFFFF" w:themeFill="background1"/>
      </w:tcPr>
    </w:tblStylePr>
    <w:tblStylePr w:type="lastRow">
      <w:rPr>
        <w:b w:val="1"/>
        <w:bCs w:val="1"/>
      </w:rPr>
      <w:tblPr/>
      <w:trPr/>
      <w:tcPr>
        <w:tcBorders>
          <w:left w:val="nil"/>
          <w:bottom w:val="nil"/>
          <w:right w:val="nil"/>
          <w:insideH w:val="nil"/>
          <w:insideV w:val="nil"/>
        </w:tcBorders>
        <w:shd w:val="clear" w:color="auto" w:fill="FFFFFF" w:themeFill="background1"/>
      </w:tcPr>
    </w:tblStylePr>
    <w:tblStylePr w:type="firstRow">
      <w:rPr>
        <w:b w:val="1"/>
        <w:bCs w:val="1"/>
      </w:rPr>
      <w:tblPr/>
      <w:trPr/>
      <w:tcPr>
        <w:tcBorders>
          <w:top w:val="nil"/>
          <w:left w:val="nil"/>
          <w:right w:val="nil"/>
          <w:insideH w:val="nil"/>
          <w:insideV w:val="nil"/>
        </w:tcBorders>
        <w:shd w:val="clear" w:color="auto" w:fill="FFFFFF" w:themeFill="background1"/>
      </w:tcPr>
    </w:tblStylePr>
  </w:style>
  <w:style w:type="table" w:styleId="T4">
    <w:name w:val="Grid Table Light"/>
    <w:basedOn w:val="T0"/>
    <w:tblPr>
      <w:tblBorders>
        <w:top w:val="single" w:sz="4" w:space="0" w:shadow="0" w:frame="0" w:color="BFBFBF" w:themeColor="background1" w:themeShade="BF"/>
        <w:left w:val="single" w:sz="4" w:space="0" w:shadow="0" w:frame="0" w:color="BFBFBF" w:themeColor="background1" w:themeShade="BF"/>
        <w:bottom w:val="single" w:sz="4" w:space="0" w:shadow="0" w:frame="0" w:color="BFBFBF" w:themeColor="background1" w:themeShade="BF"/>
        <w:right w:val="single" w:sz="4" w:space="0" w:shadow="0" w:frame="0" w:color="BFBFBF" w:themeColor="background1" w:themeShade="BF"/>
        <w:insideH w:val="single" w:sz="4" w:space="0" w:shadow="0" w:frame="0" w:color="BFBFBF" w:themeColor="background1" w:themeShade="BF"/>
        <w:insideV w:val="single" w:sz="4" w:space="0" w:shadow="0" w:frame="0" w:color="BFBFBF" w:themeColor="background1" w:themeShade="BF"/>
      </w:tblBorders>
    </w:tblPr>
    <w:trPr/>
    <w:tcPr/>
  </w:style>
  <w:style w:type="table" w:styleId="T5">
    <w:name w:val="Ödeshögs kommun - utan linjer"/>
    <w:basedOn w:val="T0"/>
    <w:pPr>
      <w:spacing w:lineRule="auto" w:line="240" w:after="0" w:beforeAutospacing="0" w:afterAutospacing="0"/>
    </w:pPr>
    <w:rPr>
      <w:rFonts w:hAnsiTheme="majorHAnsi"/>
    </w:rPr>
    <w:tblPr>
      <w:tblCellMar>
        <w:left w:w="0" w:type="dxa"/>
        <w:right w:w="0" w:type="dxa"/>
      </w:tblCellMar>
    </w:tblPr>
    <w:trPr/>
    <w:tcPr/>
    <w:tblStylePr w:type="firstRow">
      <w:rPr>
        <w:rFonts w:ascii="Calibri" w:hAnsiTheme="majorHAnsi"/>
        <w:b w:val="0"/>
      </w:rPr>
      <w:tblPr/>
      <w:trPr/>
      <w:tcPr/>
    </w:tblStylePr>
  </w:style>
  <w:style w:type="table" w:styleId="T6">
    <w:name w:val="Ödeshögs kommun - med linjer"/>
    <w:basedOn w:val="T0"/>
    <w:pPr>
      <w:spacing w:after="0" w:beforeAutospacing="0" w:afterAutospacing="0"/>
    </w:pPr>
    <w:tblPr>
      <w:tblBorders>
        <w:top w:val="single" w:sz="4" w:space="0" w:shadow="0" w:frame="0" w:color="7F7F7F" w:themeColor="text1" w:themeTint="80"/>
        <w:left w:val="single" w:sz="4" w:space="0" w:shadow="0" w:frame="0" w:color="7F7F7F" w:themeColor="text1" w:themeTint="80"/>
        <w:bottom w:val="single" w:sz="4" w:space="0" w:shadow="0" w:frame="0" w:color="7F7F7F" w:themeColor="text1" w:themeTint="80"/>
        <w:right w:val="single" w:sz="4" w:space="0" w:shadow="0" w:frame="0" w:color="7F7F7F" w:themeColor="text1" w:themeTint="80"/>
        <w:insideH w:val="single" w:sz="4" w:space="0" w:shadow="0" w:frame="0" w:color="7F7F7F" w:themeColor="text1" w:themeTint="80"/>
        <w:insideV w:val="single" w:sz="4" w:space="0" w:shadow="0" w:frame="0" w:color="7F7F7F" w:themeColor="text1" w:themeTint="80"/>
      </w:tblBorders>
      <w:tblCellMar>
        <w:top w:w="57" w:type="dxa"/>
        <w:left w:w="57" w:type="dxa"/>
        <w:bottom w:w="57" w:type="dxa"/>
        <w:right w:w="57" w:type="dxa"/>
      </w:tblCellMar>
    </w:tblPr>
    <w:trPr/>
    <w:tcPr/>
    <w:tblStylePr w:type="firstRow">
      <w:rPr>
        <w:rFonts w:ascii="Calibri" w:hAnsiTheme="majorHAnsi"/>
        <w:b w:val="1"/>
      </w:rPr>
      <w:tblPr/>
      <w:trPr/>
      <w:tcPr/>
    </w:tblStylePr>
  </w:style>
  <w:style w:type="table" w:styleId="T7">
    <w:name w:val="Ödeshögs kommun tabell"/>
    <w:basedOn w:val="T0"/>
    <w:pPr>
      <w:spacing w:after="0" w:beforeAutospacing="0" w:afterAutospacing="0"/>
    </w:pPr>
    <w:tblPr>
      <w:tblStyleRowBandSize w:val="1"/>
      <w:tblBorders>
        <w:bottom w:val="single" w:sz="4" w:space="0" w:shadow="0" w:frame="0" w:color="auto"/>
        <w:insideH w:val="single" w:sz="4" w:space="0" w:shadow="0" w:frame="0" w:color="auto"/>
        <w:insideV w:val="single" w:sz="4" w:space="0" w:shadow="0" w:frame="0" w:color="auto"/>
      </w:tblBorders>
      <w:tblCellMar>
        <w:top w:w="57" w:type="dxa"/>
        <w:left w:w="57" w:type="dxa"/>
        <w:bottom w:w="57" w:type="dxa"/>
        <w:right w:w="57" w:type="dxa"/>
      </w:tblCellMar>
    </w:tblPr>
    <w:trPr/>
    <w:tcPr/>
    <w:tblStylePr w:type="firstRow">
      <w:rPr>
        <w:rFonts w:ascii="Calibri" w:hAnsiTheme="majorHAnsi"/>
        <w:b w:val="1"/>
        <w:color w:val="FFFFFF"/>
        <w:sz w:val="21"/>
      </w:rPr>
      <w:tblPr/>
      <w:trPr/>
      <w:tcPr>
        <w:tcBorders>
          <w:top w:val="nil"/>
          <w:left w:val="nil"/>
          <w:bottom w:val="nil"/>
          <w:right w:val="nil"/>
          <w:insideH w:val="nil"/>
          <w:insideV w:val="nil"/>
          <w:tl2br w:val="nil"/>
          <w:tr2bl w:val="nil"/>
        </w:tcBorders>
        <w:shd w:val="clear" w:color="auto" w:fill="F9B000" w:themeFill="accent1"/>
      </w:tcPr>
    </w:tblStylePr>
  </w:style>
  <w:style w:type="numbering" w:styleId="N0">
    <w:name w:val="No List"/>
  </w:style>
  <w:style w:type="numbering" w:styleId="N1">
    <w:name w:val="Company_List"/>
    <w:pPr>
      <w:numPr>
        <w:numId w:val="21"/>
      </w:numPr>
    </w:pPr>
  </w:style>
  <w:style w:type="numbering" w:styleId="N2">
    <w:name w:val="Company_ListBullet"/>
    <w:pPr>
      <w:numPr>
        <w:numId w:val="22"/>
      </w:numPr>
    </w:pPr>
  </w:style>
  <w:style w:type="numbering" w:styleId="N3">
    <w:name w:val="Nummer lista"/>
    <w:pPr>
      <w:numPr>
        <w:numId w:val="1"/>
      </w:numPr>
    </w:pPr>
  </w:style>
  <w:style w:type="numbering" w:styleId="N4">
    <w:name w:val="Punkter lista"/>
    <w:pPr>
      <w:numPr>
        <w:numId w:val="2"/>
      </w:numPr>
    </w:pPr>
  </w:style>
</w:styles>
</file>

<file path=word/_rels/document.xml.rels>&#65279;<?xml version="1.0" encoding="utf-8"?><Relationships xmlns="http://schemas.openxmlformats.org/package/2006/relationships"><Relationship Id="Relimage1" Type="http://schemas.openxmlformats.org/officeDocument/2006/relationships/image" Target="/media/image1.jpg" /><Relationship Id="Relimage2" Type="http://schemas.openxmlformats.org/officeDocument/2006/relationships/image" Target="/media/image2.jpg" /><Relationship Id="Relimage3" Type="http://schemas.openxmlformats.org/officeDocument/2006/relationships/image" Target="/media/image3.png" /><Relationship Id="Relimage4" Type="http://schemas.openxmlformats.org/officeDocument/2006/relationships/image" Target="/media/image4.png" /><Relationship Id="Relimage5" Type="http://schemas.openxmlformats.org/officeDocument/2006/relationships/image" Target="/media/image5.png" /><Relationship Id="Relimage6" Type="http://schemas.openxmlformats.org/officeDocument/2006/relationships/image" Target="/media/image6.png" /><Relationship Id="Relimage7" Type="http://schemas.openxmlformats.org/officeDocument/2006/relationships/image" Target="/media/image7.png" /><Relationship Id="Relimage8" Type="http://schemas.openxmlformats.org/officeDocument/2006/relationships/image" Target="/media/image8.png" /><Relationship Id="Relimage9" Type="http://schemas.openxmlformats.org/officeDocument/2006/relationships/image" Target="/media/image9.png" /><Relationship Id="Relimage10" Type="http://schemas.openxmlformats.org/officeDocument/2006/relationships/image" Target="/media/image10.jpg" /><Relationship Id="Relimage11" Type="http://schemas.openxmlformats.org/officeDocument/2006/relationships/image" Target="/media/image11.png" /><Relationship Id="Relimage12" Type="http://schemas.openxmlformats.org/officeDocument/2006/relationships/image" Target="/media/image12.png" /><Relationship Id="Relimage13" Type="http://schemas.openxmlformats.org/officeDocument/2006/relationships/image" Target="/media/image13.jpg" /><Relationship Id="Relimage14" Type="http://schemas.openxmlformats.org/officeDocument/2006/relationships/image" Target="/media/image14.jpg" /><Relationship Id="Relimage15" Type="http://schemas.openxmlformats.org/officeDocument/2006/relationships/image" Target="/media/image15.jpg" /><Relationship Id="Relimage16" Type="http://schemas.openxmlformats.org/officeDocument/2006/relationships/image" Target="/media/image16.png" /><Relationship Id="Relimage17" Type="http://schemas.openxmlformats.org/officeDocument/2006/relationships/image" Target="/media/image17.emf" /><Relationship Id="Relimage18" Type="http://schemas.openxmlformats.org/officeDocument/2006/relationships/image" Target="/media/image18.png" /><Relationship Id="Relimage19" Type="http://schemas.openxmlformats.org/officeDocument/2006/relationships/image" Target="/media/image19.png" /><Relationship Id="Relimage20" Type="http://schemas.openxmlformats.org/officeDocument/2006/relationships/image" Target="/media/image20.png" /><Relationship Id="RelHdr1" Type="http://schemas.openxmlformats.org/officeDocument/2006/relationships/header" Target="header1.xml" /><Relationship Id="RelHdr2" Type="http://schemas.openxmlformats.org/officeDocument/2006/relationships/header" Target="header2.xml" /><Relationship Id="RelFtr1" Type="http://schemas.openxmlformats.org/officeDocument/2006/relationships/footer" Target="footer1.xml" /><Relationship Id="RelFtr2" Type="http://schemas.openxmlformats.org/officeDocument/2006/relationships/footer" Target="footer2.xml" /><Relationship Id="RelFnt1" Type="http://schemas.openxmlformats.org/officeDocument/2006/relationships/footnotes" Target="footnotes.xml" /><Relationship Id="RelEnt1" Type="http://schemas.openxmlformats.org/officeDocument/2006/relationships/endnotes" Target="endnotes.xml"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 Id="RelTheme1" Type="http://schemas.openxmlformats.org/officeDocument/2006/relationships/theme" Target="theme/theme1.xml" /><Relationship Id="RelItem1" Type="http://schemas.openxmlformats.org/officeDocument/2006/relationships/customXml" Target="../customXml/item1.xml" /><Relationship Id="RelItem2" Type="http://schemas.openxmlformats.org/officeDocument/2006/relationships/customXml" Target="../customXml/item2.xml" /></Relationships>
</file>

<file path=word/_rels/endnotes.xml.rels>&#65279;<?xml version="1.0" encoding="utf-8"?><Relationships xmlns="http://schemas.openxmlformats.org/package/2006/relationships" />
</file>

<file path=word/_rels/footer1.xml.rels>&#65279;<?xml version="1.0" encoding="utf-8"?><Relationships xmlns="http://schemas.openxmlformats.org/package/2006/relationships" />
</file>

<file path=word/_rels/footer2.xml.rels>&#65279;<?xml version="1.0" encoding="utf-8"?><Relationships xmlns="http://schemas.openxmlformats.org/package/2006/relationships" />
</file>

<file path=word/_rels/footnotes.xml.rels>&#65279;<?xml version="1.0" encoding="utf-8"?><Relationships xmlns="http://schemas.openxmlformats.org/package/2006/relationships" />
</file>

<file path=word/_rels/header1.xml.rels>&#65279;<?xml version="1.0" encoding="utf-8"?><Relationships xmlns="http://schemas.openxmlformats.org/package/2006/relationships"><Relationship Id="Relimage21" Type="http://schemas.openxmlformats.org/officeDocument/2006/relationships/image" Target="/media/image21.png" /><Relationship Id="Relimage22" Type="http://schemas.openxmlformats.org/officeDocument/2006/relationships/image" Target="/media/image22.png" /></Relationships>
</file>

<file path=word/_rels/header2.xml.rels>&#65279;<?xml version="1.0" encoding="utf-8"?><Relationships xmlns="http://schemas.openxmlformats.org/package/2006/relationships" />
</file>

<file path=word/theme/theme1.xml><?xml version="1.0" encoding="utf-8"?>
<a:theme xmlns:a="http://schemas.openxmlformats.org/drawingml/2006/main" name="Office Theme">
  <a:themeElements>
    <a:clrScheme name="Ödeshögs kommun">
      <a:dk1>
        <a:sysClr val="windowText" lastClr="000000"/>
      </a:dk1>
      <a:lt1>
        <a:sysClr val="window" lastClr="FFFFFF"/>
      </a:lt1>
      <a:dk2>
        <a:srgbClr val="A5A5A5"/>
      </a:dk2>
      <a:lt2>
        <a:srgbClr val="7F7F7F"/>
      </a:lt2>
      <a:accent1>
        <a:srgbClr val="F9B000"/>
      </a:accent1>
      <a:accent2>
        <a:srgbClr val="3EA3DC"/>
      </a:accent2>
      <a:accent3>
        <a:srgbClr val="E40040"/>
      </a:accent3>
      <a:accent4>
        <a:srgbClr val="FFDF43"/>
      </a:accent4>
      <a:accent5>
        <a:srgbClr val="6B9531"/>
      </a:accent5>
      <a:accent6>
        <a:srgbClr val="ED6D91"/>
      </a:accent6>
      <a:hlink>
        <a:srgbClr val="000000"/>
      </a:hlink>
      <a:folHlink>
        <a:srgbClr val="000000"/>
      </a:folHlink>
    </a:clrScheme>
    <a:fontScheme name="Ödeshögs kommun">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mpd="sng" algn="ctr">
          <a:solidFill>
            <a:schemeClr val="phClr">
              <a:shade val="95000"/>
              <a:satMod val="105000"/>
            </a:schemeClr>
          </a:solidFill>
          <a:prstDash val="solid"/>
        </a:ln>
        <a:ln w="25400" cmpd="sng" algn="ctr">
          <a:solidFill>
            <a:schemeClr val="phClr"/>
          </a:solidFill>
          <a:prstDash val="solid"/>
        </a:ln>
        <a:ln w="38100"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lanbeskrivning xmlns:lmg="http://namespace.lantmateriet.se/distribution/geometri/v2" xmlns:gml="http://www.opengis.net/gml/3.2" xmlns="http://namespace.lantmateriet.se/distribution/geodatakatalog/planbeskrivning/v2">
  <versionGiltigFran>2025-07-02T13:54:20.2930003+02:00</versionGiltigFran>
  <detaljplansreferens>eaf3180d-adb4-4b07-87b6-735f789be65f</detaljplansreferens>
  <Objektmetadata>
    <programvara>GEOSECMA</programvara>
    <programvaruversion>20.6</programvaruversion>
  </Objektmetadata>
  <Omfattning>
    <identitet>mo_motivtillreglering01</identitet>
    <Lage>
      <lmg:Yta>
        <lmg:absolutLagesosakerhetPlan>0</lmg:absolutLagesosakerhetPlan>
        <lmg:absolutLagesosakerhetHojd>0</lmg:absolutLagesosakerhetHojd>
        <lmg:hojdsystem>RH 2000</lmg:hojdsystem>
        <gml:Polygon gml:id="ID_620caa9c-2d64-42dd-8614-4bcd953ce4de" srsName="EPSG:3009" srsDimension="2">
          <gml:exterior>
            <gml:LinearRing gml:id="ID_ab7da2f3-1173-4846-a6c8-2e8255320a08">
              <gml:posList>6457044.311 129452.278 6457042.68 129447.992 6457040.853 129443.193 6457037.144 129433.449 6457036.73 129432.362 6457036.074 129430.637 6457035.139 129428.181 6457030.78 129416.731 6457029.43 129413.183 6457028.6 129411.002 6457026.732 129406.095 6457025.093 129401.789 6457019.871 129388.071 6457017.165 129380.962 6457016.366 129378.863 6457015.845 129377.494 6457015.819 129377.425 6457010.336 129362.63 6457008.935 129358.85 6457004.542 129346.994 6457004.3 129346.341 6457003.87 129345.183 6457003.715 129344.762 6456998.195 129329.868 6456996.377 129324.963 6456994.301 129321.651 6456991.104 129319.378 6456987.293 129318.513 6456984.283 129319.031 6456983.43 129319.178 6456981.856 129319.755 6456979.705 129320.543 6456979.518 129320.611 6456979.147 129320.749 6456978.324 129321.055 6456978.257 129321.08 6456977.934 129321.2 6456972.105 129323.368 6456964.992 129326.107 6456954.177 129330.27 6456947.531 129332.829 6456907.943 129347.302 6456905.93 129348.038 6456896.627 129351.515 6456879.561 129357.894 6456877.482 129358.671 6456861.204 129364.754 6456860.14 129365.152 6456858.76 129365.668 6456857.295 129366.215 6456854.631 129370.747 6456856.556 129383.427 6456865.192 129440.321 6456866.8 129450.456 6456869.309 129463.621 6456869.455 129464.387 6456873.709 129486.644 6456874.461 129490.58 6456875.608 129496.475 6456878.758 129512.044 6456883.866 129537.286 6456886.397 129549.79 6456886.415 129549.883 6456881.466 129550.985 6456881.465 129550.981 6456869.127 129487.534 6456865.289 129467.8 6456857.715 129428.853 6456856.554 129422.886 6456854.952 129413.432 6456848.198 129371.824 6456847.704 129350.514 6456847.708 129350.53 6456848.279 129352.597 6456849.232 129354.496 6456850.72 129356.027 6456852.602 129357.076 6456852.606 129357.077 6456854.779 129357.6 6456854.783 129357.599 6456857.715 129356.505 6456857.778 129356.482 6456857.782 129356.48 6456875.098 129350.017 6456875.102 129350.016 6456902.357 129339.83 6456902.361 129339.829 6456927.95 129330.27 6456927.953 129330.27 6456946.112 129323.487 6456946.116 129323.485 6456976.463 129312.151 6456976.467 129312.15 6456980.14 129310.779 6456983.456 129308.729 6456985.738 129305.561 6456986.633 129301.761 6456986.007 129297.909 6456986.011 129297.908 6456990.278 129296.02 6456991.406 129298.861 6456993.242 129303.485 6456993.53 129304.21 6456994.586 129306.872 6457000.887 129322.743 6457020.5 129375.667 6457021.81 129379.11 6457026.477 129391.371 6457029.43 129399.128 6457041.494 129430.822 6457041.541 129430.946 6457047.421 129446.394 6457048.944 129450.394 6457046.234 129451.648 6457046.23 129451.65 6457045.352 129451.937 6457045.348 129451.939 6457044.315 129452.277 6457044.311 129452.278</gml:posList>
            </gml:LinearRing>
          </gml:exterior>
        </gml:Polygon>
      </lmg:Yta>
      <planbestammelsereferens>d7fdeb96-9086-4f92-ade3-168b436e77f2</planbestammelsereferens>
    </Lage>
    <Indelning>
      <tema>Motiv till detaljplanens regleringar</tema>
      <grupp>Motiv till reglering</grupp>
    </Indelning>
  </Omfattning>
  <Omfattning>
    <identitet>mo_motivtillreglering02</identitet>
    <Lage>
      <lmg:Yta>
        <lmg:absolutLagesosakerhetPlan>0</lmg:absolutLagesosakerhetPlan>
        <lmg:absolutLagesosakerhetHojd>0</lmg:absolutLagesosakerhetHojd>
        <lmg:hojdsystem>RH 2000</lmg:hojdsystem>
        <gml:Polygon gml:id="ID_9cfb5b18-2898-43f6-bbcc-1cf268a22b2f" srsName="EPSG:3009" srsDimension="2">
          <gml:exterior>
            <gml:LinearRing gml:id="ID_0adcd46f-195e-4771-a774-8e22da408e05">
              <gml:posList>6456995.414 129421.326 6456979.355 129429.136 6456999.828 129474.73 6457001.688 129478.873 6456988.487 129487.105 6456984.715 129489.457 6456982.158 129491.052 6456979.872 129492.477 6456964.992 129501.757 6456950.668 129510.69 6456928.066 129476.133 6456920.47 129477.601 6456913.417 129478.965 6456897.706 129482.003 6456883.515 129484.747 6456883.478 129484.755 6456879.038 129485.613 6456878.115 129485.792 6456877.87 129485.839 6456874.035 129486.581 6456873.709 129486.644 6456869.455 129464.387 6456869.309 129463.621 6456866.8 129450.456 6456865.192 129440.321 6456856.556 129383.427 6456854.631 129370.747 6456857.295 129366.215 6456858.76 129365.668 6456860.14 129365.152 6456861.204 129364.754 6456877.482 129358.671 6456879.561 129357.894 6456896.627 129351.515 6456905.93 129348.038 6456907.943 129347.302 6456947.531 129332.829 6456954.177 129330.27 6456964.992 129326.107 6456972.105 129323.368 6456977.934 129321.2 6456978.257 129321.08 6456978.324 129321.055 6456979.147 129320.749 6456979.518 129320.611 6456979.705 129320.543 6456981.856 129319.755 6456983.43 129319.178 6456984.283 129319.031 6456987.293 129318.513 6456991.104 129319.378 6456994.301 129321.651 6456996.377 129324.963 6456998.195 129329.868 6457003.715 129344.762 6457003.87 129345.183 6457004.3 129346.341 6457004.542 129346.994 6457008.935 129358.85 6457010.336 129362.63 6457015.819 129377.425 6457015.845 129377.494 6457016.366 129378.863 6457017.165 129380.962 6457019.871 129388.071 6457025.093 129401.789 6457026.732 129406.095 6457018.935 129409.886 6457018.54 129410.078 6457014.488 129412.049 6457013.189 129412.681 6457008.11 129415.151 6457002.712 129417.776 6457001.394 129418.417 6456997.79 129420.17 6456995.414 129421.326</gml:posList>
            </gml:LinearRing>
          </gml:exterior>
        </gml:Polygon>
      </lmg:Yta>
      <planbestammelsereferens>e704e64f-f918-455f-aa26-fddd5c9186ec</planbestammelsereferens>
    </Lage>
    <Lage>
      <lmg:Yta>
        <lmg:absolutLagesosakerhetPlan>0</lmg:absolutLagesosakerhetPlan>
        <lmg:absolutLagesosakerhetHojd>0</lmg:absolutLagesosakerhetHojd>
        <lmg:hojdsystem>RH 2000</lmg:hojdsystem>
        <gml:Polygon gml:id="ID_4ae413b3-848d-4c90-a4f1-259e756a19c5" srsName="EPSG:3009" srsDimension="2">
          <gml:exterior>
            <gml:LinearRing gml:id="ID_117104fc-4b1c-43a6-8ea3-0d98c6ca187c">
              <gml:posList>6457033.785 129447.749 6457032.257 129448.719 6457034.034 129453.388 6457034.931 129455.744 6457035.665 129457.674 6457032.104 129459.897 6457031.342 129460.372 6457011.86 129472.531 6457001.688 129478.873 6456999.828 129474.73 6456979.355 129429.136 6456995.414 129421.326 6456997.79 129420.17 6457001.394 129418.417 6457002.712 129417.776 6457008.11 129415.151 6457013.189 129412.681 6457014.488 129412.049 6457018.54 129410.078 6457018.935 129409.886 6457026.732 129406.095 6457028.6 129411.002 6457029.43 129413.183 6457030.78 129416.731 6457035.139 129428.181 6457036.074 129430.637 6457036.73 129432.362 6457037.144 129433.449 6457040.853 129443.193 6457037.73 129445.21 6457037.282 129445.499 6457035.48 129446.663 6457034.559 129447.258 6457033.785 129447.749</gml:posList>
            </gml:LinearRing>
          </gml:exterior>
        </gml:Polygon>
      </lmg:Yta>
      <planbestammelsereferens>f43b0b5e-a3d1-43f1-ac11-2ea0b331ac81</planbestammelsereferens>
    </Lage>
    <Indelning>
      <tema>Motiv till detaljplanens regleringar</tema>
      <grupp>Motiv till reglering</grupp>
    </Indelning>
  </Omfattning>
  <Omfattning>
    <identitet>mo_motivtillreglering03</identitet>
    <Lage>
      <lmg:Yta>
        <lmg:absolutLagesosakerhetPlan>0</lmg:absolutLagesosakerhetPlan>
        <lmg:absolutLagesosakerhetHojd>0</lmg:absolutLagesosakerhetHojd>
        <lmg:hojdsystem>RH 2000</lmg:hojdsystem>
        <gml:Polygon gml:id="ID_0cad28e6-56e2-4aa0-9e3d-69cfdb94855a" srsName="EPSG:3009" srsDimension="2">
          <gml:exterior>
            <gml:LinearRing gml:id="ID_192639c0-1434-4c73-9ccd-8b082fb15b7f">
              <gml:posList>6457033.785 129447.749 6457032.257 129448.719 6457034.034 129453.388 6457034.931 129455.744 6457035.665 129457.674 6457032.104 129459.897 6457031.342 129460.372 6457011.86 129472.531 6457001.688 129478.873 6456999.828 129474.73 6456979.355 129429.136 6456995.414 129421.326 6456997.79 129420.17 6457001.394 129418.417 6457002.712 129417.776 6457008.11 129415.151 6457013.189 129412.681 6457014.488 129412.049 6457018.54 129410.078 6457018.935 129409.886 6457026.732 129406.095 6457028.6 129411.002 6457029.43 129413.183 6457030.78 129416.731 6457035.139 129428.181 6457036.074 129430.637 6457036.73 129432.362 6457037.144 129433.449 6457040.853 129443.193 6457037.73 129445.21 6457037.282 129445.499 6457035.48 129446.663 6457034.559 129447.258 6457033.785 129447.749</gml:posList>
            </gml:LinearRing>
          </gml:exterior>
        </gml:Polygon>
      </lmg:Yta>
      <planbestammelsereferens>a15d6d90-3611-40a8-96c3-eeec7aabfd98</planbestammelsereferens>
    </Lage>
    <Indelning>
      <tema>Motiv till detaljplanens regleringar</tema>
      <grupp>Motiv till reglering</grupp>
    </Indelning>
  </Omfattning>
  <Omfattning>
    <identitet>mo_motivtillreglering04</identitet>
    <Lage>
      <lmg:Yta>
        <lmg:absolutLagesosakerhetPlan>0</lmg:absolutLagesosakerhetPlan>
        <lmg:absolutLagesosakerhetHojd>0</lmg:absolutLagesosakerhetHojd>
        <lmg:hojdsystem>RH 2000</lmg:hojdsystem>
        <gml:Polygon gml:id="ID_2ff3e9e7-cc98-46f7-bbf7-56407e2439d5" srsName="EPSG:3009" srsDimension="2">
          <gml:exterior>
            <gml:LinearRing gml:id="ID_fc0921ce-7563-4402-aa11-78a43789ca92">
              <gml:posList>6456874.461 129490.58 6456873.709 129486.644 6456874.035 129486.581 6456877.87 129485.839 6456878.115 129485.792 6456879.038 129485.613 6456883.478 129484.755 6456883.515 129484.747 6456885.418 129494.524 6456875.61 129496.474 6456875.608 129496.475 6456874.461 129490.58</gml:posList>
            </gml:LinearRing>
          </gml:exterior>
        </gml:Polygon>
      </lmg:Yta>
      <planbestammelsereferens>8a1924d2-f246-4f52-9484-8cb2921eaa40</planbestammelsereferens>
    </Lage>
    <Lage>
      <lmg:Yta>
        <lmg:absolutLagesosakerhetPlan>0</lmg:absolutLagesosakerhetPlan>
        <lmg:absolutLagesosakerhetHojd>0</lmg:absolutLagesosakerhetHojd>
        <lmg:hojdsystem>RH 2000</lmg:hojdsystem>
        <gml:Polygon gml:id="ID_adca90a0-87db-4ae9-9064-8b502efde59d" srsName="EPSG:3009" srsDimension="2">
          <gml:exterior>
            <gml:LinearRing gml:id="ID_4df53a56-fd47-4117-b85b-e1df497cba35">
              <gml:posList>6457037.73 129445.21 6457040.853 129443.193 6457042.68 129447.992 6457044.311 129452.278 6457036.931 129456.884 6457035.665 129457.674 6457034.931 129455.744 6457034.034 129453.388 6457032.257 129448.719 6457033.785 129447.749 6457034.559 129447.258 6457035.48 129446.663 6457037.282 129445.499 6457037.73 129445.21</gml:posList>
            </gml:LinearRing>
          </gml:exterior>
        </gml:Polygon>
      </lmg:Yta>
      <planbestammelsereferens>63720d18-8263-494f-ad48-b905b247dd68</planbestammelsereferens>
    </Lage>
    <Indelning>
      <tema>Motiv till detaljplanens regleringar</tema>
      <grupp>Motiv till reglering</grupp>
    </Indelning>
  </Omfattning>
  <Omfattning>
    <identitet>mo_motivtillreglering05</identitet>
    <Lage>
      <lmg:Yta>
        <lmg:absolutLagesosakerhetPlan>0.1</lmg:absolutLagesosakerhetPlan>
        <lmg:absolutLagesosakerhetHojd>0</lmg:absolutLagesosakerhetHojd>
        <lmg:hojdsystem>RH 2000</lmg:hojdsystem>
        <gml:Polygon gml:id="ID_20e05541-8535-44e3-bacc-76b238ea7464" srsName="EPSG:3009" srsDimension="2">
          <gml:exterior>
            <gml:LinearRing gml:id="ID_08732e21-6fd3-4c26-a4fe-5dbc32723d68">
              <gml:posList>6457018.935 129409.886 6457018.54 129410.078 6457014.488 129412.049 6457013.189 129412.681 6457008.11 129415.151 6456998.063 129389.534 6456977.622 129337.414 6456863.639 129381.206 6456860.539 129382.397 6456861.639 129389.781 6456863.216 129399.137 6456871.233 129449.683 6456873.956 129463.968 6456877.272 129481.371 6456903.212 129476.355 6456915.928 129473.896 6456919.996 129473.11 6456920.478 129473.016 6456930.178 129471.141 6456952.023 129504.542 6456976.12 129489.514 6456982.969 129485.231 6456986.106 129483.287 6456999.828 129474.73 6457001.688 129478.873 6456988.487 129487.105 6456984.715 129489.457 6456982.158 129491.052 6456979.872 129492.477 6456964.992 129501.757 6456950.668 129510.69 6456928.066 129476.133 6456920.47 129477.601 6456913.417 129478.965 6456897.706 129482.003 6456883.515 129484.747 6456883.478 129484.755 6456879.038 129485.613 6456878.115 129485.792 6456877.87 129485.839 6456874.035 129486.581 6456873.709 129486.644 6456869.455 129464.387 6456869.309 129463.621 6456866.8 129450.456 6456865.192 129440.321 6456856.556 129383.427 6456854.631 129370.747 6456857.295 129366.215 6456858.76 129365.668 6456860.14 129365.152 6456861.204 129364.754 6456877.482 129358.671 6456879.561 129357.894 6456896.627 129351.515 6456905.93 129348.038 6456907.943 129347.302 6456947.531 129332.829 6456954.177 129330.27 6456964.992 129326.107 6456972.105 129323.368 6456977.934 129321.2 6456978.257 129321.08 6456978.324 129321.055 6456979.147 129320.749 6456979.518 129320.611 6456979.705 129320.543 6456981.856 129319.755 6456983.43 129319.178 6456984.283 129319.031 6456987.293 129318.513 6456991.104 129319.378 6456994.301 129321.651 6456996.377 129324.963 6456998.195 129329.868 6457003.715 129344.762 6457003.87 129345.183 6457004.3 129346.341 6457004.542 129346.994 6457008.935 129358.85 6457010.336 129362.63 6457015.819 129377.425 6457015.845 129377.494 6457016.366 129378.863 6457017.165 129380.962 6457019.871 129388.071 6457025.093 129401.789 6457026.732 129406.095 6457018.935 129409.886</gml:posList>
            </gml:LinearRing>
          </gml:exterior>
        </gml:Polygon>
      </lmg:Yta>
      <planbestammelsereferens>b360cdd1-a084-4350-ae2b-c9d17d85610f</planbestammelsereferens>
    </Lage>
    <Lage>
      <lmg:Yta>
        <lmg:absolutLagesosakerhetPlan>0.1</lmg:absolutLagesosakerhetPlan>
        <lmg:absolutLagesosakerhetHojd>0</lmg:absolutLagesosakerhetHojd>
        <lmg:hojdsystem>RH 2000</lmg:hojdsystem>
        <gml:Polygon gml:id="ID_cba5a6c4-380a-4878-9d5c-35b126983a79" srsName="EPSG:3009" srsDimension="2">
          <gml:exterior>
            <gml:LinearRing gml:id="ID_0dced4c7-0aee-41b0-8a9d-6118488b2f3e">
              <gml:posList>6457004.724 129471.678 6457005.286 129471.327 6457009.478 129468.713 6457025.255 129458.867 6457029.71 129456.086 6457029.637 129455.893 6457027.948 129451.454 6457026.132 129446.684 6457030.441 129443.95 6457031.863 129443.047 6457031.925 129443.007 6457022.197 129418.203 6457018.935 129409.886 6457026.732 129406.095 6457028.6 129411.002 6457029.43 129413.183 6457030.78 129416.731 6457035.139 129428.181 6457036.074 129430.637 6457036.73 129432.362 6457037.144 129433.449 6457040.853 129443.193 6457037.73 129445.21 6457037.282 129445.499 6457035.48 129446.663 6457034.559 129447.258 6457033.785 129447.749 6457032.257 129448.719 6457034.034 129453.388 6457034.931 129455.744 6457035.665 129457.674 6457032.104 129459.897 6457031.342 129460.372 6457011.86 129472.531 6457001.688 129478.873 6456999.828 129474.73 6457004.724 129471.678</gml:posList>
            </gml:LinearRing>
          </gml:exterior>
        </gml:Polygon>
      </lmg:Yta>
      <planbestammelsereferens>539c0fbd-baed-43aa-8e29-a74a19d09d4b</planbestammelsereferens>
    </Lage>
    <Indelning>
      <tema>Motiv till detaljplanens regleringar</tema>
      <grupp>Motiv till reglering</grupp>
    </Indelning>
  </Omfattning>
  <Omfattning>
    <identitet>mo_motivtillreglering06</identitet>
    <Lage>
      <lmg:Yta>
        <lmg:absolutLagesosakerhetPlan>0</lmg:absolutLagesosakerhetPlan>
        <lmg:absolutLagesosakerhetHojd>0</lmg:absolutLagesosakerhetHojd>
        <lmg:hojdsystem>RH 2000</lmg:hojdsystem>
        <gml:Polygon gml:id="ID_94c60f2a-4091-4ab4-a5d4-6d9732102579" srsName="EPSG:3009" srsDimension="2">
          <gml:exterior>
            <gml:LinearRing gml:id="ID_b9237686-7d1a-49ab-9fc0-91e51281587b">
              <gml:posList>6456919.445 129467.892 6456919.996 129473.11 6456915.928 129473.896 6456903.212 129476.355 6456877.272 129481.371 6456873.956 129463.968 6456871.233 129449.683 6456863.216 129399.137 6456861.639 129389.781 6456860.539 129382.397 6456863.639 129381.206 6456875.765 129445.031 6456878.144 129457.553 6456879.269 129463.474 6456883.226 129463.106 6456912.038 129460.426 6456918.593 129459.816 6456918.997 129463.645 6456919.445 129467.892</gml:posList>
            </gml:LinearRing>
          </gml:exterior>
        </gml:Polygon>
      </lmg:Yta>
      <planbestammelsereferens>42c53b72-35ce-4d63-92e3-bd37ff6e1a8c</planbestammelsereferens>
    </Lage>
    <Lage>
      <lmg:Yta>
        <lmg:absolutLagesosakerhetPlan>0</lmg:absolutLagesosakerhetPlan>
        <lmg:absolutLagesosakerhetHojd>0</lmg:absolutLagesosakerhetHojd>
        <lmg:hojdsystem>RH 2000</lmg:hojdsystem>
        <gml:Polygon gml:id="ID_6038078b-8a05-48af-bac0-3bb62b42c05b" srsName="EPSG:3009" srsDimension="2">
          <gml:exterior>
            <gml:LinearRing gml:id="ID_fd488e02-9e48-4c32-9d5a-be777364e41f">
              <gml:posList>6457025.255 129458.867 6457023.372 129454.065 6457023.074 129453.305 6457021.513 129449.327 6457020.48 129446.691 6457017.088 129438.044 6457016.808 129437.33 6457008.11 129415.151 6457013.189 129412.681 6457014.488 129412.049 6457018.54 129410.078 6457018.935 129409.886 6457022.197 129418.203 6457031.925 129443.007 6457031.863 129443.047 6457030.441 129443.95 6457026.132 129446.684 6457027.948 129451.454 6457029.637 129455.893 6457029.71 129456.086 6457025.255 129458.867</gml:posList>
            </gml:LinearRing>
          </gml:exterior>
        </gml:Polygon>
      </lmg:Yta>
      <planbestammelsereferens>8952042a-436e-49b2-8538-35cb0142fdb4</planbestammelsereferens>
    </Lage>
    <Indelning>
      <tema>Motiv till detaljplanens regleringar</tema>
      <grupp>Motiv till reglering</grupp>
    </Indelning>
  </Omfattning>
  <Omfattning>
    <identitet>mo_motivtillreglering07</identitet>
    <Lage>
      <lmg:Linje>
        <lmg:absolutLagesosakerhetPlan>0.1</lmg:absolutLagesosakerhetPlan>
        <lmg:absolutLagesosakerhetHojd>0</lmg:absolutLagesosakerhetHojd>
        <lmg:hojdsystem>RH 2000</lmg:hojdsystem>
        <gml:LineString gml:id="ID_89985328-f176-4740-9b91-45d90649e186" srsName="EPSG:3009" srsDimension="2">
          <gml:posList>6456979.705 129320.543 6456981.856 129319.755 6456983.43 129319.178 6456984.283 129319.031 6456987.293 129318.513 6456991.104 129319.378 6456994.301 129321.651 6456996.377 129324.963 6456998.195 129329.868 6457003.715 129344.762 6457003.87 129345.183</gml:posList>
        </gml:LineString>
      </lmg:Linje>
      <planbestammelsereferens>7e7c51e8-2680-40f9-9ace-97d0672bd05d</planbestammelsereferens>
    </Lage>
    <Lage>
      <lmg:Linje>
        <lmg:absolutLagesosakerhetPlan>0.1</lmg:absolutLagesosakerhetPlan>
        <lmg:absolutLagesosakerhetHojd>0</lmg:absolutLagesosakerhetHojd>
        <lmg:hojdsystem>RH 2000</lmg:hojdsystem>
        <gml:LineString gml:id="ID_13ee241c-87b4-42b9-b66b-7ced06c2e63b" srsName="EPSG:3009" srsDimension="2">
          <gml:posList>6456856.556 129383.427 6456854.631 129370.747 6456857.295 129366.215 6456858.76 129365.668</gml:posList>
        </gml:LineString>
      </lmg:Linje>
      <planbestammelsereferens>516d19be-f6c8-4018-8b0f-a80680aa4f01</planbestammelsereferens>
    </Lage>
    <Indelning>
      <tema>Motiv till detaljplanens regleringar</tema>
      <grupp>Motiv till reglering</grupp>
    </Indelning>
  </Omfattning>
  <Omfattning>
    <identitet>mo_motivtillreglering08</identitet>
    <Lage>
      <lmg:Yta>
        <lmg:absolutLagesosakerhetPlan>0</lmg:absolutLagesosakerhetPlan>
        <lmg:absolutLagesosakerhetHojd>0</lmg:absolutLagesosakerhetHojd>
        <lmg:hojdsystem>RH 2000</lmg:hojdsystem>
        <gml:Polygon gml:id="ID_348e480e-8a03-4d65-aeb9-b2e4a52f543d" srsName="EPSG:3009" srsDimension="2">
          <gml:exterior>
            <gml:LinearRing gml:id="ID_fd192a36-3ed2-4dee-b771-06de8e7a9830">
              <gml:posList>6456919.445 129467.892 6456919.996 129473.11 6456915.928 129473.896 6456903.212 129476.355 6456877.272 129481.371 6456873.956 129463.968 6456871.233 129449.683 6456863.216 129399.137 6456861.639 129389.781 6456860.539 129382.397 6456863.639 129381.206 6456875.765 129445.031 6456878.144 129457.553 6456879.269 129463.474 6456883.226 129463.106 6456912.038 129460.426 6456918.593 129459.816 6456918.997 129463.645 6456919.445 129467.892</gml:posList>
            </gml:LinearRing>
          </gml:exterior>
        </gml:Polygon>
      </lmg:Yta>
      <planbestammelsereferens>85ab36c5-7532-4a2e-a711-5c9d4249ddee</planbestammelsereferens>
    </Lage>
    <Lage>
      <lmg:Yta>
        <lmg:absolutLagesosakerhetPlan>0</lmg:absolutLagesosakerhetPlan>
        <lmg:absolutLagesosakerhetHojd>0</lmg:absolutLagesosakerhetHojd>
        <lmg:hojdsystem>RH 2000</lmg:hojdsystem>
        <gml:Polygon gml:id="ID_68256024-1c80-43f0-a109-b1df8c0e940e" srsName="EPSG:3009" srsDimension="2">
          <gml:exterior>
            <gml:LinearRing gml:id="ID_46d99dc8-01f5-4d78-82de-3d56b2fecc9e">
              <gml:posList>6457020.48 129446.691 6457021.513 129449.327 6457023.074 129453.305 6457023.372 129454.065 6457025.255 129458.867 6457009.478 129468.713 6457005.286 129471.327 6457004.724 129471.678 6456999.828 129474.73 6456979.355 129429.136 6456995.414 129421.326 6456997.79 129420.17 6457001.394 129418.417 6457002.712 129417.776 6457008.11 129415.151 6457016.808 129437.33 6457017.088 129438.044 6457020.48 129446.691</gml:posList>
            </gml:LinearRing>
          </gml:exterior>
        </gml:Polygon>
      </lmg:Yta>
      <planbestammelsereferens>7b1d8971-3411-4075-be5b-2e8993c45f07</planbestammelsereferens>
    </Lage>
    <Lage>
      <lmg:Yta>
        <lmg:absolutLagesosakerhetPlan>0</lmg:absolutLagesosakerhetPlan>
        <lmg:absolutLagesosakerhetHojd>0</lmg:absolutLagesosakerhetHojd>
        <lmg:hojdsystem>RH 2000</lmg:hojdsystem>
        <gml:Polygon gml:id="ID_209c439a-fc0b-4ec5-bd97-2f53c17ad63a" srsName="EPSG:3009" srsDimension="2">
          <gml:exterior>
            <gml:LinearRing gml:id="ID_dd40a814-250a-4e91-bc97-29f26dcc5188">
              <gml:posList>6456874.461 129490.58 6456873.709 129486.644 6456874.035 129486.581 6456877.87 129485.839 6456878.115 129485.792 6456879.038 129485.613 6456883.478 129484.755 6456883.515 129484.747 6456885.418 129494.524 6456875.61 129496.474 6456875.608 129496.475 6456874.461 129490.58</gml:posList>
            </gml:LinearRing>
          </gml:exterior>
        </gml:Polygon>
      </lmg:Yta>
      <planbestammelsereferens>08ad1239-7541-4f66-a43d-3654d8142dea</planbestammelsereferens>
    </Lage>
    <Lage>
      <lmg:Yta>
        <lmg:absolutLagesosakerhetPlan>0</lmg:absolutLagesosakerhetPlan>
        <lmg:absolutLagesosakerhetHojd>0</lmg:absolutLagesosakerhetHojd>
        <lmg:hojdsystem>RH 2000</lmg:hojdsystem>
        <gml:Polygon gml:id="ID_671524bb-8d8d-4ee9-94c5-3ddf1a00378f" srsName="EPSG:3009" srsDimension="2">
          <gml:exterior>
            <gml:LinearRing gml:id="ID_13003ff6-81cb-4e66-a66b-bef94e4315da">
              <gml:posList>6456995.414 129421.326 6456979.355 129429.136 6456999.828 129474.73 6457001.688 129478.873 6456988.487 129487.105 6456984.715 129489.457 6456982.158 129491.052 6456979.872 129492.477 6456964.992 129501.757 6456950.668 129510.69 6456928.066 129476.133 6456920.47 129477.601 6456913.417 129478.965 6456897.706 129482.003 6456883.515 129484.747 6456883.478 129484.755 6456879.038 129485.613 6456878.115 129485.792 6456877.87 129485.839 6456874.035 129486.581 6456873.709 129486.644 6456869.455 129464.387 6456869.309 129463.621 6456866.8 129450.456 6456865.192 129440.321 6456856.556 129383.427 6456854.631 129370.747 6456857.295 129366.215 6456858.76 129365.668 6456860.14 129365.152 6456861.204 129364.754 6456877.482 129358.671 6456879.561 129357.894 6456896.627 129351.515 6456905.93 129348.038 6456907.943 129347.302 6456947.531 129332.829 6456954.177 129330.27 6456964.992 129326.107 6456972.105 129323.368 6456977.934 129321.2 6456978.257 129321.08 6456978.324 129321.055 6456979.147 129320.749 6456979.518 129320.611 6456979.705 129320.543 6456981.856 129319.755 6456983.43 129319.178 6456984.283 129319.031 6456987.293 129318.513 6456991.104 129319.378 6456994.301 129321.651 6456996.377 129324.963 6456998.195 129329.868 6457003.715 129344.762 6457003.87 129345.183 6457004.3 129346.341 6457004.542 129346.994 6457008.935 129358.85 6457010.336 129362.63 6457015.819 129377.425 6457015.845 129377.494 6457016.366 129378.863 6457017.165 129380.962 6457019.871 129388.071 6457025.093 129401.789 6457026.732 129406.095 6457018.935 129409.886 6457018.54 129410.078 6457014.488 129412.049 6457013.189 129412.681 6457008.11 129415.151 6457002.712 129417.776 6457001.394 129418.417 6456997.79 129420.17 6456995.414 129421.326</gml:posList>
            </gml:LinearRing>
          </gml:exterior>
        </gml:Polygon>
      </lmg:Yta>
      <planbestammelsereferens>d1624a64-4931-41d7-90f1-59a816319832</planbestammelsereferens>
    </Lage>
    <Lage>
      <lmg:Yta>
        <lmg:absolutLagesosakerhetPlan>0</lmg:absolutLagesosakerhetPlan>
        <lmg:absolutLagesosakerhetHojd>0</lmg:absolutLagesosakerhetHojd>
        <lmg:hojdsystem>RH 2000</lmg:hojdsystem>
        <gml:Polygon gml:id="ID_67bc5420-fb4b-48bd-b23b-e53a459e9afc" srsName="EPSG:3009" srsDimension="2">
          <gml:exterior>
            <gml:LinearRing gml:id="ID_a6bd5153-8fc8-4d8e-b41a-859d63d62387">
              <gml:posList>6457037.73 129445.21 6457040.853 129443.193 6457042.68 129447.992 6457044.311 129452.278 6457036.931 129456.884 6457035.665 129457.674 6457034.931 129455.744 6457034.034 129453.388 6457032.257 129448.719 6457033.785 129447.749 6457034.559 129447.258 6457035.48 129446.663 6457037.282 129445.499 6457037.73 129445.21</gml:posList>
            </gml:LinearRing>
          </gml:exterior>
        </gml:Polygon>
      </lmg:Yta>
      <planbestammelsereferens>c5b1a711-2213-4ba3-9410-1572d7c5906f</planbestammelsereferens>
    </Lage>
    <Indelning>
      <tema>Motiv till detaljplanens regleringar</tema>
      <grupp>Motiv till reglering</grupp>
    </Indelning>
  </Omfattning>
  <Omfattning>
    <identitet>mo_motivtillreglering09</identitet>
    <Lage>
      <lmg:Yta>
        <lmg:absolutLagesosakerhetPlan>0</lmg:absolutLagesosakerhetPlan>
        <lmg:absolutLagesosakerhetHojd>0</lmg:absolutLagesosakerhetHojd>
        <lmg:hojdsystem>RH 2000</lmg:hojdsystem>
        <gml:Polygon gml:id="ID_139e60b5-485c-44c3-83a2-3088e3c3ceea" srsName="EPSG:3009" srsDimension="2">
          <gml:exterior>
            <gml:LinearRing gml:id="ID_cc59e08c-0844-4c3d-8324-743170151fb2">
              <gml:posList>6456995.414 129421.326 6456979.355 129429.136 6456999.828 129474.73 6457001.688 129478.873 6456988.487 129487.105 6456984.715 129489.457 6456982.158 129491.052 6456979.872 129492.477 6456964.992 129501.757 6456950.668 129510.69 6456928.066 129476.133 6456920.47 129477.601 6456913.417 129478.965 6456897.706 129482.003 6456883.515 129484.747 6456883.478 129484.755 6456879.038 129485.613 6456878.115 129485.792 6456877.87 129485.839 6456874.035 129486.581 6456873.709 129486.644 6456869.455 129464.387 6456869.309 129463.621 6456866.8 129450.456 6456865.192 129440.321 6456856.556 129383.427 6456854.631 129370.747 6456857.295 129366.215 6456858.76 129365.668 6456860.14 129365.152 6456861.204 129364.754 6456877.482 129358.671 6456879.561 129357.894 6456896.627 129351.515 6456905.93 129348.038 6456907.943 129347.302 6456947.531 129332.829 6456954.177 129330.27 6456964.992 129326.107 6456972.105 129323.368 6456977.934 129321.2 6456978.257 129321.08 6456978.324 129321.055 6456979.147 129320.749 6456979.518 129320.611 6456979.705 129320.543 6456981.856 129319.755 6456983.43 129319.178 6456984.283 129319.031 6456987.293 129318.513 6456991.104 129319.378 6456994.301 129321.651 6456996.377 129324.963 6456998.195 129329.868 6457003.715 129344.762 6457003.87 129345.183 6457004.3 129346.341 6457004.542 129346.994 6457008.935 129358.85 6457010.336 129362.63 6457015.819 129377.425 6457015.845 129377.494 6457016.366 129378.863 6457017.165 129380.962 6457019.871 129388.071 6457025.093 129401.789 6457026.732 129406.095 6457018.935 129409.886 6457018.54 129410.078 6457014.488 129412.049 6457013.189 129412.681 6457008.11 129415.151 6457002.712 129417.776 6457001.394 129418.417 6456997.79 129420.17 6456995.414 129421.326</gml:posList>
            </gml:LinearRing>
          </gml:exterior>
        </gml:Polygon>
      </lmg:Yta>
      <planbestammelsereferens>86f14648-39a9-480d-a696-aa1c10e0b1ac</planbestammelsereferens>
    </Lage>
    <Indelning>
      <tema>Motiv till detaljplanens regleringar</tema>
      <grupp>Motiv till reglering</grupp>
    </Indelning>
  </Omfattning>
  <Omfattning>
    <identitet>mo_motivtillreglering10</identitet>
    <Lage>
      <lmg:Yta>
        <lmg:absolutLagesosakerhetPlan>0</lmg:absolutLagesosakerhetPlan>
        <lmg:absolutLagesosakerhetHojd>0</lmg:absolutLagesosakerhetHojd>
        <lmg:hojdsystem>RH 2000</lmg:hojdsystem>
        <gml:Polygon gml:id="ID_34f1e586-a9ee-48a1-afa7-fcfcf98cc7aa" srsName="EPSG:3009" srsDimension="2">
          <gml:exterior>
            <gml:LinearRing gml:id="ID_09367ce4-b418-4e7c-aad2-2c8ef22be9ae">
              <gml:posList>6456995.414 129421.326 6456979.355 129429.136 6456999.828 129474.73 6457001.688 129478.873 6456988.487 129487.105 6456984.715 129489.457 6456982.158 129491.052 6456979.872 129492.477 6456964.992 129501.757 6456950.668 129510.69 6456928.066 129476.133 6456920.47 129477.601 6456913.417 129478.965 6456897.706 129482.003 6456883.515 129484.747 6456883.478 129484.755 6456879.038 129485.613 6456878.115 129485.792 6456877.87 129485.839 6456874.035 129486.581 6456873.709 129486.644 6456869.455 129464.387 6456869.309 129463.621 6456866.8 129450.456 6456865.192 129440.321 6456856.556 129383.427 6456854.631 129370.747 6456857.295 129366.215 6456858.76 129365.668 6456860.14 129365.152 6456861.204 129364.754 6456877.482 129358.671 6456879.561 129357.894 6456896.627 129351.515 6456905.93 129348.038 6456907.943 129347.302 6456947.531 129332.829 6456954.177 129330.27 6456964.992 129326.107 6456972.105 129323.368 6456977.934 129321.2 6456978.257 129321.08 6456978.324 129321.055 6456979.147 129320.749 6456979.518 129320.611 6456979.705 129320.543 6456981.856 129319.755 6456983.43 129319.178 6456984.283 129319.031 6456987.293 129318.513 6456991.104 129319.378 6456994.301 129321.651 6456996.377 129324.963 6456998.195 129329.868 6457003.715 129344.762 6457003.87 129345.183 6457004.3 129346.341 6457004.542 129346.994 6457008.935 129358.85 6457010.336 129362.63 6457015.819 129377.425 6457015.845 129377.494 6457016.366 129378.863 6457017.165 129380.962 6457019.871 129388.071 6457025.093 129401.789 6457026.732 129406.095 6457018.935 129409.886 6457018.54 129410.078 6457014.488 129412.049 6457013.189 129412.681 6457008.11 129415.151 6457002.712 129417.776 6457001.394 129418.417 6456997.79 129420.17 6456995.414 129421.326</gml:posList>
            </gml:LinearRing>
          </gml:exterior>
        </gml:Polygon>
      </lmg:Yta>
      <planbestammelsereferens>4a248f28-945a-47f1-bd01-b5bbc834fce8</planbestammelsereferens>
    </Lage>
    <Indelning>
      <tema>Motiv till detaljplanens regleringar</tema>
      <grupp>Motiv till reglering</grupp>
    </Indelning>
  </Omfattning>
  <Omfattning>
    <identitet>mo_motivtillreglering11</identitet>
    <Lage>
      <lmg:Yta>
        <lmg:absolutLagesosakerhetPlan>0</lmg:absolutLagesosakerhetPlan>
        <lmg:absolutLagesosakerhetHojd>0</lmg:absolutLagesosakerhetHojd>
        <lmg:hojdsystem>RH 2000</lmg:hojdsystem>
        <gml:Polygon gml:id="ID_206d6ecd-2c7b-47c7-9839-8132046fcb5e" srsName="EPSG:3009" srsDimension="2">
          <gml:exterior>
            <gml:LinearRing gml:id="ID_70127057-3f8a-4779-a56f-cd0bb11bebc6">
              <gml:posList>6457020.48 129446.691 6457021.513 129449.327 6457023.074 129453.305 6457023.372 129454.065 6457025.255 129458.867 6457009.478 129468.713 6457005.286 129471.327 6457004.724 129471.678 6456999.828 129474.73 6456979.355 129429.136 6456995.414 129421.326 6456997.79 129420.17 6457001.394 129418.417 6457002.712 129417.776 6457008.11 129415.151 6457016.808 129437.33 6457017.088 129438.044 6457020.48 129446.691</gml:posList>
            </gml:LinearRing>
          </gml:exterior>
        </gml:Polygon>
      </lmg:Yta>
      <planbestammelsereferens>28c3d756-df72-42b2-b845-bd3e1ea63027</planbestammelsereferens>
    </Lage>
    <Indelning>
      <tema>Motiv till detaljplanens regleringar</tema>
      <grupp>Motiv till reglering</grupp>
    </Indelning>
  </Omfattning>
  <Omfattning>
    <identitet>mo_motivtillreglering12</identitet>
    <Lage>
      <lmg:Yta>
        <lmg:absolutLagesosakerhetPlan>0</lmg:absolutLagesosakerhetPlan>
        <lmg:absolutLagesosakerhetHojd>0</lmg:absolutLagesosakerhetHojd>
        <lmg:hojdsystem>RH 2000</lmg:hojdsystem>
        <gml:Polygon gml:id="ID_33061337-0c70-4b17-9f75-d0735d02f283" srsName="EPSG:3009" srsDimension="2">
          <gml:exterior>
            <gml:LinearRing gml:id="ID_d94d8671-024c-43aa-9adb-84b4ddf2dad4">
              <gml:posList>6456919.445 129467.892 6456919.996 129473.11 6456915.928 129473.896 6456903.212 129476.355 6456877.272 129481.371 6456873.956 129463.968 6456871.233 129449.683 6456863.216 129399.137 6456861.639 129389.781 6456860.539 129382.397 6456863.639 129381.206 6456875.765 129445.031 6456878.144 129457.553 6456879.269 129463.474 6456883.226 129463.106 6456912.038 129460.426 6456918.593 129459.816 6456918.997 129463.645 6456919.445 129467.892</gml:posList>
            </gml:LinearRing>
          </gml:exterior>
        </gml:Polygon>
      </lmg:Yta>
      <planbestammelsereferens>d5f5fbaf-897b-4492-beb2-9248cf6164d5</planbestammelsereferens>
    </Lage>
    <Indelning>
      <tema>Motiv till detaljplanens regleringar</tema>
      <grupp>Motiv till reglering</grupp>
    </Indelning>
  </Omfattning>
  <Omfattning>
    <identitet>mo_motivtillreglering13</identitet>
    <Lage>
      <lmg:Yta>
        <lmg:absolutLagesosakerhetPlan>0</lmg:absolutLagesosakerhetPlan>
        <lmg:absolutLagesosakerhetHojd>0</lmg:absolutLagesosakerhetHojd>
        <lmg:hojdsystem>RH 2000</lmg:hojdsystem>
        <gml:Polygon gml:id="ID_be6a00d7-d294-4406-ac0d-245981007e39" srsName="EPSG:3009" srsDimension="2">
          <gml:exterior>
            <gml:LinearRing gml:id="ID_a55a1ee8-d939-49aa-968f-1aa8a85a6ae3">
              <gml:posList>6457025.255 129458.867 6457023.372 129454.065 6457023.074 129453.305 6457021.513 129449.327 6457020.48 129446.691 6457017.088 129438.044 6457016.808 129437.33 6457008.11 129415.151 6457013.189 129412.681 6457014.488 129412.049 6457018.54 129410.078 6457018.935 129409.886 6457022.197 129418.203 6457031.925 129443.007 6457031.863 129443.047 6457030.441 129443.95 6457026.132 129446.684 6457027.948 129451.454 6457029.637 129455.893 6457029.71 129456.086 6457025.255 129458.867</gml:posList>
            </gml:LinearRing>
          </gml:exterior>
        </gml:Polygon>
      </lmg:Yta>
      <planbestammelsereferens>9522992d-784e-40c3-80f3-8ddeb6a2fb89</planbestammelsereferens>
    </Lage>
    <Indelning>
      <tema>Motiv till detaljplanens regleringar</tema>
      <grupp>Motiv till reglering</grupp>
    </Indelning>
  </Omfattning>
  <Omfattning>
    <identitet>mo_motivtillreglering14</identitet>
    <Lage>
      <lmg:Yta>
        <lmg:absolutLagesosakerhetPlan>0</lmg:absolutLagesosakerhetPlan>
        <lmg:absolutLagesosakerhetHojd>0</lmg:absolutLagesosakerhetHojd>
        <lmg:hojdsystem>RH 2000</lmg:hojdsystem>
        <gml:Polygon gml:id="ID_1383db27-3fad-41eb-b733-7e80660aa5e9" srsName="EPSG:3009" srsDimension="2">
          <gml:exterior>
            <gml:LinearRing gml:id="ID_34c0b4a4-5020-49b1-8bc1-c474ebd162c0">
              <gml:posList>6456995.414 129421.326 6456979.355 129429.136 6456999.828 129474.73 6457001.688 129478.873 6456988.487 129487.105 6456984.715 129489.457 6456982.158 129491.052 6456979.872 129492.477 6456964.992 129501.757 6456950.668 129510.69 6456928.066 129476.133 6456920.47 129477.601 6456913.417 129478.965 6456897.706 129482.003 6456883.515 129484.747 6456883.478 129484.755 6456879.038 129485.613 6456878.115 129485.792 6456877.87 129485.839 6456874.035 129486.581 6456873.709 129486.644 6456869.455 129464.387 6456869.309 129463.621 6456866.8 129450.456 6456865.192 129440.321 6456856.556 129383.427 6456854.631 129370.747 6456857.295 129366.215 6456858.76 129365.668 6456860.14 129365.152 6456861.204 129364.754 6456877.482 129358.671 6456879.561 129357.894 6456896.627 129351.515 6456905.93 129348.038 6456907.943 129347.302 6456947.531 129332.829 6456954.177 129330.27 6456964.992 129326.107 6456972.105 129323.368 6456977.934 129321.2 6456978.257 129321.08 6456978.324 129321.055 6456979.147 129320.749 6456979.518 129320.611 6456979.705 129320.543 6456981.856 129319.755 6456983.43 129319.178 6456984.283 129319.031 6456987.293 129318.513 6456991.104 129319.378 6456994.301 129321.651 6456996.377 129324.963 6456998.195 129329.868 6457003.715 129344.762 6457003.87 129345.183 6457004.3 129346.341 6457004.542 129346.994 6457008.935 129358.85 6457010.336 129362.63 6457015.819 129377.425 6457015.845 129377.494 6457016.366 129378.863 6457017.165 129380.962 6457019.871 129388.071 6457025.093 129401.789 6457026.732 129406.095 6457018.935 129409.886 6457018.54 129410.078 6457014.488 129412.049 6457013.189 129412.681 6457008.11 129415.151 6457002.712 129417.776 6457001.394 129418.417 6456997.79 129420.17 6456995.414 129421.326</gml:posList>
            </gml:LinearRing>
          </gml:exterior>
        </gml:Polygon>
      </lmg:Yta>
      <planbestammelsereferens>91531704-4de9-43d0-983b-021817380938</planbestammelsereferens>
    </Lage>
    <Indelning>
      <tema>Motiv till detaljplanens regleringar</tema>
      <grupp>Motiv till reglering</grupp>
    </Indelning>
  </Omfattning>
  <Omfattning>
    <identitet>mo_motivtillreglering15</identitet>
    <Lage>
      <lmg:Yta>
        <lmg:absolutLagesosakerhetPlan>0</lmg:absolutLagesosakerhetPlan>
        <lmg:absolutLagesosakerhetHojd>0</lmg:absolutLagesosakerhetHojd>
        <lmg:hojdsystem>RH 2000</lmg:hojdsystem>
        <gml:Polygon gml:id="ID_b6a6dead-f5ca-433f-a548-69d8de3c46c5" srsName="EPSG:3009" srsDimension="2">
          <gml:exterior>
            <gml:LinearRing gml:id="ID_1e27b14f-ddfe-4f4d-9bea-a207898af1d4">
              <gml:posList>6456995.414 129421.326 6456979.355 129429.136 6456999.828 129474.73 6457001.688 129478.873 6456988.487 129487.105 6456984.715 129489.457 6456982.158 129491.052 6456979.872 129492.477 6456964.992 129501.757 6456950.668 129510.69 6456928.066 129476.133 6456920.47 129477.601 6456913.417 129478.965 6456897.706 129482.003 6456883.515 129484.747 6456883.478 129484.755 6456879.038 129485.613 6456878.115 129485.792 6456877.87 129485.839 6456874.035 129486.581 6456873.709 129486.644 6456869.455 129464.387 6456869.309 129463.621 6456866.8 129450.456 6456865.192 129440.321 6456856.556 129383.427 6456854.631 129370.747 6456857.295 129366.215 6456858.76 129365.668 6456860.14 129365.152 6456861.204 129364.754 6456877.482 129358.671 6456879.561 129357.894 6456896.627 129351.515 6456905.93 129348.038 6456907.943 129347.302 6456947.531 129332.829 6456954.177 129330.27 6456964.992 129326.107 6456972.105 129323.368 6456977.934 129321.2 6456978.257 129321.08 6456978.324 129321.055 6456979.147 129320.749 6456979.518 129320.611 6456979.705 129320.543 6456981.856 129319.755 6456983.43 129319.178 6456984.283 129319.031 6456987.293 129318.513 6456991.104 129319.378 6456994.301 129321.651 6456996.377 129324.963 6456998.195 129329.868 6457003.715 129344.762 6457003.87 129345.183 6457004.3 129346.341 6457004.542 129346.994 6457008.935 129358.85 6457010.336 129362.63 6457015.819 129377.425 6457015.845 129377.494 6457016.366 129378.863 6457017.165 129380.962 6457019.871 129388.071 6457025.093 129401.789 6457026.732 129406.095 6457018.935 129409.886 6457018.54 129410.078 6457014.488 129412.049 6457013.189 129412.681 6457008.11 129415.151 6457002.712 129417.776 6457001.394 129418.417 6456997.79 129420.17 6456995.414 129421.326</gml:posList>
            </gml:LinearRing>
          </gml:exterior>
        </gml:Polygon>
      </lmg:Yta>
      <planbestammelsereferens>d48e40e9-b904-4dd8-abda-2d46cb567689</planbestammelsereferens>
    </Lage>
    <Indelning>
      <tema>Motiv till detaljplanens regleringar</tema>
      <grupp>Motiv till reglering</grupp>
    </Indelning>
  </Omfattning>
  <Omfattning>
    <identitet>be_ärendeinformation01</identitet>
    <Lage>
      <planomrade>true</planomrade>
    </Lage>
    <Indelning>
      <tema>Beskrivning av detaljplanen</tema>
      <grupp>Ärendeinformation</grupp>
    </Indelning>
  </Omfattning>
  <Omfattning>
    <identitet>be_ärendeinformation02</identitet>
    <Lage>
      <planomrade>true</planomrade>
    </Lage>
    <Indelning>
      <tema>Beskrivning av detaljplanen</tema>
      <grupp>Ärendeinformation</grupp>
    </Indelning>
  </Omfattning>
  <Omfattning>
    <identitet>be_ärendeinformation03</identitet>
    <Lage>
      <planomrade>true</planomrade>
    </Lage>
    <Indelning>
      <tema>Beskrivning av detaljplanen</tema>
      <grupp>Ärendeinformation</grupp>
    </Indelning>
  </Omfattning>
  <Omfattning>
    <identitet>be_ärendeinformation04</identitet>
    <Lage>
      <planomrade>true</planomrade>
    </Lage>
    <Indelning>
      <tema>Beskrivning av detaljplanen</tema>
      <grupp>Ärendeinformation</grupp>
    </Indelning>
  </Omfattning>
  <Omfattning>
    <identitet>be_ärendeinformation05</identitet>
    <Lage>
      <planomrade>true</planomrade>
    </Lage>
    <Indelning>
      <tema>Beskrivning av detaljplanen</tema>
      <grupp>Ärendeinformation</grupp>
    </Indelning>
  </Omfattning>
  <Omfattning>
    <identitet>be_ärendeinformation06</identitet>
    <Lage>
      <planomrade>true</planomrade>
    </Lage>
    <Indelning>
      <tema>Beskrivning av detaljplanen</tema>
      <grupp>Ärendeinformation</grupp>
    </Indelning>
  </Omfattning>
  <Omfattning>
    <identitet>be_ärendeinformation07</identitet>
    <Lage>
      <planomrade>true</planomrade>
    </Lage>
    <Indelning>
      <tema>Beskrivning av detaljplanen</tema>
      <grupp>Ärendeinformation</grupp>
    </Indelning>
  </Omfattning>
  <Omfattning>
    <identitet>be_ärendeinformation08</identitet>
    <Lage>
      <planomrade>true</planomrade>
    </Lage>
    <Indelning>
      <tema>Beskrivning av detaljplanen</tema>
      <grupp>Ärendeinformation</grupp>
    </Indelning>
  </Omfattning>
  <Omfattning>
    <identitet>sy_syfte01</identitet>
    <Lage>
      <planomrade>true</planomrade>
    </Lage>
    <Indelning>
      <tema>Detaljplanens syfte</tema>
      <grupp>Syfte</grupp>
    </Indelning>
  </Omfattning>
  <Omfattning>
    <identitet>pf_fysiskmiljö01</identitet>
    <Lage>
      <planomrade>true</planomrade>
    </Lage>
    <Indelning>
      <tema>Planeringsförutsättningar</tema>
      <grupp>Fysisk miljö</grupp>
    </Indelning>
  </Omfattning>
  <Omfattning>
    <identitet>be_heladetaljplan01</identitet>
    <Lage>
      <planomrade>true</planomrade>
    </Lage>
    <Indelning>
      <tema>Beskrivning av detaljplanen</tema>
      <grupp>Hela detaljplan</grupp>
    </Indelning>
  </Omfattning>
  <Omfattning>
    <identitet>be_heladetaljplan02</identitet>
    <Lage>
      <planomrade>true</planomrade>
    </Lage>
    <Indelning>
      <tema>Beskrivning av detaljplanen</tema>
      <grupp>Hela detaljplan</grupp>
    </Indelning>
  </Omfattning>
  <Omfattning>
    <identitet>be_genomförandetid01</identitet>
    <Lage>
      <planomrade>true</planomrade>
    </Lage>
    <Indelning>
      <tema>Beskrivning av detaljplanen</tema>
      <grupp>Genomförandetid</grupp>
    </Indelning>
  </Omfattning>
  <Omfattning>
    <identitet>pf_översiktsplan01</identitet>
    <Lage>
      <planomrade>true</planomrade>
    </Lage>
    <Indelning>
      <tema>Planeringsförutsättningar</tema>
      <grupp>Kommunala</grupp>
      <undergrupp>Översiktsplan</undergrupp>
    </Indelning>
  </Omfattning>
  <Omfattning>
    <identitet>pf_detaljplan01</identitet>
    <Lage>
      <planomrade>true</planomrade>
    </Lage>
    <Indelning>
      <tema>Planeringsförutsättningar</tema>
      <grupp>Kommunala</grupp>
      <undergrupp>Detaljplan</undergrupp>
    </Indelning>
  </Omfattning>
  <Omfattning>
    <identitet>pf_planbesked01</identitet>
    <Lage>
      <planomrade>true</planomrade>
    </Lage>
    <Indelning>
      <tema>Planeringsförutsättningar</tema>
      <grupp>Kommunala</grupp>
      <undergrupp>Planbesked</undergrupp>
    </Indelning>
  </Omfattning>
  <Omfattning>
    <identitet>be_heladetaljplan03</identitet>
    <Lage>
      <planomrade>true</planomrade>
    </Lage>
    <Indelning>
      <tema>Beskrivning av detaljplanen</tema>
      <grupp>Hela detaljplan</grupp>
    </Indelning>
  </Omfattning>
  <Omfattning>
    <identitet>pf_luftfart01</identitet>
    <Lage>
      <planomrade>true</planomrade>
    </Lage>
    <Indelning>
      <tema>Planeringsförutsättningar</tema>
      <grupp>Riksintressen</grupp>
      <undergrupp>Luftfart</undergrupp>
    </Indelning>
  </Omfattning>
  <Omfattning>
    <identitet>pf_geotekniskaförhållanden01</identitet>
    <Lage>
      <planomrade>true</planomrade>
    </Lage>
    <Indelning>
      <tema>Planeringsförutsättningar</tema>
      <grupp>Geotekniska förhållanden</grupp>
    </Indelning>
  </Omfattning>
  <Omfattning>
    <identitet>be_heladetaljplan04</identitet>
    <Lage>
      <planomrade>true</planomrade>
    </Lage>
    <Indelning>
      <tema>Beskrivning av detaljplanen</tema>
      <grupp>Hela detaljplan</grupp>
    </Indelning>
  </Omfattning>
  <Omfattning>
    <identitet>pf_hälsaochsäkerhet01</identitet>
    <Lage>
      <planomrade>true</planomrade>
    </Lage>
    <Indelning>
      <tema>Planeringsförutsättningar</tema>
      <grupp>Hälsa och säkerhet</grupp>
    </Indelning>
  </Omfattning>
  <Omfattning>
    <identitet>ko_miljö01</identitet>
    <Lage>
      <planomrade>true</planomrade>
    </Lage>
    <Indelning>
      <tema>Konsekvenser</tema>
      <grupp>Miljö</grupp>
    </Indelning>
  </Omfattning>
  <Omfattning>
    <identitet>pf_riskförolyckor01</identitet>
    <Lage>
      <planomrade>true</planomrade>
    </Lage>
    <Indelning>
      <tema>Planeringsförutsättningar</tema>
      <grupp>Hälsa och säkerhet</grupp>
      <undergrupp>Risk för olyckor</undergrupp>
    </Indelning>
  </Omfattning>
  <Omfattning>
    <identitet>pf_omgivningsbuller01</identitet>
    <Lage>
      <planomrade>true</planomrade>
    </Lage>
    <Indelning>
      <tema>Planeringsförutsättningar</tema>
      <grupp>Hälsa och säkerhet</grupp>
      <undergrupp>Omgivningsbuller</undergrupp>
    </Indelning>
  </Omfattning>
  <Omfattning>
    <identitet>ko_buller01</identitet>
    <Lage>
      <planomrade>true</planomrade>
    </Lage>
    <Indelning>
      <tema>Konsekvenser</tema>
      <grupp>Miljökvalitetsnormer</grupp>
      <undergrupp>Buller</undergrupp>
    </Indelning>
  </Omfattning>
  <Omfattning>
    <identitet>pf_riskföröversvämning01</identitet>
    <Lage>
      <planomrade>true</planomrade>
    </Lage>
    <Indelning>
      <tema>Planeringsförutsättningar</tema>
      <grupp>Hälsa och säkerhet</grupp>
      <undergrupp>Risk för översvämning</undergrupp>
    </Indelning>
  </Omfattning>
  <Omfattning>
    <identitet>pf_riskförskred01</identitet>
    <Lage>
      <planomrade>true</planomrade>
    </Lage>
    <Indelning>
      <tema>Planeringsförutsättningar</tema>
      <grupp>Hälsa och säkerhet</grupp>
      <undergrupp>Risk för skred</undergrupp>
    </Indelning>
  </Omfattning>
  <Omfattning>
    <identitet>pf_fysiskmiljö02</identitet>
    <Lage>
      <planomrade>true</planomrade>
    </Lage>
    <Indelning>
      <tema>Planeringsförutsättningar</tema>
      <grupp>Fysisk miljö</grupp>
    </Indelning>
  </Omfattning>
  <Omfattning>
    <identitet>ko_annat01</identitet>
    <Lage>
      <planomrade>true</planomrade>
    </Lage>
    <Indelning>
      <tema>Konsekvenser</tema>
      <grupp>Annat</grupp>
    </Indelning>
  </Omfattning>
  <Omfattning>
    <identitet>pf_fysiskmiljö03</identitet>
    <Lage>
      <planomrade>true</planomrade>
    </Lage>
    <Indelning>
      <tema>Planeringsförutsättningar</tema>
      <grupp>Fysisk miljö</grupp>
    </Indelning>
  </Omfattning>
  <Omfattning>
    <identitet>ko_miljö02</identitet>
    <Lage>
      <planomrade>true</planomrade>
    </Lage>
    <Indelning>
      <tema>Konsekvenser</tema>
      <grupp>Miljö</grupp>
    </Indelning>
  </Omfattning>
  <Omfattning>
    <identitet>ko_miljö03</identitet>
    <Lage>
      <planomrade>true</planomrade>
    </Lage>
    <Indelning>
      <tema>Konsekvenser</tema>
      <grupp>Miljö</grupp>
    </Indelning>
  </Omfattning>
  <Omfattning>
    <identitet>ko_miljö04</identitet>
    <Lage>
      <planomrade>true</planomrade>
    </Lage>
    <Indelning>
      <tema>Konsekvenser</tema>
      <grupp>Miljö</grupp>
    </Indelning>
  </Omfattning>
  <Omfattning>
    <identitet>ko_natur01</identitet>
    <Lage>
      <planomrade>true</planomrade>
    </Lage>
    <Indelning>
      <tema>Konsekvenser</tema>
      <grupp>Natur</grupp>
    </Indelning>
  </Omfattning>
  <Omfattning>
    <identitet>ko_natur02</identitet>
    <Lage>
      <planomrade>true</planomrade>
    </Lage>
    <Indelning>
      <tema>Konsekvenser</tema>
      <grupp>Natur</grupp>
    </Indelning>
  </Omfattning>
  <Omfattning>
    <identitet>ko_natur03</identitet>
    <Lage>
      <planomrade>true</planomrade>
    </Lage>
    <Indelning>
      <tema>Konsekvenser</tema>
      <grupp>Natur</grupp>
    </Indelning>
  </Omfattning>
  <Omfattning>
    <identitet>pf_fysiskmiljö04</identitet>
    <Lage>
      <planomrade>true</planomrade>
    </Lage>
    <Indelning>
      <tema>Planeringsförutsättningar</tema>
      <grupp>Fysisk miljö</grupp>
    </Indelning>
  </Omfattning>
  <Omfattning>
    <identitet>pf_fysiskmiljö05</identitet>
    <Lage>
      <planomrade>true</planomrade>
    </Lage>
    <Indelning>
      <tema>Planeringsförutsättningar</tema>
      <grupp>Fysisk miljö</grupp>
    </Indelning>
  </Omfattning>
  <Omfattning>
    <identitet>ko_annat02</identitet>
    <Lage>
      <planomrade>true</planomrade>
    </Lage>
    <Indelning>
      <tema>Konsekvenser</tema>
      <grupp>Annat</grupp>
    </Indelning>
  </Omfattning>
  <Omfattning>
    <identitet>ko_landskapsbild01</identitet>
    <Lage>
      <planomrade>true</planomrade>
    </Lage>
    <Indelning>
      <tema>Konsekvenser</tema>
      <grupp>Natur</grupp>
      <undergrupp>Landskapsbild</undergrupp>
    </Indelning>
  </Omfattning>
  <Omfattning>
    <identitet>ko_landskapsbild02</identitet>
    <Lage>
      <planomrade>true</planomrade>
    </Lage>
    <Indelning>
      <tema>Konsekvenser</tema>
      <grupp>Natur</grupp>
      <undergrupp>Landskapsbild</undergrupp>
    </Indelning>
  </Omfattning>
  <Omfattning>
    <identitet>pf_kulturmiljö01</identitet>
    <Lage>
      <planomrade>true</planomrade>
    </Lage>
    <Indelning>
      <tema>Planeringsförutsättningar</tema>
      <grupp>Kulturmiljö</grupp>
    </Indelning>
  </Omfattning>
  <Omfattning>
    <identitet>pf_trafik01</identitet>
    <Lage>
      <planomrade>true</planomrade>
    </Lage>
    <Indelning>
      <tema>Planeringsförutsättningar</tema>
      <grupp>Trafik</grupp>
    </Indelning>
  </Omfattning>
  <Omfattning>
    <identitet>ko_trafik01</identitet>
    <Lage>
      <planomrade>true</planomrade>
    </Lage>
    <Indelning>
      <tema>Konsekvenser</tema>
      <grupp>Trafik</grupp>
    </Indelning>
  </Omfattning>
  <Omfattning>
    <identitet>pf_trafik02</identitet>
    <Lage>
      <planomrade>true</planomrade>
    </Lage>
    <Indelning>
      <tema>Planeringsförutsättningar</tema>
      <grupp>Trafik</grupp>
    </Indelning>
  </Omfattning>
  <Omfattning>
    <identitet>ko_trafik02</identitet>
    <Lage>
      <planomrade>true</planomrade>
    </Lage>
    <Indelning>
      <tema>Konsekvenser</tema>
      <grupp>Trafik</grupp>
    </Indelning>
  </Omfattning>
  <Omfattning>
    <identitet>pf_trafik03</identitet>
    <Lage>
      <planomrade>true</planomrade>
    </Lage>
    <Indelning>
      <tema>Planeringsförutsättningar</tema>
      <grupp>Trafik</grupp>
    </Indelning>
  </Omfattning>
  <Omfattning>
    <identitet>ko_trafik03</identitet>
    <Lage>
      <planomrade>true</planomrade>
    </Lage>
    <Indelning>
      <tema>Konsekvenser</tema>
      <grupp>Trafik</grupp>
    </Indelning>
  </Omfattning>
  <Omfattning>
    <identitet>pf_trafik04</identitet>
    <Lage>
      <planomrade>true</planomrade>
    </Lage>
    <Indelning>
      <tema>Planeringsförutsättningar</tema>
      <grupp>Trafik</grupp>
    </Indelning>
  </Omfattning>
  <Omfattning>
    <identitet>pf_trafik05</identitet>
    <Lage>
      <planomrade>true</planomrade>
    </Lage>
    <Indelning>
      <tema>Planeringsförutsättningar</tema>
      <grupp>Trafik</grupp>
    </Indelning>
  </Omfattning>
  <Omfattning>
    <identitet>ko_trafik04</identitet>
    <Lage>
      <planomrade>true</planomrade>
    </Lage>
    <Indelning>
      <tema>Konsekvenser</tema>
      <grupp>Trafik</grupp>
    </Indelning>
  </Omfattning>
  <Omfattning>
    <identitet>pf_trafik06</identitet>
    <Lage>
      <planomrade>true</planomrade>
    </Lage>
    <Indelning>
      <tema>Planeringsförutsättningar</tema>
      <grupp>Trafik</grupp>
    </Indelning>
  </Omfattning>
  <Omfattning>
    <identitet>ko_trafik05</identitet>
    <Lage>
      <planomrade>true</planomrade>
    </Lage>
    <Indelning>
      <tema>Konsekvenser</tema>
      <grupp>Trafik</grupp>
    </Indelning>
  </Omfattning>
  <Omfattning>
    <identitet>ko_miljöbedömning01</identitet>
    <Lage>
      <planomrade>true</planomrade>
    </Lage>
    <Indelning>
      <tema>Konsekvenser</tema>
      <grupp>Miljö</grupp>
      <undergrupp>Miljöbedömning</undergrupp>
    </Indelning>
  </Omfattning>
  <Omfattning>
    <identitet>ko_miljöbedömning02</identitet>
    <Lage>
      <planomrade>true</planomrade>
    </Lage>
    <Indelning>
      <tema>Konsekvenser</tema>
      <grupp>Miljö</grupp>
      <undergrupp>Miljöbedömning</undergrupp>
    </Indelning>
  </Omfattning>
  <Omfattning>
    <identitet>ko_vatten01</identitet>
    <Lage>
      <planomrade>true</planomrade>
    </Lage>
    <Indelning>
      <tema>Konsekvenser</tema>
      <grupp>Miljökvalitetsnormer</grupp>
      <undergrupp>Vatten</undergrupp>
    </Indelning>
  </Omfattning>
  <Omfattning>
    <identitet>ko_barn01</identitet>
    <Lage>
      <planomrade>true</planomrade>
    </Lage>
    <Indelning>
      <tema>Konsekvenser</tema>
      <grupp>Sociala</grupp>
      <undergrupp>Barn</undergrupp>
    </Indelning>
  </Omfattning>
  <Omfattning>
    <identitet>pf_teknik01</identitet>
    <Lage>
      <planomrade>true</planomrade>
    </Lage>
    <Indelning>
      <tema>Planeringsförutsättningar</tema>
      <grupp>Teknik</grupp>
    </Indelning>
  </Omfattning>
  <Omfattning>
    <identitet>pf_dagvatten01</identitet>
    <Lage>
      <planomrade>true</planomrade>
    </Lage>
    <Indelning>
      <tema>Planeringsförutsättningar</tema>
      <grupp>Miljö</grupp>
      <undergrupp>Dagvatten</undergrupp>
    </Indelning>
  </Omfattning>
  <Omfattning>
    <identitet>pf_miljö01</identitet>
    <Lage>
      <planomrade>true</planomrade>
    </Lage>
    <Indelning>
      <tema>Planeringsförutsättningar</tema>
      <grupp>Miljö</grupp>
    </Indelning>
  </Omfattning>
  <Omfattning>
    <identitet>pf_teknik02</identitet>
    <Lage>
      <planomrade>true</planomrade>
    </Lage>
    <Indelning>
      <tema>Planeringsförutsättningar</tema>
      <grupp>Teknik</grupp>
    </Indelning>
  </Omfattning>
  <Omfattning>
    <identitet>pf_teknik03</identitet>
    <Lage>
      <planomrade>true</planomrade>
    </Lage>
    <Indelning>
      <tema>Planeringsförutsättningar</tema>
      <grupp>Teknik</grupp>
    </Indelning>
  </Omfattning>
  <Omfattning>
    <identitet>pf_teknik04</identitet>
    <Lage>
      <planomrade>true</planomrade>
    </Lage>
    <Indelning>
      <tema>Planeringsförutsättningar</tema>
      <grupp>Teknik</grupp>
    </Indelning>
  </Omfattning>
  <Omfattning>
    <identitet>pf_teknik05</identitet>
    <Lage>
      <planomrade>true</planomrade>
    </Lage>
    <Indelning>
      <tema>Planeringsförutsättningar</tema>
      <grupp>Teknik</grupp>
    </Indelning>
  </Omfattning>
  <Omfattning>
    <identitet>gf_annat01</identitet>
    <Lage>
      <planomrade>true</planomrade>
    </Lage>
    <Indelning>
      <tema>Genomförandefrågor</tema>
      <grupp>Annat</grupp>
    </Indelning>
  </Omfattning>
  <Omfattning>
    <identitet>gf_rättigheter01</identitet>
    <Lage>
      <planomrade>true</planomrade>
    </Lage>
    <Indelning>
      <tema>Genomförandefrågor</tema>
      <grupp>Fastighetsrättsliga frågor</grupp>
      <undergrupp>Rättigheter</undergrupp>
    </Indelning>
  </Omfattning>
  <Omfattning>
    <identitet>gf_förändradfastighetsindelning01</identitet>
    <Lage>
      <planomrade>true</planomrade>
    </Lage>
    <Indelning>
      <tema>Genomförandefrågor</tema>
      <grupp>Fastighetsrättsliga frågor</grupp>
      <undergrupp>Förändrad fastighetsindelning</undergrupp>
    </Indelning>
  </Omfattning>
  <Omfattning>
    <identitet>gf_tekniskaåtgärder01</identitet>
    <Lage>
      <planomrade>true</planomrade>
    </Lage>
    <Indelning>
      <tema>Genomförandefrågor</tema>
      <grupp>Tekniska frågor</grupp>
      <undergrupp>Tekniska åtgärder</undergrupp>
    </Indelning>
  </Omfattning>
  <Omfattning>
    <identitet>gf_planavgift01</identitet>
    <Lage>
      <planomrade>true</planomrade>
    </Lage>
    <Indelning>
      <tema>Genomförandefrågor</tema>
      <grupp>Ekonomiska frågor</grupp>
      <undergrupp>Planavgift</undergrupp>
    </Indelning>
  </Omfattning>
  <Omfattning>
    <identitet>gf_annat02</identitet>
    <Lage>
      <planomrade>true</planomrade>
    </Lage>
    <Indelning>
      <tema>Genomförandefrågor</tema>
      <grupp>Annat</grupp>
    </Indelning>
  </Omfattning>
  <Omfattning>
    <identitet>gf_exploateringsavtal01</identitet>
    <Lage>
      <planomrade>true</planomrade>
    </Lage>
    <Indelning>
      <tema>Genomförandefrågor</tema>
      <grupp>Organisatoriska frågor</grupp>
      <undergrupp>Exploateringsavtal</undergrupp>
    </Indelning>
  </Omfattning>
  <Omfattning>
    <identitet>be_ärendeinformation09</identitet>
    <Lage>
      <planomrade>true</planomrade>
    </Lage>
    <Indelning>
      <tema>Beskrivning av detaljplanen</tema>
      <grupp>Ärendeinformation</grupp>
    </Indelning>
  </Omfattning>
  <Omfattning>
    <identitet>be_ärendeinformation10</identitet>
    <Lage>
      <planomrade>true</planomrade>
    </Lage>
    <Indelning>
      <tema>Beskrivning av detaljplanen</tema>
      <grupp>Ärendeinformation</grupp>
    </Indelning>
  </Omfattning>
</Planbeskrivning>
</file>

<file path=customXml/itemProps1.xml><?xml version="1.0" encoding="utf-8"?>
<ds:datastoreItem xmlns:ds="http://schemas.openxmlformats.org/officeDocument/2006/customXml" ds:itemID="{161c6655-0de1-4e3e-b241-1c510044d5b7}">
  <ds:schemaRefs>
    <ds:schemaRef ds:uri="http://schemas.microsoft.com/vsto/samples"/>
  </ds:schemaRefs>
</ds:datastoreItem>
</file>

<file path=customXml/itemProps2.xml><?xml version="1.0" encoding="utf-8"?>
<ds:datastoreItem xmlns:ds="http://schemas.openxmlformats.org/officeDocument/2006/customXml" ds:itemID="afd9a728-901e-4552-b714-27dae8ad4718">
  <ds:schemaRefs>
    <ds:schemaRef ds:uri="http://schemas.microsoft.com/vsto/samples"/>
  </ds:schemaRefs>
</ds:datastoreItem>
</file>

<file path=docProps/app.xml><?xml version="1.0" encoding="utf-8"?>
<Properties xmlns="http://schemas.openxmlformats.org/officeDocument/2006/extended-properties">
  <Application>GEOSECMA for ArcGIS</Application>
  <Template>Rapport</Template>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Linus Leion-Welin</dc:creator>
  <dcterms:created xsi:type="dcterms:W3CDTF">2024-10-08T05:24:00Z</dcterms:created>
  <cp:lastModifiedBy>Linus Leion-Welin</cp:lastModifiedBy>
  <cp:lastPrinted>2025-02-26T12:50:00Z</cp:lastPrinted>
  <dcterms:modified xsi:type="dcterms:W3CDTF">2025-07-02T11:56:09Z</dcterms:modified>
  <cp:revision>65</cp:revision>
</cp:coreProperties>
</file>