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emf" ContentType="application/x-msmetafile"/>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r>
        <w:rPr>
          <w:noProof w:val="1"/>
          <w:lang w:eastAsia="sv-SE"/>
        </w:rPr>
        <mc:AlternateContent>
          <mc:Choice Requires="wpg">
            <w:drawing>
              <wp:anchor xmlns:wp="http://schemas.openxmlformats.org/drawingml/2006/wordprocessingDrawing" distT="0" distB="0" distL="114300" distR="114300" simplePos="0" relativeHeight="2" behindDoc="0" locked="0" layoutInCell="1" allowOverlap="1">
                <wp:simplePos x="0" y="0"/>
                <wp:positionH relativeFrom="column">
                  <wp:posOffset>4629150</wp:posOffset>
                </wp:positionH>
                <wp:positionV relativeFrom="paragraph">
                  <wp:posOffset>-4897755</wp:posOffset>
                </wp:positionV>
                <wp:extent cx="1819275" cy="771525"/>
                <wp:effectExtent l="0" t="0" r="0" b="9525"/>
                <wp:wrapNone/>
                <wp:docPr id="80" name="Group 15"/>
                <wp:cNvGraphicFramePr/>
                <a:graphic xmlns:a="http://schemas.openxmlformats.org/drawingml/2006/main">
                  <a:graphicData uri="http://schemas.microsoft.com/office/word/2010/wordprocessingGroup">
                    <wpg:wgp>
                      <wpg:cNvGrpSpPr/>
                      <wpg:grpSpPr bwMode="auto">
                        <a:xfrm>
                          <a:off x="0" y="0"/>
                          <a:ext cx="1819275" cy="771525"/>
                          <a:chOff x="8897" y="1231"/>
                          <a:chExt cx="2866" cy="1216"/>
                        </a:xfrm>
                      </wpg:grpSpPr>
                      <wps:wsp>
                        <wps:cNvPr id="81" name="Text Box 16"/>
                        <wps:cNvSpPr txBox="1">
                          <a:spLocks noChangeArrowheads="1"/>
                        </wps:cNvSpPr>
                        <wps:spPr bwMode="auto">
                          <a:xfrm>
                            <a:off x="10291" y="1231"/>
                            <a:ext cx="1472" cy="1216"/>
                          </a:xfrm>
                          <a:prstGeom prst="rect"/>
                          <a:no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color w:val="FFFFFF"/>
                                  <w:sz w:val="92"/>
                                  <w:szCs w:val="92"/>
                                </w:rPr>
                              </w:pPr>
                              <w:r>
                                <w:rPr>
                                  <w:color w:val="FFFFFF"/>
                                  <w:sz w:val="92"/>
                                  <w:szCs w:val="92"/>
                                </w:rPr>
                                <w:t>08</w:t>
                              </w:r>
                            </w:p>
                          </w:txbxContent>
                        </wps:txbx>
                        <wps:bodyPr rot="0" vert="horz" wrap="square" lIns="91440" tIns="45720" rIns="91440" bIns="45720" anchor="t" anchorCtr="0" upright="1">
                          <a:noAutofit/>
                        </wps:bodyPr>
                      </wps:wsp>
                      <wps:wsp>
                        <wps:cNvPr id="82" name="AutoShape 17"/>
                        <wps:cNvCnPr>
                          <a:cxnSpLocks noChangeShapeType="1"/>
                          <a:stCxn id="0" idx="0"/>
                          <a:endCxn id="0" idx="0"/>
                        </wps:cNvCnPr>
                        <wps:spPr bwMode="auto">
                          <a:xfrm>
                            <a:off x="10291" y="1590"/>
                            <a:ext cx="0" cy="633"/>
                          </a:xfrm>
                          <a:prstGeom prst="straightConnector1"/>
                          <a:noFill/>
                          <a:ln w="19050">
                            <a:solidFill>
                              <a:srgbClr val="FFFFFF"/>
                            </a:solidFill>
                            <a:round/>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bodyPr/>
                      </wps:wsp>
                      <wps:wsp>
                        <wps:cNvPr id="83" name="Text Box 18"/>
                        <wps:cNvSpPr txBox="1">
                          <a:spLocks noChangeArrowheads="1"/>
                        </wps:cNvSpPr>
                        <wps:spPr bwMode="auto">
                          <a:xfrm>
                            <a:off x="8897" y="1458"/>
                            <a:ext cx="1365" cy="633"/>
                          </a:xfrm>
                          <a:prstGeom prst="rect"/>
                          <a:no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jc w:val="right"/>
                                <w:rPr>
                                  <w:rFonts w:ascii="Calibri" w:hAnsi="Calibri"/>
                                  <w:b w:val="1"/>
                                  <w:color w:val="FFFFFF"/>
                                  <w:sz w:val="32"/>
                                  <w:szCs w:val="32"/>
                                </w:rPr>
                              </w:pPr>
                              <w:r>
                                <w:rPr>
                                  <w:rFonts w:ascii="Calibri" w:hAnsi="Calibri"/>
                                  <w:b w:val="1"/>
                                  <w:color w:val="FFFFFF"/>
                                  <w:sz w:val="32"/>
                                  <w:szCs w:val="32"/>
                                </w:rPr>
                                <w:t>Fall</w:t>
                              </w:r>
                            </w:p>
                          </w:txbxContent>
                        </wps:txbx>
                        <wps:bodyPr rot="0" vert="horz" wrap="square" lIns="91440" tIns="45720" rIns="91440" bIns="45720" anchor="t" anchorCtr="0" upright="1">
                          <a:noAutofit/>
                        </wps:bodyPr>
                      </wps:wsp>
                    </wpg:wgp>
                  </a:graphicData>
                </a:graphic>
              </wp:anchor>
            </w:drawing>
          </mc:Choice>
          <mc:Fallback>
            <w:pict>
              <v:group xmlns:o="urn:schemas-microsoft-com:office:office" id="Group 15" style="position:absolute;width:143.25pt;height:60.75pt;z-index:2;mso-wrap-distance-left:9pt;mso-wrap-distance-top:0pt;mso-wrap-distance-right:9pt;mso-wrap-distance-bottom:0pt;margin-left:364.5pt;margin-top:-385.65pt;mso-position-horizontal:absolute;mso-position-horizontal-relative:text;mso-position-vertical:absolute;mso-position-vertical-relative:text" coordorigin="8896,1230" coordsize="2865,1215" o:allowincell="t">
                <v:shapetype id="_x0000_t202" coordsize="21600,21600" o:spt="202" path="m,l,21600r21600,l21600,xe">
                  <v:stroke joinstyle="miter"/>
                  <v:path gradientshapeok="t" o:connecttype="rect"/>
                </v:shapetype>
                <v:shape type="#_x0000_t202" id="Text Box 16" o:spid="_x0000_s1027" style="position:absolute;left:10290;top:1230;width:1471;height:1215" o:allowincell="t" filled="f" stroked="f">
                  <v:textbox inset="3mm,1mm,3mm,1mm">
                    <w:txbxContent>
                      <w:p>
                        <w:pPr>
                          <w:rPr>
                            <w:color w:val="FFFFFF"/>
                            <w:sz w:val="92"/>
                            <w:szCs w:val="92"/>
                          </w:rPr>
                        </w:pPr>
                        <w:r>
                          <w:rPr>
                            <w:color w:val="FFFFFF"/>
                            <w:sz w:val="92"/>
                            <w:szCs w:val="92"/>
                          </w:rPr>
                          <w:t>08</w:t>
                        </w:r>
                      </w:p>
                    </w:txbxContent>
                  </v:textbox>
                </v:shape>
                <v:shapetype id="_x0000_t32" coordsize="21600,21600" o:spt="32" path="m,l21600,21600e" filled="f">
                  <v:path fillok="f" o:connecttype="none"/>
                  <o:lock v:ext="edit" shapetype="t"/>
                </v:shapetype>
                <v:shape type="#_x0000_t32" id="AutoShape 17" o:spid="_x0000_s1028" style="position:absolute;left:10290;top:1589;width:0;height:632" filled="f" strokecolor="#FFFFFF" strokeweight="1.5pt" stroked="t" o:allowincell="t">
                  <o:lock shapetype="t"/>
                </v:shape>
                <v:shape type="#_x0000_t202" id="Text Box 18" o:spid="_x0000_s1029" style="position:absolute;left:8896;top:1457;width:1364;height:632" o:allowincell="t" filled="f" stroked="f">
                  <v:textbox inset="3mm,1mm,3mm,1mm">
                    <w:txbxContent>
                      <w:p>
                        <w:pPr>
                          <w:jc w:val="right"/>
                          <w:rPr>
                            <w:rFonts w:ascii="Calibri" w:hAnsi="Calibri"/>
                            <w:b w:val="1"/>
                            <w:color w:val="FFFFFF"/>
                            <w:sz w:val="32"/>
                            <w:szCs w:val="32"/>
                          </w:rPr>
                        </w:pPr>
                        <w:r>
                          <w:rPr>
                            <w:rFonts w:ascii="Calibri" w:hAnsi="Calibri"/>
                            <w:b w:val="1"/>
                            <w:color w:val="FFFFFF"/>
                            <w:sz w:val="32"/>
                            <w:szCs w:val="32"/>
                          </w:rPr>
                          <w:t>Fall</w:t>
                        </w:r>
                      </w:p>
                    </w:txbxContent>
                  </v:textbox>
                </v:shape>
              </v:group>
            </w:pict>
          </mc:Fallback>
        </mc:AlternateContent>
      </w:r>
    </w:p>
    <w:tbl>
      <w:tblPr>
        <w:tblpPr w:leftFromText="181" w:rightFromText="181" w:tblpX="1243" w:tblpY="6238" w:horzAnchor="page" w:vertAnchor="page"/>
        <w:tblW w:w="9606" w:type="dxa"/>
        <w:tblLook w:val="04A0"/>
      </w:tblPr>
      <w:tblGrid/>
      <w:tr>
        <w:tc>
          <w:tcPr>
            <w:tcW w:w="9606" w:type="dxa"/>
          </w:tcPr>
          <w:p>
            <w:pPr>
              <w:jc w:val="right"/>
              <w:rPr>
                <w:rFonts w:ascii="Lucida Sans" w:hAnsi="Lucida Sans"/>
                <w:b w:val="1"/>
                <w:color w:val="8D3520"/>
                <w:sz w:val="64"/>
                <w:szCs w:val="64"/>
              </w:rPr>
            </w:pPr>
          </w:p>
          <w:p>
            <w:pPr>
              <w:jc w:val="right"/>
              <w:rPr>
                <w:rFonts w:ascii="Lucida Sans" w:hAnsi="Lucida Sans"/>
                <w:b w:val="1"/>
                <w:color w:val="8D3520"/>
                <w:sz w:val="64"/>
                <w:szCs w:val="64"/>
              </w:rPr>
            </w:pPr>
          </w:p>
          <w:p>
            <w:pPr>
              <w:jc w:val="right"/>
              <w:rPr>
                <w:rFonts w:ascii="Lucida Sans" w:hAnsi="Lucida Sans"/>
                <w:b w:val="1"/>
                <w:color w:val="8D3520"/>
                <w:sz w:val="64"/>
                <w:szCs w:val="64"/>
              </w:rPr>
            </w:pPr>
          </w:p>
          <w:p>
            <w:pPr>
              <w:jc w:val="right"/>
              <w:rPr>
                <w:rFonts w:ascii="Lucida Sans" w:hAnsi="Lucida Sans"/>
                <w:b w:val="1"/>
                <w:color w:val="8D3520"/>
                <w:sz w:val="64"/>
                <w:szCs w:val="64"/>
              </w:rPr>
            </w:pPr>
          </w:p>
          <w:tbl>
            <w:tblPr>
              <w:tblpPr w:leftFromText="181" w:rightFromText="181" w:tblpX="1243" w:tblpY="1116" w:horzAnchor="page" w:vertAnchor="page"/>
              <w:tblOverlap w:val="never"/>
              <w:tblW w:w="9606" w:type="dxa"/>
              <w:tblLook w:val="04A0"/>
            </w:tblPr>
            <w:tblGrid/>
            <w:tr>
              <w:tc>
                <w:tcPr>
                  <w:tcW w:w="9606" w:type="dxa"/>
                </w:tcPr>
                <w:p>
                  <w:pPr>
                    <w:jc w:val="right"/>
                    <w:rPr>
                      <w:rFonts w:ascii="Lucida Sans" w:hAnsi="Lucida Sans"/>
                      <w:b w:val="1"/>
                      <w:color w:val="8D3520"/>
                      <w:sz w:val="64"/>
                      <w:szCs w:val="64"/>
                    </w:rPr>
                  </w:pPr>
                  <w:r>
                    <w:rPr>
                      <w:rFonts w:ascii="Lucida Sans" w:hAnsi="Lucida Sans"/>
                      <w:b w:val="1"/>
                      <w:color w:val="8D3520"/>
                      <w:sz w:val="64"/>
                      <w:szCs w:val="64"/>
                    </w:rPr>
                    <w:t>Detaljplan för del av Kiruna 1:1 och del av Kiruna 1:173, krematorium, begravningsplats</w:t>
                  </w:r>
                </w:p>
              </w:tc>
            </w:tr>
            <w:tr>
              <w:tc>
                <w:tcPr>
                  <w:tcW w:w="9606" w:type="dxa"/>
                </w:tcPr>
                <w:p>
                  <w:pPr>
                    <w:jc w:val="right"/>
                    <w:rPr>
                      <w:rFonts w:ascii="Lucida Sans" w:hAnsi="Lucida Sans"/>
                      <w:sz w:val="36"/>
                      <w:szCs w:val="36"/>
                    </w:rPr>
                  </w:pPr>
                  <w:r>
                    <w:rPr>
                      <w:rFonts w:ascii="Lucida Sans" w:hAnsi="Lucida Sans"/>
                      <w:sz w:val="36"/>
                      <w:szCs w:val="36"/>
                    </w:rPr>
                    <w:t>LAGA KRAFT</w:t>
                  </w:r>
                </w:p>
              </w:tc>
            </w:tr>
          </w:tbl>
          <w:p>
            <w:pPr>
              <w:jc w:val="right"/>
              <w:rPr>
                <w:rFonts w:ascii="Lucida Sans" w:hAnsi="Lucida Sans"/>
                <w:b w:val="1"/>
                <w:color w:val="8D3520"/>
                <w:sz w:val="64"/>
                <w:szCs w:val="64"/>
              </w:rPr>
            </w:pPr>
          </w:p>
        </w:tc>
      </w:tr>
      <w:tr>
        <w:tc>
          <w:tcPr>
            <w:tcW w:w="9606" w:type="dxa"/>
          </w:tcPr>
          <w:p>
            <w:pPr>
              <w:jc w:val="right"/>
              <w:rPr>
                <w:rFonts w:ascii="Lucida Sans" w:hAnsi="Lucida Sans"/>
                <w:sz w:val="36"/>
                <w:szCs w:val="36"/>
              </w:rPr>
            </w:pPr>
          </w:p>
        </w:tc>
      </w:tr>
    </w:tbl>
    <w:p/>
    <w:p/>
    <w:p/>
    <w:p/>
    <w:p/>
    <w:p/>
    <w:p/>
    <w:p>
      <w:pPr>
        <w:spacing w:after="4" w:beforeAutospacing="0" w:afterAutospacing="0"/>
        <w:rPr>
          <w:rFonts w:ascii="Georgia" w:hAnsi="Georgia" w:cstheme="minorHAnsi"/>
          <w:sz w:val="18"/>
          <w:szCs w:val="16"/>
        </w:rPr>
      </w:pPr>
    </w:p>
    <w:p>
      <w:pPr>
        <w:spacing w:after="4" w:beforeAutospacing="0" w:afterAutospacing="0"/>
        <w:rPr>
          <w:rFonts w:ascii="Georgia" w:hAnsi="Georgia" w:cstheme="minorHAnsi"/>
          <w:sz w:val="18"/>
          <w:szCs w:val="16"/>
        </w:rPr>
      </w:pPr>
    </w:p>
    <w:p>
      <w:pPr>
        <w:spacing w:after="4" w:beforeAutospacing="0" w:afterAutospacing="0"/>
        <w:rPr>
          <w:rFonts w:ascii="Georgia" w:hAnsi="Georgia" w:cstheme="minorHAnsi"/>
          <w:sz w:val="18"/>
          <w:szCs w:val="16"/>
        </w:rPr>
      </w:pPr>
      <w:r>
        <w:rPr>
          <w:rFonts w:ascii="Georgia" w:hAnsi="Georgia" w:cstheme="minorHAnsi"/>
          <w:sz w:val="18"/>
          <w:szCs w:val="16"/>
        </w:rPr>
        <w:t>Utökat förfarande</w:t>
      </w:r>
    </w:p>
    <w:p>
      <w:pPr>
        <w:spacing w:after="4" w:beforeAutospacing="0" w:afterAutospacing="0"/>
        <w:ind w:right="667"/>
        <w:rPr>
          <w:rFonts w:ascii="Georgia" w:hAnsi="Georgia" w:cstheme="minorHAnsi"/>
          <w:sz w:val="18"/>
          <w:szCs w:val="16"/>
        </w:rPr>
      </w:pPr>
      <w:r>
        <w:rPr>
          <w:rFonts w:ascii="Georgia" w:hAnsi="Georgia" w:cstheme="minorHAnsi"/>
          <w:sz w:val="18"/>
          <w:szCs w:val="16"/>
        </w:rPr>
        <w:t xml:space="preserve">Plan- och bygglagen (SFS 2010:900, BFS 2020:05) </w:t>
      </w:r>
    </w:p>
    <w:p>
      <w:pPr>
        <w:spacing w:after="4" w:beforeAutospacing="0" w:afterAutospacing="0"/>
        <w:ind w:right="667"/>
        <w:rPr>
          <w:rFonts w:ascii="Georgia" w:hAnsi="Georgia" w:cstheme="minorHAnsi"/>
          <w:sz w:val="18"/>
          <w:szCs w:val="16"/>
        </w:rPr>
      </w:pPr>
      <w:r>
        <w:rPr>
          <w:rFonts w:ascii="Georgia" w:hAnsi="Georgia" w:cstheme="minorHAnsi"/>
          <w:sz w:val="18"/>
          <w:szCs w:val="16"/>
        </w:rPr>
        <w:t>2025-02-22</w:t>
      </w:r>
    </w:p>
    <w:p>
      <w:pPr>
        <w:outlineLvl w:val="0"/>
        <w:rPr>
          <w:rFonts w:ascii="Lucida Sans" w:hAnsi="Lucida Sans"/>
          <w:b w:val="1"/>
          <w:sz w:val="36"/>
          <w:szCs w:val="36"/>
        </w:rPr>
      </w:pPr>
      <w:r>
        <w:rPr>
          <w:rFonts w:ascii="Lucida Sans" w:hAnsi="Lucida Sans"/>
          <w:b w:val="1"/>
          <w:sz w:val="36"/>
          <w:szCs w:val="36"/>
        </w:rPr>
        <w:t>Innehållsförteckning</w:t>
      </w:r>
    </w:p>
    <w:p>
      <w:pPr>
        <w:pStyle w:val="P19"/>
        <w:rPr>
          <w:rFonts w:asciiTheme="minorHAnsi" w:hAnsiTheme="minorHAnsi" w:cstheme="minorBidi" w:eastAsiaTheme="minorEastAsia"/>
          <w:b w:val="0"/>
          <w:noProof w:val="1"/>
          <w:sz w:val="22"/>
          <w:szCs w:val="22"/>
          <w:kern w:val="2"/>
          <w:lang w:eastAsia="sv-SE"/>
        </w:rPr>
      </w:pPr>
      <w:r>
        <w:rPr>
          <w:b w:val="0"/>
        </w:rPr>
        <w:fldChar w:fldCharType="begin"/>
      </w:r>
      <w:r>
        <w:rPr>
          <w:b w:val="0"/>
        </w:rPr>
        <w:instrText xml:space="preserve"> TOC \f \h \z \t "Huvudrubrik;1;Underrubrik 1;2;Underrubrik 2;2;Underrubrik 3;2;Underrubrik 4;2" </w:instrText>
      </w:r>
      <w:r>
        <w:rPr>
          <w:b w:val="0"/>
        </w:rPr>
        <w:fldChar w:fldCharType="separate"/>
      </w:r>
      <w:hyperlink w:anchor="_Toc143176865">
        <w:r>
          <w:rPr>
            <w:rStyle w:val="C2"/>
            <w:noProof w:val="1"/>
          </w:rPr>
          <w:t>1 Detaljplanens syfte</w:t>
        </w:r>
        <w:r>
          <w:rPr>
            <w:noProof w:val="1"/>
          </w:rPr>
          <w:tab/>
        </w:r>
        <w:r>
          <w:rPr>
            <w:noProof w:val="1"/>
          </w:rPr>
          <w:fldChar w:fldCharType="begin"/>
        </w:r>
        <w:r>
          <w:rPr>
            <w:noProof w:val="1"/>
          </w:rPr>
          <w:instrText xml:space="preserve"> PAGEREF _Toc143176865 \h </w:instrText>
        </w:r>
        <w:r>
          <w:rPr>
            <w:noProof w:val="1"/>
          </w:rPr>
          <w:fldChar w:fldCharType="separate"/>
        </w:r>
        <w:r>
          <w:rPr>
            <w:noProof w:val="1"/>
          </w:rPr>
          <w:t>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66">
        <w:r>
          <w:rPr>
            <w:rStyle w:val="C2"/>
            <w:noProof w:val="1"/>
          </w:rPr>
          <w:t>1.1</w:t>
        </w:r>
        <w:r>
          <w:rPr>
            <w:rFonts w:asciiTheme="minorHAnsi" w:hAnsiTheme="minorHAnsi" w:cstheme="minorBidi" w:eastAsiaTheme="minorEastAsia"/>
            <w:noProof w:val="1"/>
            <w:sz w:val="22"/>
            <w:kern w:val="2"/>
            <w:lang w:eastAsia="sv-SE"/>
          </w:rPr>
          <w:tab/>
        </w:r>
        <w:r>
          <w:rPr>
            <w:rStyle w:val="C2"/>
            <w:noProof w:val="1"/>
          </w:rPr>
          <w:t>Syfte</w:t>
        </w:r>
        <w:r>
          <w:rPr>
            <w:noProof w:val="1"/>
          </w:rPr>
          <w:tab/>
        </w:r>
        <w:r>
          <w:rPr>
            <w:noProof w:val="1"/>
          </w:rPr>
          <w:fldChar w:fldCharType="begin"/>
        </w:r>
        <w:r>
          <w:rPr>
            <w:noProof w:val="1"/>
          </w:rPr>
          <w:instrText xml:space="preserve"> PAGEREF _Toc143176866 \h </w:instrText>
        </w:r>
        <w:r>
          <w:rPr>
            <w:noProof w:val="1"/>
          </w:rPr>
          <w:fldChar w:fldCharType="separate"/>
        </w:r>
        <w:r>
          <w:rPr>
            <w:noProof w:val="1"/>
          </w:rPr>
          <w:t>5</w:t>
        </w:r>
        <w:r>
          <w:rPr>
            <w:noProof w:val="1"/>
          </w:rPr>
          <w:fldChar w:fldCharType="end"/>
        </w:r>
      </w:hyperlink>
    </w:p>
    <w:p>
      <w:pPr>
        <w:pStyle w:val="P19"/>
        <w:rPr>
          <w:rFonts w:asciiTheme="minorHAnsi" w:hAnsiTheme="minorHAnsi" w:cstheme="minorBidi" w:eastAsiaTheme="minorEastAsia"/>
          <w:b w:val="0"/>
          <w:noProof w:val="1"/>
          <w:sz w:val="22"/>
          <w:szCs w:val="22"/>
          <w:kern w:val="2"/>
          <w:lang w:eastAsia="sv-SE"/>
        </w:rPr>
      </w:pPr>
      <w:hyperlink w:anchor="_Toc143176867">
        <w:r>
          <w:rPr>
            <w:rStyle w:val="C2"/>
            <w:noProof w:val="1"/>
          </w:rPr>
          <w:t>2 Beskrivning av detaljplanen</w:t>
        </w:r>
        <w:r>
          <w:rPr>
            <w:noProof w:val="1"/>
          </w:rPr>
          <w:tab/>
        </w:r>
        <w:r>
          <w:rPr>
            <w:noProof w:val="1"/>
          </w:rPr>
          <w:fldChar w:fldCharType="begin"/>
        </w:r>
        <w:r>
          <w:rPr>
            <w:noProof w:val="1"/>
          </w:rPr>
          <w:instrText xml:space="preserve"> PAGEREF _Toc143176867 \h </w:instrText>
        </w:r>
        <w:r>
          <w:rPr>
            <w:noProof w:val="1"/>
          </w:rPr>
          <w:fldChar w:fldCharType="separate"/>
        </w:r>
        <w:r>
          <w:rPr>
            <w:noProof w:val="1"/>
          </w:rPr>
          <w:t>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68">
        <w:r>
          <w:rPr>
            <w:rStyle w:val="C2"/>
            <w:noProof w:val="1"/>
          </w:rPr>
          <w:t>2.1</w:t>
        </w:r>
        <w:r>
          <w:rPr>
            <w:rFonts w:asciiTheme="minorHAnsi" w:hAnsiTheme="minorHAnsi" w:cstheme="minorBidi" w:eastAsiaTheme="minorEastAsia"/>
            <w:noProof w:val="1"/>
            <w:sz w:val="22"/>
            <w:kern w:val="2"/>
            <w:lang w:eastAsia="sv-SE"/>
          </w:rPr>
          <w:tab/>
        </w:r>
        <w:r>
          <w:rPr>
            <w:rStyle w:val="C2"/>
            <w:noProof w:val="1"/>
          </w:rPr>
          <w:t>Hela detaljplanen</w:t>
        </w:r>
        <w:r>
          <w:rPr>
            <w:noProof w:val="1"/>
          </w:rPr>
          <w:tab/>
        </w:r>
        <w:r>
          <w:rPr>
            <w:noProof w:val="1"/>
          </w:rPr>
          <w:fldChar w:fldCharType="begin"/>
        </w:r>
        <w:r>
          <w:rPr>
            <w:noProof w:val="1"/>
          </w:rPr>
          <w:instrText xml:space="preserve"> PAGEREF _Toc143176868 \h </w:instrText>
        </w:r>
        <w:r>
          <w:rPr>
            <w:noProof w:val="1"/>
          </w:rPr>
          <w:fldChar w:fldCharType="separate"/>
        </w:r>
        <w:r>
          <w:rPr>
            <w:noProof w:val="1"/>
          </w:rPr>
          <w:t>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69">
        <w:r>
          <w:rPr>
            <w:rStyle w:val="C2"/>
            <w:noProof w:val="1"/>
          </w:rPr>
          <w:t>2.2</w:t>
        </w:r>
        <w:r>
          <w:rPr>
            <w:rFonts w:asciiTheme="minorHAnsi" w:hAnsiTheme="minorHAnsi" w:cstheme="minorBidi" w:eastAsiaTheme="minorEastAsia"/>
            <w:noProof w:val="1"/>
            <w:sz w:val="22"/>
            <w:kern w:val="2"/>
            <w:lang w:eastAsia="sv-SE"/>
          </w:rPr>
          <w:tab/>
        </w:r>
        <w:r>
          <w:rPr>
            <w:rStyle w:val="C2"/>
            <w:noProof w:val="1"/>
          </w:rPr>
          <w:t>Genomförandetid</w:t>
        </w:r>
        <w:r>
          <w:rPr>
            <w:noProof w:val="1"/>
          </w:rPr>
          <w:tab/>
        </w:r>
        <w:r>
          <w:rPr>
            <w:noProof w:val="1"/>
          </w:rPr>
          <w:fldChar w:fldCharType="begin"/>
        </w:r>
        <w:r>
          <w:rPr>
            <w:noProof w:val="1"/>
          </w:rPr>
          <w:instrText xml:space="preserve"> PAGEREF _Toc143176869 \h </w:instrText>
        </w:r>
        <w:r>
          <w:rPr>
            <w:noProof w:val="1"/>
          </w:rPr>
          <w:fldChar w:fldCharType="separate"/>
        </w:r>
        <w:r>
          <w:rPr>
            <w:noProof w:val="1"/>
          </w:rPr>
          <w:t>8</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70">
        <w:r>
          <w:rPr>
            <w:rStyle w:val="C2"/>
            <w:noProof w:val="1"/>
          </w:rPr>
          <w:t>2.3</w:t>
        </w:r>
        <w:r>
          <w:rPr>
            <w:rFonts w:asciiTheme="minorHAnsi" w:hAnsiTheme="minorHAnsi" w:cstheme="minorBidi" w:eastAsiaTheme="minorEastAsia"/>
            <w:noProof w:val="1"/>
            <w:sz w:val="22"/>
            <w:kern w:val="2"/>
            <w:lang w:eastAsia="sv-SE"/>
          </w:rPr>
          <w:tab/>
        </w:r>
        <w:r>
          <w:rPr>
            <w:rStyle w:val="C2"/>
            <w:noProof w:val="1"/>
          </w:rPr>
          <w:t>Allmän plats</w:t>
        </w:r>
        <w:r>
          <w:rPr>
            <w:noProof w:val="1"/>
          </w:rPr>
          <w:tab/>
        </w:r>
        <w:r>
          <w:rPr>
            <w:noProof w:val="1"/>
          </w:rPr>
          <w:fldChar w:fldCharType="begin"/>
        </w:r>
        <w:r>
          <w:rPr>
            <w:noProof w:val="1"/>
          </w:rPr>
          <w:instrText xml:space="preserve"> PAGEREF _Toc143176870 \h </w:instrText>
        </w:r>
        <w:r>
          <w:rPr>
            <w:noProof w:val="1"/>
          </w:rPr>
          <w:fldChar w:fldCharType="separate"/>
        </w:r>
        <w:r>
          <w:rPr>
            <w:noProof w:val="1"/>
          </w:rPr>
          <w:t>8</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71">
        <w:r>
          <w:rPr>
            <w:rStyle w:val="C2"/>
            <w:noProof w:val="1"/>
          </w:rPr>
          <w:t>2.4</w:t>
        </w:r>
        <w:r>
          <w:rPr>
            <w:rFonts w:asciiTheme="minorHAnsi" w:hAnsiTheme="minorHAnsi" w:cstheme="minorBidi" w:eastAsiaTheme="minorEastAsia"/>
            <w:noProof w:val="1"/>
            <w:sz w:val="22"/>
            <w:kern w:val="2"/>
            <w:lang w:eastAsia="sv-SE"/>
          </w:rPr>
          <w:tab/>
        </w:r>
        <w:r>
          <w:rPr>
            <w:rStyle w:val="C2"/>
            <w:noProof w:val="1"/>
          </w:rPr>
          <w:t>Kvartersmark</w:t>
        </w:r>
        <w:r>
          <w:rPr>
            <w:noProof w:val="1"/>
          </w:rPr>
          <w:tab/>
        </w:r>
        <w:r>
          <w:rPr>
            <w:noProof w:val="1"/>
          </w:rPr>
          <w:fldChar w:fldCharType="begin"/>
        </w:r>
        <w:r>
          <w:rPr>
            <w:noProof w:val="1"/>
          </w:rPr>
          <w:instrText xml:space="preserve"> PAGEREF _Toc143176871 \h </w:instrText>
        </w:r>
        <w:r>
          <w:rPr>
            <w:noProof w:val="1"/>
          </w:rPr>
          <w:fldChar w:fldCharType="separate"/>
        </w:r>
        <w:r>
          <w:rPr>
            <w:noProof w:val="1"/>
          </w:rPr>
          <w:t>8</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72">
        <w:r>
          <w:rPr>
            <w:rStyle w:val="C2"/>
            <w:noProof w:val="1"/>
          </w:rPr>
          <w:t>2.5</w:t>
        </w:r>
        <w:r>
          <w:rPr>
            <w:rFonts w:asciiTheme="minorHAnsi" w:hAnsiTheme="minorHAnsi" w:cstheme="minorBidi" w:eastAsiaTheme="minorEastAsia"/>
            <w:noProof w:val="1"/>
            <w:sz w:val="22"/>
            <w:kern w:val="2"/>
            <w:lang w:eastAsia="sv-SE"/>
          </w:rPr>
          <w:tab/>
        </w:r>
        <w:r>
          <w:rPr>
            <w:rStyle w:val="C2"/>
            <w:noProof w:val="1"/>
          </w:rPr>
          <w:t>Vattenområde</w:t>
        </w:r>
        <w:r>
          <w:rPr>
            <w:noProof w:val="1"/>
          </w:rPr>
          <w:tab/>
        </w:r>
        <w:r>
          <w:rPr>
            <w:noProof w:val="1"/>
          </w:rPr>
          <w:fldChar w:fldCharType="begin"/>
        </w:r>
        <w:r>
          <w:rPr>
            <w:noProof w:val="1"/>
          </w:rPr>
          <w:instrText xml:space="preserve"> PAGEREF _Toc143176872 \h </w:instrText>
        </w:r>
        <w:r>
          <w:rPr>
            <w:noProof w:val="1"/>
          </w:rPr>
          <w:fldChar w:fldCharType="separate"/>
        </w:r>
        <w:r>
          <w:rPr>
            <w:noProof w:val="1"/>
          </w:rPr>
          <w:t>9</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73">
        <w:r>
          <w:rPr>
            <w:rStyle w:val="C2"/>
            <w:noProof w:val="1"/>
          </w:rPr>
          <w:t>2.6</w:t>
        </w:r>
        <w:r>
          <w:rPr>
            <w:rFonts w:asciiTheme="minorHAnsi" w:hAnsiTheme="minorHAnsi" w:cstheme="minorBidi" w:eastAsiaTheme="minorEastAsia"/>
            <w:noProof w:val="1"/>
            <w:sz w:val="22"/>
            <w:kern w:val="2"/>
            <w:lang w:eastAsia="sv-SE"/>
          </w:rPr>
          <w:tab/>
        </w:r>
        <w:r>
          <w:rPr>
            <w:rStyle w:val="C2"/>
            <w:noProof w:val="1"/>
          </w:rPr>
          <w:t>Befintligt</w:t>
        </w:r>
        <w:r>
          <w:rPr>
            <w:noProof w:val="1"/>
          </w:rPr>
          <w:tab/>
        </w:r>
        <w:r>
          <w:rPr>
            <w:noProof w:val="1"/>
          </w:rPr>
          <w:fldChar w:fldCharType="begin"/>
        </w:r>
        <w:r>
          <w:rPr>
            <w:noProof w:val="1"/>
          </w:rPr>
          <w:instrText xml:space="preserve"> PAGEREF _Toc143176873 \h </w:instrText>
        </w:r>
        <w:r>
          <w:rPr>
            <w:noProof w:val="1"/>
          </w:rPr>
          <w:fldChar w:fldCharType="separate"/>
        </w:r>
        <w:r>
          <w:rPr>
            <w:noProof w:val="1"/>
          </w:rPr>
          <w:t>9</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74">
        <w:r>
          <w:rPr>
            <w:rStyle w:val="C2"/>
            <w:noProof w:val="1"/>
          </w:rPr>
          <w:t>2.7</w:t>
        </w:r>
        <w:r>
          <w:rPr>
            <w:rFonts w:asciiTheme="minorHAnsi" w:hAnsiTheme="minorHAnsi" w:cstheme="minorBidi" w:eastAsiaTheme="minorEastAsia"/>
            <w:noProof w:val="1"/>
            <w:sz w:val="22"/>
            <w:kern w:val="2"/>
            <w:lang w:eastAsia="sv-SE"/>
          </w:rPr>
          <w:tab/>
        </w:r>
        <w:r>
          <w:rPr>
            <w:rStyle w:val="C2"/>
            <w:noProof w:val="1"/>
          </w:rPr>
          <w:t>Ärendeinformation</w:t>
        </w:r>
        <w:r>
          <w:rPr>
            <w:noProof w:val="1"/>
          </w:rPr>
          <w:tab/>
        </w:r>
        <w:r>
          <w:rPr>
            <w:noProof w:val="1"/>
          </w:rPr>
          <w:fldChar w:fldCharType="begin"/>
        </w:r>
        <w:r>
          <w:rPr>
            <w:noProof w:val="1"/>
          </w:rPr>
          <w:instrText xml:space="preserve"> PAGEREF _Toc143176874 \h </w:instrText>
        </w:r>
        <w:r>
          <w:rPr>
            <w:noProof w:val="1"/>
          </w:rPr>
          <w:fldChar w:fldCharType="separate"/>
        </w:r>
        <w:r>
          <w:rPr>
            <w:noProof w:val="1"/>
          </w:rPr>
          <w:t>10</w:t>
        </w:r>
        <w:r>
          <w:rPr>
            <w:noProof w:val="1"/>
          </w:rPr>
          <w:fldChar w:fldCharType="end"/>
        </w:r>
      </w:hyperlink>
    </w:p>
    <w:p>
      <w:pPr>
        <w:pStyle w:val="P19"/>
        <w:rPr>
          <w:rFonts w:asciiTheme="minorHAnsi" w:hAnsiTheme="minorHAnsi" w:cstheme="minorBidi" w:eastAsiaTheme="minorEastAsia"/>
          <w:b w:val="0"/>
          <w:noProof w:val="1"/>
          <w:sz w:val="22"/>
          <w:szCs w:val="22"/>
          <w:kern w:val="2"/>
          <w:lang w:eastAsia="sv-SE"/>
        </w:rPr>
      </w:pPr>
      <w:hyperlink w:anchor="_Toc143176875">
        <w:r>
          <w:rPr>
            <w:rStyle w:val="C2"/>
            <w:noProof w:val="1"/>
          </w:rPr>
          <w:t>3 Motiv till detaljplanens regleringar</w:t>
        </w:r>
        <w:r>
          <w:rPr>
            <w:noProof w:val="1"/>
          </w:rPr>
          <w:tab/>
        </w:r>
        <w:r>
          <w:rPr>
            <w:noProof w:val="1"/>
          </w:rPr>
          <w:fldChar w:fldCharType="begin"/>
        </w:r>
        <w:r>
          <w:rPr>
            <w:noProof w:val="1"/>
          </w:rPr>
          <w:instrText xml:space="preserve"> PAGEREF _Toc143176875 \h </w:instrText>
        </w:r>
        <w:r>
          <w:rPr>
            <w:noProof w:val="1"/>
          </w:rPr>
          <w:fldChar w:fldCharType="separate"/>
        </w:r>
        <w:r>
          <w:rPr>
            <w:noProof w:val="1"/>
          </w:rPr>
          <w:t>11</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76">
        <w:r>
          <w:rPr>
            <w:rStyle w:val="C2"/>
            <w:noProof w:val="1"/>
          </w:rPr>
          <w:t>3.1</w:t>
        </w:r>
        <w:r>
          <w:rPr>
            <w:rFonts w:asciiTheme="minorHAnsi" w:hAnsiTheme="minorHAnsi" w:cstheme="minorBidi" w:eastAsiaTheme="minorEastAsia"/>
            <w:noProof w:val="1"/>
            <w:sz w:val="22"/>
            <w:kern w:val="2"/>
            <w:lang w:eastAsia="sv-SE"/>
          </w:rPr>
          <w:tab/>
        </w:r>
        <w:r>
          <w:rPr>
            <w:rStyle w:val="C2"/>
            <w:noProof w:val="1"/>
          </w:rPr>
          <w:t>Motiv till reglering</w:t>
        </w:r>
        <w:r>
          <w:rPr>
            <w:noProof w:val="1"/>
          </w:rPr>
          <w:tab/>
        </w:r>
        <w:r>
          <w:rPr>
            <w:noProof w:val="1"/>
          </w:rPr>
          <w:fldChar w:fldCharType="begin"/>
        </w:r>
        <w:r>
          <w:rPr>
            <w:noProof w:val="1"/>
          </w:rPr>
          <w:instrText xml:space="preserve"> PAGEREF _Toc143176876 \h </w:instrText>
        </w:r>
        <w:r>
          <w:rPr>
            <w:noProof w:val="1"/>
          </w:rPr>
          <w:fldChar w:fldCharType="separate"/>
        </w:r>
        <w:r>
          <w:rPr>
            <w:noProof w:val="1"/>
          </w:rPr>
          <w:t>11</w:t>
        </w:r>
        <w:r>
          <w:rPr>
            <w:noProof w:val="1"/>
          </w:rPr>
          <w:fldChar w:fldCharType="end"/>
        </w:r>
      </w:hyperlink>
    </w:p>
    <w:p>
      <w:pPr>
        <w:pStyle w:val="P19"/>
        <w:rPr>
          <w:rFonts w:asciiTheme="minorHAnsi" w:hAnsiTheme="minorHAnsi" w:cstheme="minorBidi" w:eastAsiaTheme="minorEastAsia"/>
          <w:b w:val="0"/>
          <w:noProof w:val="1"/>
          <w:sz w:val="22"/>
          <w:szCs w:val="22"/>
          <w:kern w:val="2"/>
          <w:lang w:eastAsia="sv-SE"/>
        </w:rPr>
      </w:pPr>
      <w:hyperlink w:anchor="_Toc143176877">
        <w:r>
          <w:rPr>
            <w:rStyle w:val="C2"/>
            <w:noProof w:val="1"/>
          </w:rPr>
          <w:t>4 Genomförandefrågor</w:t>
        </w:r>
        <w:r>
          <w:rPr>
            <w:noProof w:val="1"/>
          </w:rPr>
          <w:tab/>
        </w:r>
        <w:r>
          <w:rPr>
            <w:noProof w:val="1"/>
          </w:rPr>
          <w:fldChar w:fldCharType="begin"/>
        </w:r>
        <w:r>
          <w:rPr>
            <w:noProof w:val="1"/>
          </w:rPr>
          <w:instrText xml:space="preserve"> PAGEREF _Toc143176877 \h </w:instrText>
        </w:r>
        <w:r>
          <w:rPr>
            <w:noProof w:val="1"/>
          </w:rPr>
          <w:fldChar w:fldCharType="separate"/>
        </w:r>
        <w:r>
          <w:rPr>
            <w:noProof w:val="1"/>
          </w:rPr>
          <w:t>13</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78">
        <w:r>
          <w:rPr>
            <w:rStyle w:val="C2"/>
            <w:noProof w:val="1"/>
          </w:rPr>
          <w:t>4.1</w:t>
        </w:r>
        <w:r>
          <w:rPr>
            <w:rFonts w:asciiTheme="minorHAnsi" w:hAnsiTheme="minorHAnsi" w:cstheme="minorBidi" w:eastAsiaTheme="minorEastAsia"/>
            <w:noProof w:val="1"/>
            <w:sz w:val="22"/>
            <w:kern w:val="2"/>
            <w:lang w:eastAsia="sv-SE"/>
          </w:rPr>
          <w:tab/>
        </w:r>
        <w:r>
          <w:rPr>
            <w:rStyle w:val="C2"/>
            <w:noProof w:val="1"/>
          </w:rPr>
          <w:t>Mark- och utrymmesförvärv</w:t>
        </w:r>
        <w:r>
          <w:rPr>
            <w:noProof w:val="1"/>
          </w:rPr>
          <w:tab/>
        </w:r>
        <w:r>
          <w:rPr>
            <w:noProof w:val="1"/>
          </w:rPr>
          <w:fldChar w:fldCharType="begin"/>
        </w:r>
        <w:r>
          <w:rPr>
            <w:noProof w:val="1"/>
          </w:rPr>
          <w:instrText xml:space="preserve"> PAGEREF _Toc143176878 \h </w:instrText>
        </w:r>
        <w:r>
          <w:rPr>
            <w:noProof w:val="1"/>
          </w:rPr>
          <w:fldChar w:fldCharType="separate"/>
        </w:r>
        <w:r>
          <w:rPr>
            <w:noProof w:val="1"/>
          </w:rPr>
          <w:t>13</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79">
        <w:r>
          <w:rPr>
            <w:rStyle w:val="C2"/>
            <w:noProof w:val="1"/>
          </w:rPr>
          <w:t>4.1.1</w:t>
        </w:r>
        <w:r>
          <w:rPr>
            <w:rFonts w:asciiTheme="minorHAnsi" w:hAnsiTheme="minorHAnsi" w:cstheme="minorBidi" w:eastAsiaTheme="minorEastAsia"/>
            <w:noProof w:val="1"/>
            <w:sz w:val="22"/>
            <w:kern w:val="2"/>
            <w:lang w:eastAsia="sv-SE"/>
          </w:rPr>
          <w:tab/>
        </w:r>
        <w:r>
          <w:rPr>
            <w:rStyle w:val="C2"/>
            <w:noProof w:val="1"/>
          </w:rPr>
          <w:t>Förändrad fastighetsindelning</w:t>
        </w:r>
        <w:r>
          <w:rPr>
            <w:noProof w:val="1"/>
          </w:rPr>
          <w:tab/>
        </w:r>
        <w:r>
          <w:rPr>
            <w:noProof w:val="1"/>
          </w:rPr>
          <w:fldChar w:fldCharType="begin"/>
        </w:r>
        <w:r>
          <w:rPr>
            <w:noProof w:val="1"/>
          </w:rPr>
          <w:instrText xml:space="preserve"> PAGEREF _Toc143176879 \h </w:instrText>
        </w:r>
        <w:r>
          <w:rPr>
            <w:noProof w:val="1"/>
          </w:rPr>
          <w:fldChar w:fldCharType="separate"/>
        </w:r>
        <w:r>
          <w:rPr>
            <w:noProof w:val="1"/>
          </w:rPr>
          <w:t>13</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80">
        <w:r>
          <w:rPr>
            <w:rStyle w:val="C2"/>
            <w:noProof w:val="1"/>
          </w:rPr>
          <w:t>4.1.2</w:t>
        </w:r>
        <w:r>
          <w:rPr>
            <w:rFonts w:asciiTheme="minorHAnsi" w:hAnsiTheme="minorHAnsi" w:cstheme="minorBidi" w:eastAsiaTheme="minorEastAsia"/>
            <w:noProof w:val="1"/>
            <w:sz w:val="22"/>
            <w:kern w:val="2"/>
            <w:lang w:eastAsia="sv-SE"/>
          </w:rPr>
          <w:tab/>
        </w:r>
        <w:r>
          <w:rPr>
            <w:rStyle w:val="C2"/>
            <w:noProof w:val="1"/>
          </w:rPr>
          <w:t>Rättigheter</w:t>
        </w:r>
        <w:r>
          <w:rPr>
            <w:noProof w:val="1"/>
          </w:rPr>
          <w:tab/>
        </w:r>
        <w:r>
          <w:rPr>
            <w:noProof w:val="1"/>
          </w:rPr>
          <w:fldChar w:fldCharType="begin"/>
        </w:r>
        <w:r>
          <w:rPr>
            <w:noProof w:val="1"/>
          </w:rPr>
          <w:instrText xml:space="preserve"> PAGEREF _Toc143176880 \h </w:instrText>
        </w:r>
        <w:r>
          <w:rPr>
            <w:noProof w:val="1"/>
          </w:rPr>
          <w:fldChar w:fldCharType="separate"/>
        </w:r>
        <w:r>
          <w:rPr>
            <w:noProof w:val="1"/>
          </w:rPr>
          <w:t>13</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81">
        <w:r>
          <w:rPr>
            <w:rStyle w:val="C2"/>
            <w:noProof w:val="1"/>
          </w:rPr>
          <w:t>4.2</w:t>
        </w:r>
        <w:r>
          <w:rPr>
            <w:rFonts w:asciiTheme="minorHAnsi" w:hAnsiTheme="minorHAnsi" w:cstheme="minorBidi" w:eastAsiaTheme="minorEastAsia"/>
            <w:noProof w:val="1"/>
            <w:sz w:val="22"/>
            <w:kern w:val="2"/>
            <w:lang w:eastAsia="sv-SE"/>
          </w:rPr>
          <w:tab/>
        </w:r>
        <w:r>
          <w:rPr>
            <w:rStyle w:val="C2"/>
            <w:noProof w:val="1"/>
          </w:rPr>
          <w:t>Tekniska frågor</w:t>
        </w:r>
        <w:r>
          <w:rPr>
            <w:noProof w:val="1"/>
          </w:rPr>
          <w:tab/>
        </w:r>
        <w:r>
          <w:rPr>
            <w:noProof w:val="1"/>
          </w:rPr>
          <w:fldChar w:fldCharType="begin"/>
        </w:r>
        <w:r>
          <w:rPr>
            <w:noProof w:val="1"/>
          </w:rPr>
          <w:instrText xml:space="preserve"> PAGEREF _Toc143176881 \h </w:instrText>
        </w:r>
        <w:r>
          <w:rPr>
            <w:noProof w:val="1"/>
          </w:rPr>
          <w:fldChar w:fldCharType="separate"/>
        </w:r>
        <w:r>
          <w:rPr>
            <w:noProof w:val="1"/>
          </w:rPr>
          <w:t>14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82">
        <w:r>
          <w:rPr>
            <w:rStyle w:val="C2"/>
            <w:noProof w:val="1"/>
          </w:rPr>
          <w:t>4.2.1</w:t>
        </w:r>
        <w:r>
          <w:rPr>
            <w:rFonts w:asciiTheme="minorHAnsi" w:hAnsiTheme="minorHAnsi" w:cstheme="minorBidi" w:eastAsiaTheme="minorEastAsia"/>
            <w:noProof w:val="1"/>
            <w:sz w:val="22"/>
            <w:kern w:val="2"/>
            <w:lang w:eastAsia="sv-SE"/>
          </w:rPr>
          <w:tab/>
        </w:r>
        <w:r>
          <w:rPr>
            <w:rStyle w:val="C2"/>
            <w:noProof w:val="1"/>
          </w:rPr>
          <w:t>Tekniska åtgärder</w:t>
        </w:r>
        <w:r>
          <w:rPr>
            <w:noProof w:val="1"/>
          </w:rPr>
          <w:tab/>
        </w:r>
        <w:r>
          <w:rPr>
            <w:noProof w:val="1"/>
          </w:rPr>
          <w:fldChar w:fldCharType="begin"/>
        </w:r>
        <w:r>
          <w:rPr>
            <w:noProof w:val="1"/>
          </w:rPr>
          <w:instrText xml:space="preserve"> PAGEREF _Toc143176882 \h </w:instrText>
        </w:r>
        <w:r>
          <w:rPr>
            <w:noProof w:val="1"/>
          </w:rPr>
          <w:fldChar w:fldCharType="separate"/>
        </w:r>
        <w:r>
          <w:rPr>
            <w:noProof w:val="1"/>
          </w:rPr>
          <w:t>14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83">
        <w:r>
          <w:rPr>
            <w:rStyle w:val="C2"/>
            <w:noProof w:val="1"/>
          </w:rPr>
          <w:t>4.2.2</w:t>
        </w:r>
        <w:r>
          <w:rPr>
            <w:rFonts w:asciiTheme="minorHAnsi" w:hAnsiTheme="minorHAnsi" w:cstheme="minorBidi" w:eastAsiaTheme="minorEastAsia"/>
            <w:noProof w:val="1"/>
            <w:sz w:val="22"/>
            <w:kern w:val="2"/>
            <w:lang w:eastAsia="sv-SE"/>
          </w:rPr>
          <w:tab/>
        </w:r>
        <w:r>
          <w:rPr>
            <w:rStyle w:val="C2"/>
            <w:noProof w:val="1"/>
          </w:rPr>
          <w:t>Utbyggnad av vatten och avlopp</w:t>
        </w:r>
        <w:r>
          <w:rPr>
            <w:noProof w:val="1"/>
          </w:rPr>
          <w:tab/>
        </w:r>
        <w:r>
          <w:rPr>
            <w:noProof w:val="1"/>
          </w:rPr>
          <w:fldChar w:fldCharType="begin"/>
        </w:r>
        <w:r>
          <w:rPr>
            <w:noProof w:val="1"/>
          </w:rPr>
          <w:instrText xml:space="preserve"> PAGEREF _Toc143176883 \h </w:instrText>
        </w:r>
        <w:r>
          <w:rPr>
            <w:noProof w:val="1"/>
          </w:rPr>
          <w:fldChar w:fldCharType="separate"/>
        </w:r>
        <w:r>
          <w:rPr>
            <w:noProof w:val="1"/>
          </w:rPr>
          <w:t>14</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84">
        <w:r>
          <w:rPr>
            <w:rStyle w:val="C2"/>
            <w:noProof w:val="1"/>
          </w:rPr>
          <w:t>4.3</w:t>
        </w:r>
        <w:r>
          <w:rPr>
            <w:rFonts w:asciiTheme="minorHAnsi" w:hAnsiTheme="minorHAnsi" w:cstheme="minorBidi" w:eastAsiaTheme="minorEastAsia"/>
            <w:noProof w:val="1"/>
            <w:sz w:val="22"/>
            <w:kern w:val="2"/>
            <w:lang w:eastAsia="sv-SE"/>
          </w:rPr>
          <w:tab/>
        </w:r>
        <w:r>
          <w:rPr>
            <w:rStyle w:val="C2"/>
            <w:noProof w:val="1"/>
          </w:rPr>
          <w:t>Ekonomiska frågor</w:t>
        </w:r>
        <w:r>
          <w:rPr>
            <w:noProof w:val="1"/>
          </w:rPr>
          <w:tab/>
        </w:r>
        <w:r>
          <w:rPr>
            <w:noProof w:val="1"/>
          </w:rPr>
          <w:fldChar w:fldCharType="begin"/>
        </w:r>
        <w:r>
          <w:rPr>
            <w:noProof w:val="1"/>
          </w:rPr>
          <w:instrText xml:space="preserve"> PAGEREF _Toc143176884 \h </w:instrText>
        </w:r>
        <w:r>
          <w:rPr>
            <w:noProof w:val="1"/>
          </w:rPr>
          <w:fldChar w:fldCharType="separate"/>
        </w:r>
        <w:r>
          <w:rPr>
            <w:noProof w:val="1"/>
          </w:rPr>
          <w:t>14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85">
        <w:r>
          <w:rPr>
            <w:rStyle w:val="C2"/>
            <w:noProof w:val="1"/>
          </w:rPr>
          <w:t>4.3.1</w:t>
        </w:r>
        <w:r>
          <w:rPr>
            <w:rFonts w:asciiTheme="minorHAnsi" w:hAnsiTheme="minorHAnsi" w:cstheme="minorBidi" w:eastAsiaTheme="minorEastAsia"/>
            <w:noProof w:val="1"/>
            <w:sz w:val="22"/>
            <w:kern w:val="2"/>
            <w:lang w:eastAsia="sv-SE"/>
          </w:rPr>
          <w:tab/>
        </w:r>
        <w:r>
          <w:rPr>
            <w:rStyle w:val="C2"/>
            <w:noProof w:val="1"/>
          </w:rPr>
          <w:t>Planavgift</w:t>
        </w:r>
        <w:r>
          <w:rPr>
            <w:noProof w:val="1"/>
          </w:rPr>
          <w:tab/>
        </w:r>
        <w:r>
          <w:rPr>
            <w:noProof w:val="1"/>
          </w:rPr>
          <w:fldChar w:fldCharType="begin"/>
        </w:r>
        <w:r>
          <w:rPr>
            <w:noProof w:val="1"/>
          </w:rPr>
          <w:instrText xml:space="preserve"> PAGEREF _Toc143176885 \h </w:instrText>
        </w:r>
        <w:r>
          <w:rPr>
            <w:noProof w:val="1"/>
          </w:rPr>
          <w:fldChar w:fldCharType="separate"/>
        </w:r>
        <w:r>
          <w:rPr>
            <w:noProof w:val="1"/>
          </w:rPr>
          <w:t>14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86">
        <w:r>
          <w:rPr>
            <w:rStyle w:val="C2"/>
            <w:noProof w:val="1"/>
          </w:rPr>
          <w:t>4.3.2</w:t>
        </w:r>
        <w:r>
          <w:rPr>
            <w:rFonts w:asciiTheme="minorHAnsi" w:hAnsiTheme="minorHAnsi" w:cstheme="minorBidi" w:eastAsiaTheme="minorEastAsia"/>
            <w:noProof w:val="1"/>
            <w:sz w:val="22"/>
            <w:kern w:val="2"/>
            <w:lang w:eastAsia="sv-SE"/>
          </w:rPr>
          <w:tab/>
        </w:r>
        <w:r>
          <w:rPr>
            <w:rStyle w:val="C2"/>
            <w:noProof w:val="1"/>
          </w:rPr>
          <w:t>Gemensamhetsanläggningar</w:t>
        </w:r>
        <w:r>
          <w:rPr>
            <w:noProof w:val="1"/>
          </w:rPr>
          <w:tab/>
        </w:r>
        <w:r>
          <w:rPr>
            <w:noProof w:val="1"/>
          </w:rPr>
          <w:fldChar w:fldCharType="begin"/>
        </w:r>
        <w:r>
          <w:rPr>
            <w:noProof w:val="1"/>
          </w:rPr>
          <w:instrText xml:space="preserve"> PAGEREF _Toc143176886 \h </w:instrText>
        </w:r>
        <w:r>
          <w:rPr>
            <w:noProof w:val="1"/>
          </w:rPr>
          <w:fldChar w:fldCharType="separate"/>
        </w:r>
        <w:r>
          <w:rPr>
            <w:noProof w:val="1"/>
          </w:rPr>
          <w:t>14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87">
        <w:r>
          <w:rPr>
            <w:rStyle w:val="C2"/>
            <w:noProof w:val="1"/>
          </w:rPr>
          <w:t>4.3.3</w:t>
        </w:r>
        <w:r>
          <w:rPr>
            <w:rFonts w:asciiTheme="minorHAnsi" w:hAnsiTheme="minorHAnsi" w:cstheme="minorBidi" w:eastAsiaTheme="minorEastAsia"/>
            <w:noProof w:val="1"/>
            <w:sz w:val="22"/>
            <w:kern w:val="2"/>
            <w:lang w:eastAsia="sv-SE"/>
          </w:rPr>
          <w:tab/>
        </w:r>
        <w:r>
          <w:rPr>
            <w:rStyle w:val="C2"/>
            <w:noProof w:val="1"/>
          </w:rPr>
          <w:t>Drift allmän plats</w:t>
        </w:r>
        <w:r>
          <w:rPr>
            <w:noProof w:val="1"/>
          </w:rPr>
          <w:tab/>
        </w:r>
        <w:r>
          <w:rPr>
            <w:noProof w:val="1"/>
          </w:rPr>
          <w:fldChar w:fldCharType="begin"/>
        </w:r>
        <w:r>
          <w:rPr>
            <w:noProof w:val="1"/>
          </w:rPr>
          <w:instrText xml:space="preserve"> PAGEREF _Toc143176887 \h </w:instrText>
        </w:r>
        <w:r>
          <w:rPr>
            <w:noProof w:val="1"/>
          </w:rPr>
          <w:fldChar w:fldCharType="separate"/>
        </w:r>
        <w:r>
          <w:rPr>
            <w:noProof w:val="1"/>
          </w:rPr>
          <w:t>14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88">
        <w:r>
          <w:rPr>
            <w:rStyle w:val="C2"/>
            <w:noProof w:val="1"/>
          </w:rPr>
          <w:t>4.3.4</w:t>
        </w:r>
        <w:r>
          <w:rPr>
            <w:rFonts w:asciiTheme="minorHAnsi" w:hAnsiTheme="minorHAnsi" w:cstheme="minorBidi" w:eastAsiaTheme="minorEastAsia"/>
            <w:noProof w:val="1"/>
            <w:sz w:val="22"/>
            <w:kern w:val="2"/>
            <w:lang w:eastAsia="sv-SE"/>
          </w:rPr>
          <w:tab/>
        </w:r>
        <w:r>
          <w:rPr>
            <w:rStyle w:val="C2"/>
            <w:noProof w:val="1"/>
          </w:rPr>
          <w:t>Drift vatten och avlopp</w:t>
        </w:r>
        <w:r>
          <w:rPr>
            <w:noProof w:val="1"/>
          </w:rPr>
          <w:tab/>
        </w:r>
        <w:r>
          <w:rPr>
            <w:noProof w:val="1"/>
          </w:rPr>
          <w:fldChar w:fldCharType="begin"/>
        </w:r>
        <w:r>
          <w:rPr>
            <w:noProof w:val="1"/>
          </w:rPr>
          <w:instrText xml:space="preserve"> PAGEREF _Toc143176888 \h </w:instrText>
        </w:r>
        <w:r>
          <w:rPr>
            <w:noProof w:val="1"/>
          </w:rPr>
          <w:fldChar w:fldCharType="separate"/>
        </w:r>
        <w:r>
          <w:rPr>
            <w:noProof w:val="1"/>
          </w:rPr>
          <w:t>14</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89">
        <w:r>
          <w:rPr>
            <w:rStyle w:val="C2"/>
            <w:noProof w:val="1"/>
          </w:rPr>
          <w:t>4.4</w:t>
        </w:r>
        <w:r>
          <w:rPr>
            <w:rFonts w:asciiTheme="minorHAnsi" w:hAnsiTheme="minorHAnsi" w:cstheme="minorBidi" w:eastAsiaTheme="minorEastAsia"/>
            <w:noProof w:val="1"/>
            <w:sz w:val="22"/>
            <w:kern w:val="2"/>
            <w:lang w:eastAsia="sv-SE"/>
          </w:rPr>
          <w:tab/>
        </w:r>
        <w:r>
          <w:rPr>
            <w:rStyle w:val="C2"/>
            <w:noProof w:val="1"/>
          </w:rPr>
          <w:t>Organisatoriska frågor</w:t>
        </w:r>
        <w:r>
          <w:rPr>
            <w:noProof w:val="1"/>
          </w:rPr>
          <w:tab/>
        </w:r>
        <w:r>
          <w:rPr>
            <w:noProof w:val="1"/>
          </w:rPr>
          <w:fldChar w:fldCharType="begin"/>
        </w:r>
        <w:r>
          <w:rPr>
            <w:noProof w:val="1"/>
          </w:rPr>
          <w:instrText xml:space="preserve"> PAGEREF _Toc143176889 \h </w:instrText>
        </w:r>
        <w:r>
          <w:rPr>
            <w:noProof w:val="1"/>
          </w:rPr>
          <w:fldChar w:fldCharType="separate"/>
        </w:r>
        <w:r>
          <w:rPr>
            <w:noProof w:val="1"/>
          </w:rPr>
          <w:t>14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90">
        <w:r>
          <w:rPr>
            <w:rStyle w:val="C2"/>
            <w:noProof w:val="1"/>
          </w:rPr>
          <w:t>4.4.1</w:t>
        </w:r>
        <w:r>
          <w:rPr>
            <w:rFonts w:asciiTheme="minorHAnsi" w:hAnsiTheme="minorHAnsi" w:cstheme="minorBidi" w:eastAsiaTheme="minorEastAsia"/>
            <w:noProof w:val="1"/>
            <w:sz w:val="22"/>
            <w:kern w:val="2"/>
            <w:lang w:eastAsia="sv-SE"/>
          </w:rPr>
          <w:tab/>
        </w:r>
        <w:r>
          <w:rPr>
            <w:rStyle w:val="C2"/>
            <w:noProof w:val="1"/>
          </w:rPr>
          <w:t>Markanvisning</w:t>
        </w:r>
        <w:r>
          <w:rPr>
            <w:noProof w:val="1"/>
          </w:rPr>
          <w:tab/>
        </w:r>
        <w:r>
          <w:rPr>
            <w:noProof w:val="1"/>
          </w:rPr>
          <w:fldChar w:fldCharType="begin"/>
        </w:r>
        <w:r>
          <w:rPr>
            <w:noProof w:val="1"/>
          </w:rPr>
          <w:instrText xml:space="preserve"> PAGEREF _Toc143176890 \h </w:instrText>
        </w:r>
        <w:r>
          <w:rPr>
            <w:noProof w:val="1"/>
          </w:rPr>
          <w:fldChar w:fldCharType="separate"/>
        </w:r>
        <w:r>
          <w:rPr>
            <w:noProof w:val="1"/>
          </w:rPr>
          <w:t>15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91">
        <w:r>
          <w:rPr>
            <w:rStyle w:val="C2"/>
            <w:noProof w:val="1"/>
          </w:rPr>
          <w:t>4.5</w:t>
        </w:r>
        <w:r>
          <w:rPr>
            <w:rFonts w:asciiTheme="minorHAnsi" w:hAnsiTheme="minorHAnsi" w:cstheme="minorBidi" w:eastAsiaTheme="minorEastAsia"/>
            <w:noProof w:val="1"/>
            <w:sz w:val="22"/>
            <w:kern w:val="2"/>
            <w:lang w:eastAsia="sv-SE"/>
          </w:rPr>
          <w:tab/>
        </w:r>
        <w:r>
          <w:rPr>
            <w:rStyle w:val="C2"/>
            <w:noProof w:val="1"/>
          </w:rPr>
          <w:t>Prövning enligt annan lagstiftning</w:t>
        </w:r>
        <w:r>
          <w:rPr>
            <w:noProof w:val="1"/>
          </w:rPr>
          <w:tab/>
        </w:r>
        <w:r>
          <w:rPr>
            <w:noProof w:val="1"/>
          </w:rPr>
          <w:fldChar w:fldCharType="begin"/>
        </w:r>
        <w:r>
          <w:rPr>
            <w:noProof w:val="1"/>
          </w:rPr>
          <w:instrText xml:space="preserve"> PAGEREF _Toc143176891 \h </w:instrText>
        </w:r>
        <w:r>
          <w:rPr>
            <w:noProof w:val="1"/>
          </w:rPr>
          <w:fldChar w:fldCharType="separate"/>
        </w:r>
        <w:r>
          <w:rPr>
            <w:noProof w:val="1"/>
          </w:rPr>
          <w:t>15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92">
        <w:r>
          <w:rPr>
            <w:rStyle w:val="C2"/>
            <w:noProof w:val="1"/>
          </w:rPr>
          <w:t>4.6</w:t>
        </w:r>
        <w:r>
          <w:rPr>
            <w:rFonts w:asciiTheme="minorHAnsi" w:hAnsiTheme="minorHAnsi" w:cstheme="minorBidi" w:eastAsiaTheme="minorEastAsia"/>
            <w:noProof w:val="1"/>
            <w:sz w:val="22"/>
            <w:kern w:val="2"/>
            <w:lang w:eastAsia="sv-SE"/>
          </w:rPr>
          <w:tab/>
        </w:r>
        <w:r>
          <w:rPr>
            <w:rStyle w:val="C2"/>
            <w:noProof w:val="1"/>
          </w:rPr>
          <w:t>Upplysningar</w:t>
        </w:r>
        <w:r>
          <w:rPr>
            <w:noProof w:val="1"/>
          </w:rPr>
          <w:tab/>
        </w:r>
        <w:r>
          <w:rPr>
            <w:noProof w:val="1"/>
          </w:rPr>
          <w:fldChar w:fldCharType="begin"/>
        </w:r>
        <w:r>
          <w:rPr>
            <w:noProof w:val="1"/>
          </w:rPr>
          <w:instrText xml:space="preserve"> PAGEREF _Toc143176892 \h </w:instrText>
        </w:r>
        <w:r>
          <w:rPr>
            <w:noProof w:val="1"/>
          </w:rPr>
          <w:fldChar w:fldCharType="separate"/>
        </w:r>
        <w:r>
          <w:rPr>
            <w:noProof w:val="1"/>
          </w:rPr>
          <w:t>15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93">
        <w:r>
          <w:rPr>
            <w:rStyle w:val="C2"/>
            <w:noProof w:val="1"/>
          </w:rPr>
          <w:t>4.7</w:t>
        </w:r>
        <w:r>
          <w:rPr>
            <w:rFonts w:asciiTheme="minorHAnsi" w:hAnsiTheme="minorHAnsi" w:cstheme="minorBidi" w:eastAsiaTheme="minorEastAsia"/>
            <w:noProof w:val="1"/>
            <w:sz w:val="22"/>
            <w:kern w:val="2"/>
            <w:lang w:eastAsia="sv-SE"/>
          </w:rPr>
          <w:tab/>
        </w:r>
        <w:r>
          <w:rPr>
            <w:rStyle w:val="C2"/>
            <w:noProof w:val="1"/>
          </w:rPr>
          <w:t>Annat</w:t>
        </w:r>
        <w:r>
          <w:rPr>
            <w:noProof w:val="1"/>
          </w:rPr>
          <w:tab/>
        </w:r>
        <w:r>
          <w:rPr>
            <w:noProof w:val="1"/>
          </w:rPr>
          <w:fldChar w:fldCharType="begin"/>
        </w:r>
        <w:r>
          <w:rPr>
            <w:noProof w:val="1"/>
          </w:rPr>
          <w:instrText xml:space="preserve"> PAGEREF _Toc143176893 \h </w:instrText>
        </w:r>
        <w:r>
          <w:rPr>
            <w:noProof w:val="1"/>
          </w:rPr>
          <w:fldChar w:fldCharType="separate"/>
        </w:r>
        <w:r>
          <w:rPr>
            <w:noProof w:val="1"/>
          </w:rPr>
          <w:t>15</w:t>
        </w:r>
        <w:r>
          <w:rPr>
            <w:noProof w:val="1"/>
          </w:rPr>
          <w:fldChar w:fldCharType="end"/>
        </w:r>
      </w:hyperlink>
    </w:p>
    <w:p>
      <w:pPr>
        <w:pStyle w:val="P19"/>
        <w:rPr>
          <w:rFonts w:asciiTheme="minorHAnsi" w:hAnsiTheme="minorHAnsi" w:cstheme="minorBidi" w:eastAsiaTheme="minorEastAsia"/>
          <w:b w:val="0"/>
          <w:noProof w:val="1"/>
          <w:sz w:val="22"/>
          <w:szCs w:val="22"/>
          <w:kern w:val="2"/>
          <w:lang w:eastAsia="sv-SE"/>
        </w:rPr>
      </w:pPr>
      <w:hyperlink w:anchor="_Toc143176894">
        <w:r>
          <w:rPr>
            <w:rStyle w:val="C2"/>
            <w:noProof w:val="1"/>
          </w:rPr>
          <w:t>5 Planeringsunderlag</w:t>
        </w:r>
        <w:r>
          <w:rPr>
            <w:noProof w:val="1"/>
          </w:rPr>
          <w:tab/>
        </w:r>
        <w:r>
          <w:rPr>
            <w:noProof w:val="1"/>
          </w:rPr>
          <w:fldChar w:fldCharType="begin"/>
        </w:r>
        <w:r>
          <w:rPr>
            <w:noProof w:val="1"/>
          </w:rPr>
          <w:instrText xml:space="preserve"> PAGEREF _Toc143176894 \h </w:instrText>
        </w:r>
        <w:r>
          <w:rPr>
            <w:noProof w:val="1"/>
          </w:rPr>
          <w:fldChar w:fldCharType="separate"/>
        </w:r>
        <w:r>
          <w:rPr>
            <w:noProof w:val="1"/>
          </w:rPr>
          <w:t>15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895">
        <w:r>
          <w:rPr>
            <w:rStyle w:val="C2"/>
            <w:noProof w:val="1"/>
          </w:rPr>
          <w:t>5.1</w:t>
        </w:r>
        <w:r>
          <w:rPr>
            <w:rFonts w:asciiTheme="minorHAnsi" w:hAnsiTheme="minorHAnsi" w:cstheme="minorBidi" w:eastAsiaTheme="minorEastAsia"/>
            <w:noProof w:val="1"/>
            <w:sz w:val="22"/>
            <w:kern w:val="2"/>
            <w:lang w:eastAsia="sv-SE"/>
          </w:rPr>
          <w:tab/>
        </w:r>
        <w:r>
          <w:rPr>
            <w:rStyle w:val="C2"/>
            <w:noProof w:val="1"/>
          </w:rPr>
          <w:t>Kommunala</w:t>
        </w:r>
        <w:r>
          <w:rPr>
            <w:noProof w:val="1"/>
          </w:rPr>
          <w:tab/>
        </w:r>
        <w:r>
          <w:rPr>
            <w:noProof w:val="1"/>
          </w:rPr>
          <w:fldChar w:fldCharType="begin"/>
        </w:r>
        <w:r>
          <w:rPr>
            <w:noProof w:val="1"/>
          </w:rPr>
          <w:instrText xml:space="preserve"> PAGEREF _Toc143176895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96">
        <w:r>
          <w:rPr>
            <w:rStyle w:val="C2"/>
            <w:noProof w:val="1"/>
          </w:rPr>
          <w:t>5.1.1</w:t>
        </w:r>
        <w:r>
          <w:rPr>
            <w:rFonts w:asciiTheme="minorHAnsi" w:hAnsiTheme="minorHAnsi" w:cstheme="minorBidi" w:eastAsiaTheme="minorEastAsia"/>
            <w:noProof w:val="1"/>
            <w:sz w:val="22"/>
            <w:kern w:val="2"/>
            <w:lang w:eastAsia="sv-SE"/>
          </w:rPr>
          <w:tab/>
        </w:r>
        <w:r>
          <w:rPr>
            <w:rStyle w:val="C2"/>
            <w:noProof w:val="1"/>
          </w:rPr>
          <w:t>Grundkarta</w:t>
        </w:r>
        <w:r>
          <w:rPr>
            <w:noProof w:val="1"/>
          </w:rPr>
          <w:tab/>
        </w:r>
        <w:r>
          <w:rPr>
            <w:noProof w:val="1"/>
          </w:rPr>
          <w:fldChar w:fldCharType="begin"/>
        </w:r>
        <w:r>
          <w:rPr>
            <w:noProof w:val="1"/>
          </w:rPr>
          <w:instrText xml:space="preserve"> PAGEREF _Toc143176896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97">
        <w:r>
          <w:rPr>
            <w:rStyle w:val="C2"/>
            <w:noProof w:val="1"/>
          </w:rPr>
          <w:t>5.1.2</w:t>
        </w:r>
        <w:r>
          <w:rPr>
            <w:rFonts w:asciiTheme="minorHAnsi" w:hAnsiTheme="minorHAnsi" w:cstheme="minorBidi" w:eastAsiaTheme="minorEastAsia"/>
            <w:noProof w:val="1"/>
            <w:sz w:val="22"/>
            <w:kern w:val="2"/>
            <w:lang w:eastAsia="sv-SE"/>
          </w:rPr>
          <w:tab/>
        </w:r>
        <w:r>
          <w:rPr>
            <w:rStyle w:val="C2"/>
            <w:noProof w:val="1"/>
          </w:rPr>
          <w:t>Översiktsplan</w:t>
        </w:r>
        <w:r>
          <w:rPr>
            <w:noProof w:val="1"/>
          </w:rPr>
          <w:tab/>
        </w:r>
        <w:r>
          <w:rPr>
            <w:noProof w:val="1"/>
          </w:rPr>
          <w:fldChar w:fldCharType="begin"/>
        </w:r>
        <w:r>
          <w:rPr>
            <w:noProof w:val="1"/>
          </w:rPr>
          <w:instrText xml:space="preserve"> PAGEREF _Toc143176897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98">
        <w:r>
          <w:rPr>
            <w:rStyle w:val="C2"/>
            <w:noProof w:val="1"/>
          </w:rPr>
          <w:t>5.1.3</w:t>
        </w:r>
        <w:r>
          <w:rPr>
            <w:rFonts w:asciiTheme="minorHAnsi" w:hAnsiTheme="minorHAnsi" w:cstheme="minorBidi" w:eastAsiaTheme="minorEastAsia"/>
            <w:noProof w:val="1"/>
            <w:sz w:val="22"/>
            <w:kern w:val="2"/>
            <w:lang w:eastAsia="sv-SE"/>
          </w:rPr>
          <w:tab/>
        </w:r>
        <w:r>
          <w:rPr>
            <w:rStyle w:val="C2"/>
            <w:noProof w:val="1"/>
          </w:rPr>
          <w:t>Miljökonsekvensbeskrivning</w:t>
        </w:r>
        <w:r>
          <w:rPr>
            <w:noProof w:val="1"/>
          </w:rPr>
          <w:tab/>
        </w:r>
        <w:r>
          <w:rPr>
            <w:noProof w:val="1"/>
          </w:rPr>
          <w:fldChar w:fldCharType="begin"/>
        </w:r>
        <w:r>
          <w:rPr>
            <w:noProof w:val="1"/>
          </w:rPr>
          <w:instrText xml:space="preserve"> PAGEREF _Toc143176898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899">
        <w:r>
          <w:rPr>
            <w:rStyle w:val="C2"/>
            <w:noProof w:val="1"/>
          </w:rPr>
          <w:t>5.1.4</w:t>
        </w:r>
        <w:r>
          <w:rPr>
            <w:rFonts w:asciiTheme="minorHAnsi" w:hAnsiTheme="minorHAnsi" w:cstheme="minorBidi" w:eastAsiaTheme="minorEastAsia"/>
            <w:noProof w:val="1"/>
            <w:sz w:val="22"/>
            <w:kern w:val="2"/>
            <w:lang w:eastAsia="sv-SE"/>
          </w:rPr>
          <w:tab/>
        </w:r>
        <w:r>
          <w:rPr>
            <w:rStyle w:val="C2"/>
            <w:noProof w:val="1"/>
          </w:rPr>
          <w:t>Särskilt beslut om betydande miljöpåverkan</w:t>
        </w:r>
        <w:r>
          <w:rPr>
            <w:noProof w:val="1"/>
          </w:rPr>
          <w:tab/>
        </w:r>
        <w:r>
          <w:rPr>
            <w:noProof w:val="1"/>
          </w:rPr>
          <w:fldChar w:fldCharType="begin"/>
        </w:r>
        <w:r>
          <w:rPr>
            <w:noProof w:val="1"/>
          </w:rPr>
          <w:instrText xml:space="preserve"> PAGEREF _Toc143176899 \h </w:instrText>
        </w:r>
        <w:r>
          <w:rPr>
            <w:noProof w:val="1"/>
          </w:rPr>
          <w:fldChar w:fldCharType="separate"/>
        </w:r>
        <w:r>
          <w:rPr>
            <w:noProof w:val="1"/>
          </w:rPr>
          <w:t>16</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00">
        <w:r>
          <w:rPr>
            <w:rStyle w:val="C2"/>
            <w:noProof w:val="1"/>
          </w:rPr>
          <w:t>5.2</w:t>
        </w:r>
        <w:r>
          <w:rPr>
            <w:rFonts w:asciiTheme="minorHAnsi" w:hAnsiTheme="minorHAnsi" w:cstheme="minorBidi" w:eastAsiaTheme="minorEastAsia"/>
            <w:noProof w:val="1"/>
            <w:sz w:val="22"/>
            <w:kern w:val="2"/>
            <w:lang w:eastAsia="sv-SE"/>
          </w:rPr>
          <w:tab/>
        </w:r>
        <w:r>
          <w:rPr>
            <w:rStyle w:val="C2"/>
            <w:noProof w:val="1"/>
          </w:rPr>
          <w:t>Utredningar</w:t>
        </w:r>
        <w:r>
          <w:rPr>
            <w:noProof w:val="1"/>
          </w:rPr>
          <w:tab/>
        </w:r>
        <w:r>
          <w:rPr>
            <w:noProof w:val="1"/>
          </w:rPr>
          <w:fldChar w:fldCharType="begin"/>
        </w:r>
        <w:r>
          <w:rPr>
            <w:noProof w:val="1"/>
          </w:rPr>
          <w:instrText xml:space="preserve"> PAGEREF _Toc143176900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01">
        <w:r>
          <w:rPr>
            <w:rStyle w:val="C2"/>
            <w:noProof w:val="1"/>
          </w:rPr>
          <w:t>5.2.1</w:t>
        </w:r>
        <w:r>
          <w:rPr>
            <w:rFonts w:asciiTheme="minorHAnsi" w:hAnsiTheme="minorHAnsi" w:cstheme="minorBidi" w:eastAsiaTheme="minorEastAsia"/>
            <w:noProof w:val="1"/>
            <w:sz w:val="22"/>
            <w:kern w:val="2"/>
            <w:lang w:eastAsia="sv-SE"/>
          </w:rPr>
          <w:tab/>
        </w:r>
        <w:r>
          <w:rPr>
            <w:rStyle w:val="C2"/>
            <w:noProof w:val="1"/>
          </w:rPr>
          <w:t>Dagvattenutredning, hydrologisk utredning</w:t>
        </w:r>
        <w:r>
          <w:rPr>
            <w:noProof w:val="1"/>
          </w:rPr>
          <w:tab/>
        </w:r>
        <w:r>
          <w:rPr>
            <w:noProof w:val="1"/>
          </w:rPr>
          <w:fldChar w:fldCharType="begin"/>
        </w:r>
        <w:r>
          <w:rPr>
            <w:noProof w:val="1"/>
          </w:rPr>
          <w:instrText xml:space="preserve"> PAGEREF _Toc143176901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02">
        <w:r>
          <w:rPr>
            <w:rStyle w:val="C2"/>
            <w:noProof w:val="1"/>
          </w:rPr>
          <w:t>5.2.2</w:t>
        </w:r>
        <w:r>
          <w:rPr>
            <w:rFonts w:asciiTheme="minorHAnsi" w:hAnsiTheme="minorHAnsi" w:cstheme="minorBidi" w:eastAsiaTheme="minorEastAsia"/>
            <w:noProof w:val="1"/>
            <w:sz w:val="22"/>
            <w:kern w:val="2"/>
            <w:lang w:eastAsia="sv-SE"/>
          </w:rPr>
          <w:tab/>
        </w:r>
        <w:r>
          <w:rPr>
            <w:rStyle w:val="C2"/>
            <w:noProof w:val="1"/>
          </w:rPr>
          <w:t>Naturinventering</w:t>
        </w:r>
        <w:r>
          <w:rPr>
            <w:noProof w:val="1"/>
          </w:rPr>
          <w:tab/>
        </w:r>
        <w:r>
          <w:rPr>
            <w:noProof w:val="1"/>
          </w:rPr>
          <w:fldChar w:fldCharType="begin"/>
        </w:r>
        <w:r>
          <w:rPr>
            <w:noProof w:val="1"/>
          </w:rPr>
          <w:instrText xml:space="preserve"> PAGEREF _Toc143176902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03">
        <w:r>
          <w:rPr>
            <w:rStyle w:val="C2"/>
            <w:noProof w:val="1"/>
          </w:rPr>
          <w:t>5.2.3</w:t>
        </w:r>
        <w:r>
          <w:rPr>
            <w:rFonts w:asciiTheme="minorHAnsi" w:hAnsiTheme="minorHAnsi" w:cstheme="minorBidi" w:eastAsiaTheme="minorEastAsia"/>
            <w:noProof w:val="1"/>
            <w:sz w:val="22"/>
            <w:kern w:val="2"/>
            <w:lang w:eastAsia="sv-SE"/>
          </w:rPr>
          <w:tab/>
        </w:r>
        <w:r>
          <w:rPr>
            <w:rStyle w:val="C2"/>
            <w:noProof w:val="1"/>
          </w:rPr>
          <w:t>Geoteknisk och markteknisk utredning</w:t>
        </w:r>
        <w:r>
          <w:rPr>
            <w:noProof w:val="1"/>
          </w:rPr>
          <w:tab/>
        </w:r>
        <w:r>
          <w:rPr>
            <w:noProof w:val="1"/>
          </w:rPr>
          <w:fldChar w:fldCharType="begin"/>
        </w:r>
        <w:r>
          <w:rPr>
            <w:noProof w:val="1"/>
          </w:rPr>
          <w:instrText xml:space="preserve"> PAGEREF _Toc143176903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04">
        <w:r>
          <w:rPr>
            <w:rStyle w:val="C2"/>
            <w:noProof w:val="1"/>
          </w:rPr>
          <w:t>5.2.4</w:t>
        </w:r>
        <w:r>
          <w:rPr>
            <w:rFonts w:asciiTheme="minorHAnsi" w:hAnsiTheme="minorHAnsi" w:cstheme="minorBidi" w:eastAsiaTheme="minorEastAsia"/>
            <w:noProof w:val="1"/>
            <w:sz w:val="22"/>
            <w:kern w:val="2"/>
            <w:lang w:eastAsia="sv-SE"/>
          </w:rPr>
          <w:tab/>
        </w:r>
        <w:r>
          <w:rPr>
            <w:rStyle w:val="C2"/>
            <w:noProof w:val="1"/>
          </w:rPr>
          <w:t>Bullerutredning</w:t>
        </w:r>
        <w:r>
          <w:rPr>
            <w:noProof w:val="1"/>
          </w:rPr>
          <w:tab/>
        </w:r>
        <w:r>
          <w:rPr>
            <w:noProof w:val="1"/>
          </w:rPr>
          <w:fldChar w:fldCharType="begin"/>
        </w:r>
        <w:r>
          <w:rPr>
            <w:noProof w:val="1"/>
          </w:rPr>
          <w:instrText xml:space="preserve"> PAGEREF _Toc143176904 \h </w:instrText>
        </w:r>
        <w:r>
          <w:rPr>
            <w:noProof w:val="1"/>
          </w:rPr>
          <w:fldChar w:fldCharType="separate"/>
        </w:r>
        <w:r>
          <w:rPr>
            <w:noProof w:val="1"/>
          </w:rPr>
          <w:t>16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05">
        <w:r>
          <w:rPr>
            <w:rStyle w:val="C2"/>
            <w:noProof w:val="1"/>
          </w:rPr>
          <w:t>5.2.5</w:t>
        </w:r>
        <w:r>
          <w:rPr>
            <w:rFonts w:asciiTheme="minorHAnsi" w:hAnsiTheme="minorHAnsi" w:cstheme="minorBidi" w:eastAsiaTheme="minorEastAsia"/>
            <w:noProof w:val="1"/>
            <w:sz w:val="22"/>
            <w:kern w:val="2"/>
            <w:lang w:eastAsia="sv-SE"/>
          </w:rPr>
          <w:tab/>
        </w:r>
        <w:r>
          <w:rPr>
            <w:rStyle w:val="C2"/>
            <w:noProof w:val="1"/>
          </w:rPr>
          <w:t>Barnkonsekvensanalys</w:t>
        </w:r>
        <w:r>
          <w:rPr>
            <w:noProof w:val="1"/>
          </w:rPr>
          <w:tab/>
        </w:r>
        <w:r>
          <w:rPr>
            <w:noProof w:val="1"/>
          </w:rPr>
          <w:fldChar w:fldCharType="begin"/>
        </w:r>
        <w:r>
          <w:rPr>
            <w:noProof w:val="1"/>
          </w:rPr>
          <w:instrText xml:space="preserve"> PAGEREF _Toc143176905 \h </w:instrText>
        </w:r>
        <w:r>
          <w:rPr>
            <w:noProof w:val="1"/>
          </w:rPr>
          <w:fldChar w:fldCharType="separate"/>
        </w:r>
        <w:r>
          <w:rPr>
            <w:noProof w:val="1"/>
          </w:rPr>
          <w:t>17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06">
        <w:r>
          <w:rPr>
            <w:rStyle w:val="C2"/>
            <w:noProof w:val="1"/>
          </w:rPr>
          <w:t>5.2.6</w:t>
        </w:r>
        <w:r>
          <w:rPr>
            <w:rFonts w:asciiTheme="minorHAnsi" w:hAnsiTheme="minorHAnsi" w:cstheme="minorBidi" w:eastAsiaTheme="minorEastAsia"/>
            <w:noProof w:val="1"/>
            <w:sz w:val="22"/>
            <w:kern w:val="2"/>
            <w:lang w:eastAsia="sv-SE"/>
          </w:rPr>
          <w:tab/>
        </w:r>
        <w:r>
          <w:rPr>
            <w:rStyle w:val="C2"/>
            <w:noProof w:val="1"/>
          </w:rPr>
          <w:t>Arkeologisk utredning</w:t>
        </w:r>
        <w:r>
          <w:rPr>
            <w:noProof w:val="1"/>
          </w:rPr>
          <w:tab/>
        </w:r>
        <w:r>
          <w:rPr>
            <w:noProof w:val="1"/>
          </w:rPr>
          <w:fldChar w:fldCharType="begin"/>
        </w:r>
        <w:r>
          <w:rPr>
            <w:noProof w:val="1"/>
          </w:rPr>
          <w:instrText xml:space="preserve"> PAGEREF _Toc143176906 \h </w:instrText>
        </w:r>
        <w:r>
          <w:rPr>
            <w:noProof w:val="1"/>
          </w:rPr>
          <w:fldChar w:fldCharType="separate"/>
        </w:r>
        <w:r>
          <w:rPr>
            <w:noProof w:val="1"/>
          </w:rPr>
          <w:t>17</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07">
        <w:r>
          <w:rPr>
            <w:rStyle w:val="C2"/>
            <w:noProof w:val="1"/>
          </w:rPr>
          <w:t>5.3</w:t>
        </w:r>
        <w:r>
          <w:rPr>
            <w:rFonts w:asciiTheme="minorHAnsi" w:hAnsiTheme="minorHAnsi" w:cstheme="minorBidi" w:eastAsiaTheme="minorEastAsia"/>
            <w:noProof w:val="1"/>
            <w:sz w:val="22"/>
            <w:kern w:val="2"/>
            <w:lang w:eastAsia="sv-SE"/>
          </w:rPr>
          <w:tab/>
        </w:r>
        <w:r>
          <w:rPr>
            <w:rStyle w:val="C2"/>
            <w:noProof w:val="1"/>
          </w:rPr>
          <w:t>Regionala</w:t>
        </w:r>
        <w:r>
          <w:rPr>
            <w:noProof w:val="1"/>
          </w:rPr>
          <w:tab/>
        </w:r>
        <w:r>
          <w:rPr>
            <w:noProof w:val="1"/>
          </w:rPr>
          <w:fldChar w:fldCharType="begin"/>
        </w:r>
        <w:r>
          <w:rPr>
            <w:noProof w:val="1"/>
          </w:rPr>
          <w:instrText xml:space="preserve"> PAGEREF _Toc143176907 \h </w:instrText>
        </w:r>
        <w:r>
          <w:rPr>
            <w:noProof w:val="1"/>
          </w:rPr>
          <w:fldChar w:fldCharType="separate"/>
        </w:r>
        <w:r>
          <w:rPr>
            <w:noProof w:val="1"/>
          </w:rPr>
          <w:t>17</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08">
        <w:r>
          <w:rPr>
            <w:rStyle w:val="C2"/>
            <w:noProof w:val="1"/>
          </w:rPr>
          <w:t>5.4</w:t>
        </w:r>
        <w:r>
          <w:rPr>
            <w:rFonts w:asciiTheme="minorHAnsi" w:hAnsiTheme="minorHAnsi" w:cstheme="minorBidi" w:eastAsiaTheme="minorEastAsia"/>
            <w:noProof w:val="1"/>
            <w:sz w:val="22"/>
            <w:kern w:val="2"/>
            <w:lang w:eastAsia="sv-SE"/>
          </w:rPr>
          <w:tab/>
        </w:r>
        <w:r>
          <w:rPr>
            <w:rStyle w:val="C2"/>
            <w:noProof w:val="1"/>
          </w:rPr>
          <w:t>Annat</w:t>
        </w:r>
        <w:r>
          <w:rPr>
            <w:noProof w:val="1"/>
          </w:rPr>
          <w:tab/>
        </w:r>
        <w:r>
          <w:rPr>
            <w:noProof w:val="1"/>
          </w:rPr>
          <w:fldChar w:fldCharType="begin"/>
        </w:r>
        <w:r>
          <w:rPr>
            <w:noProof w:val="1"/>
          </w:rPr>
          <w:instrText xml:space="preserve"> PAGEREF _Toc143176908 \h </w:instrText>
        </w:r>
        <w:r>
          <w:rPr>
            <w:noProof w:val="1"/>
          </w:rPr>
          <w:fldChar w:fldCharType="separate"/>
        </w:r>
        <w:r>
          <w:rPr>
            <w:noProof w:val="1"/>
          </w:rPr>
          <w:t>17</w:t>
        </w:r>
        <w:r>
          <w:rPr>
            <w:noProof w:val="1"/>
          </w:rPr>
          <w:fldChar w:fldCharType="end"/>
        </w:r>
      </w:hyperlink>
    </w:p>
    <w:p>
      <w:pPr>
        <w:pStyle w:val="P19"/>
        <w:rPr>
          <w:rFonts w:asciiTheme="minorHAnsi" w:hAnsiTheme="minorHAnsi" w:cstheme="minorBidi" w:eastAsiaTheme="minorEastAsia"/>
          <w:b w:val="0"/>
          <w:noProof w:val="1"/>
          <w:sz w:val="22"/>
          <w:szCs w:val="22"/>
          <w:kern w:val="2"/>
          <w:lang w:eastAsia="sv-SE"/>
        </w:rPr>
      </w:pPr>
      <w:hyperlink w:anchor="_Toc143176909">
        <w:r>
          <w:rPr>
            <w:rStyle w:val="C2"/>
            <w:noProof w:val="1"/>
          </w:rPr>
          <w:t>6 Planeringsförutsättningar</w:t>
        </w:r>
        <w:r>
          <w:rPr>
            <w:noProof w:val="1"/>
          </w:rPr>
          <w:tab/>
        </w:r>
        <w:r>
          <w:rPr>
            <w:noProof w:val="1"/>
          </w:rPr>
          <w:fldChar w:fldCharType="begin"/>
        </w:r>
        <w:r>
          <w:rPr>
            <w:noProof w:val="1"/>
          </w:rPr>
          <w:instrText xml:space="preserve"> PAGEREF _Toc143176909 \h </w:instrText>
        </w:r>
        <w:r>
          <w:rPr>
            <w:noProof w:val="1"/>
          </w:rPr>
          <w:fldChar w:fldCharType="separate"/>
        </w:r>
        <w:r>
          <w:rPr>
            <w:noProof w:val="1"/>
          </w:rPr>
          <w:t>17</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10">
        <w:r>
          <w:rPr>
            <w:rStyle w:val="C2"/>
            <w:noProof w:val="1"/>
          </w:rPr>
          <w:t>6.1</w:t>
        </w:r>
        <w:r>
          <w:rPr>
            <w:rFonts w:asciiTheme="minorHAnsi" w:hAnsiTheme="minorHAnsi" w:cstheme="minorBidi" w:eastAsiaTheme="minorEastAsia"/>
            <w:noProof w:val="1"/>
            <w:sz w:val="22"/>
            <w:kern w:val="2"/>
            <w:lang w:eastAsia="sv-SE"/>
          </w:rPr>
          <w:tab/>
        </w:r>
        <w:r>
          <w:rPr>
            <w:rStyle w:val="C2"/>
            <w:noProof w:val="1"/>
          </w:rPr>
          <w:t>Kommunala</w:t>
        </w:r>
        <w:r>
          <w:rPr>
            <w:noProof w:val="1"/>
          </w:rPr>
          <w:tab/>
        </w:r>
        <w:r>
          <w:rPr>
            <w:noProof w:val="1"/>
          </w:rPr>
          <w:fldChar w:fldCharType="begin"/>
        </w:r>
        <w:r>
          <w:rPr>
            <w:noProof w:val="1"/>
          </w:rPr>
          <w:instrText xml:space="preserve"> PAGEREF _Toc143176910 \h </w:instrText>
        </w:r>
        <w:r>
          <w:rPr>
            <w:noProof w:val="1"/>
          </w:rPr>
          <w:fldChar w:fldCharType="separate"/>
        </w:r>
        <w:r>
          <w:rPr>
            <w:noProof w:val="1"/>
          </w:rPr>
          <w:t>17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11">
        <w:r>
          <w:rPr>
            <w:rStyle w:val="C2"/>
            <w:noProof w:val="1"/>
          </w:rPr>
          <w:t>6.1.1</w:t>
        </w:r>
        <w:r>
          <w:rPr>
            <w:rFonts w:asciiTheme="minorHAnsi" w:hAnsiTheme="minorHAnsi" w:cstheme="minorBidi" w:eastAsiaTheme="minorEastAsia"/>
            <w:noProof w:val="1"/>
            <w:sz w:val="22"/>
            <w:kern w:val="2"/>
            <w:lang w:eastAsia="sv-SE"/>
          </w:rPr>
          <w:tab/>
        </w:r>
        <w:r>
          <w:rPr>
            <w:rStyle w:val="C2"/>
            <w:noProof w:val="1"/>
          </w:rPr>
          <w:t>Planbesked</w:t>
        </w:r>
        <w:r>
          <w:rPr>
            <w:noProof w:val="1"/>
          </w:rPr>
          <w:tab/>
        </w:r>
        <w:r>
          <w:rPr>
            <w:noProof w:val="1"/>
          </w:rPr>
          <w:fldChar w:fldCharType="begin"/>
        </w:r>
        <w:r>
          <w:rPr>
            <w:noProof w:val="1"/>
          </w:rPr>
          <w:instrText xml:space="preserve"> PAGEREF _Toc143176911 \h </w:instrText>
        </w:r>
        <w:r>
          <w:rPr>
            <w:noProof w:val="1"/>
          </w:rPr>
          <w:fldChar w:fldCharType="separate"/>
        </w:r>
        <w:r>
          <w:rPr>
            <w:noProof w:val="1"/>
          </w:rPr>
          <w:t>17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12">
        <w:r>
          <w:rPr>
            <w:rStyle w:val="C2"/>
            <w:noProof w:val="1"/>
          </w:rPr>
          <w:t>6.1.2</w:t>
        </w:r>
        <w:r>
          <w:rPr>
            <w:rFonts w:asciiTheme="minorHAnsi" w:hAnsiTheme="minorHAnsi" w:cstheme="minorBidi" w:eastAsiaTheme="minorEastAsia"/>
            <w:noProof w:val="1"/>
            <w:sz w:val="22"/>
            <w:kern w:val="2"/>
            <w:lang w:eastAsia="sv-SE"/>
          </w:rPr>
          <w:tab/>
        </w:r>
        <w:r>
          <w:rPr>
            <w:rStyle w:val="C2"/>
            <w:noProof w:val="1"/>
          </w:rPr>
          <w:t>Översiktsplan</w:t>
        </w:r>
        <w:r>
          <w:rPr>
            <w:noProof w:val="1"/>
          </w:rPr>
          <w:tab/>
        </w:r>
        <w:r>
          <w:rPr>
            <w:noProof w:val="1"/>
          </w:rPr>
          <w:fldChar w:fldCharType="begin"/>
        </w:r>
        <w:r>
          <w:rPr>
            <w:noProof w:val="1"/>
          </w:rPr>
          <w:instrText xml:space="preserve"> PAGEREF _Toc143176912 \h </w:instrText>
        </w:r>
        <w:r>
          <w:rPr>
            <w:noProof w:val="1"/>
          </w:rPr>
          <w:fldChar w:fldCharType="separate"/>
        </w:r>
        <w:r>
          <w:rPr>
            <w:noProof w:val="1"/>
          </w:rPr>
          <w:t>17</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13">
        <w:r>
          <w:rPr>
            <w:rStyle w:val="C2"/>
            <w:noProof w:val="1"/>
          </w:rPr>
          <w:t>6.2</w:t>
        </w:r>
        <w:r>
          <w:rPr>
            <w:rFonts w:asciiTheme="minorHAnsi" w:hAnsiTheme="minorHAnsi" w:cstheme="minorBidi" w:eastAsiaTheme="minorEastAsia"/>
            <w:noProof w:val="1"/>
            <w:sz w:val="22"/>
            <w:kern w:val="2"/>
            <w:lang w:eastAsia="sv-SE"/>
          </w:rPr>
          <w:tab/>
        </w:r>
        <w:r>
          <w:rPr>
            <w:rStyle w:val="C2"/>
            <w:noProof w:val="1"/>
          </w:rPr>
          <w:t>Riksintressen</w:t>
        </w:r>
        <w:r>
          <w:rPr>
            <w:noProof w:val="1"/>
          </w:rPr>
          <w:tab/>
        </w:r>
        <w:r>
          <w:rPr>
            <w:noProof w:val="1"/>
          </w:rPr>
          <w:fldChar w:fldCharType="begin"/>
        </w:r>
        <w:r>
          <w:rPr>
            <w:noProof w:val="1"/>
          </w:rPr>
          <w:instrText xml:space="preserve"> PAGEREF _Toc143176913 \h </w:instrText>
        </w:r>
        <w:r>
          <w:rPr>
            <w:noProof w:val="1"/>
          </w:rPr>
          <w:fldChar w:fldCharType="separate"/>
        </w:r>
        <w:r>
          <w:rPr>
            <w:noProof w:val="1"/>
          </w:rPr>
          <w:t>18</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14">
        <w:r>
          <w:rPr>
            <w:rStyle w:val="C2"/>
            <w:noProof w:val="1"/>
          </w:rPr>
          <w:t>6.2.1</w:t>
        </w:r>
        <w:r>
          <w:rPr>
            <w:rFonts w:asciiTheme="minorHAnsi" w:hAnsiTheme="minorHAnsi" w:cstheme="minorBidi" w:eastAsiaTheme="minorEastAsia"/>
            <w:noProof w:val="1"/>
            <w:sz w:val="22"/>
            <w:kern w:val="2"/>
            <w:lang w:eastAsia="sv-SE"/>
          </w:rPr>
          <w:tab/>
        </w:r>
        <w:r>
          <w:rPr>
            <w:rStyle w:val="C2"/>
            <w:noProof w:val="1"/>
          </w:rPr>
          <w:t>Rennäring</w:t>
        </w:r>
        <w:r>
          <w:rPr>
            <w:noProof w:val="1"/>
          </w:rPr>
          <w:tab/>
        </w:r>
        <w:r>
          <w:rPr>
            <w:noProof w:val="1"/>
          </w:rPr>
          <w:fldChar w:fldCharType="begin"/>
        </w:r>
        <w:r>
          <w:rPr>
            <w:noProof w:val="1"/>
          </w:rPr>
          <w:instrText xml:space="preserve"> PAGEREF _Toc143176914 \h </w:instrText>
        </w:r>
        <w:r>
          <w:rPr>
            <w:noProof w:val="1"/>
          </w:rPr>
          <w:fldChar w:fldCharType="separate"/>
        </w:r>
        <w:r>
          <w:rPr>
            <w:noProof w:val="1"/>
          </w:rPr>
          <w:t>18</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15">
        <w:r>
          <w:rPr>
            <w:rStyle w:val="C2"/>
            <w:noProof w:val="1"/>
          </w:rPr>
          <w:t>6.2.2</w:t>
        </w:r>
        <w:r>
          <w:rPr>
            <w:rFonts w:asciiTheme="minorHAnsi" w:hAnsiTheme="minorHAnsi" w:cstheme="minorBidi" w:eastAsiaTheme="minorEastAsia"/>
            <w:noProof w:val="1"/>
            <w:sz w:val="22"/>
            <w:kern w:val="2"/>
            <w:lang w:eastAsia="sv-SE"/>
          </w:rPr>
          <w:tab/>
        </w:r>
        <w:r>
          <w:rPr>
            <w:rStyle w:val="C2"/>
            <w:noProof w:val="1"/>
          </w:rPr>
          <w:t>Kulturmiljövård</w:t>
        </w:r>
        <w:r>
          <w:rPr>
            <w:noProof w:val="1"/>
          </w:rPr>
          <w:tab/>
        </w:r>
        <w:r>
          <w:rPr>
            <w:noProof w:val="1"/>
          </w:rPr>
          <w:fldChar w:fldCharType="begin"/>
        </w:r>
        <w:r>
          <w:rPr>
            <w:noProof w:val="1"/>
          </w:rPr>
          <w:instrText xml:space="preserve"> PAGEREF _Toc143176915 \h </w:instrText>
        </w:r>
        <w:r>
          <w:rPr>
            <w:noProof w:val="1"/>
          </w:rPr>
          <w:fldChar w:fldCharType="separate"/>
        </w:r>
        <w:r>
          <w:rPr>
            <w:noProof w:val="1"/>
          </w:rPr>
          <w:t>18</w:t>
        </w:r>
        <w:r>
          <w:rPr>
            <w:noProof w:val="1"/>
          </w:rPr>
          <w:fldChar w:fldCharType="end"/>
        </w:r>
      </w:hyperlink>
    </w:p>
    <w:p>
      <w:pPr>
        <w:pStyle w:val="P20"/>
        <w:tabs>
          <w:tab w:val="right" w:pos="9622" w:leader="dot"/>
        </w:tabs>
        <w:rPr>
          <w:rFonts w:asciiTheme="minorHAnsi" w:hAnsiTheme="minorHAnsi" w:cstheme="minorBidi" w:eastAsiaTheme="minorEastAsia"/>
          <w:noProof w:val="1"/>
          <w:sz w:val="22"/>
          <w:kern w:val="2"/>
          <w:lang w:eastAsia="sv-SE"/>
        </w:rPr>
      </w:pPr>
      <w:hyperlink w:anchor="_Toc143176916">
        <w:r>
          <w:rPr>
            <w:noProof w:val="1"/>
          </w:rPr>
          <w:tab/>
        </w:r>
        <w:r>
          <w:rPr>
            <w:noProof w:val="1"/>
          </w:rPr>
          <w:fldChar w:fldCharType="begin"/>
        </w:r>
        <w:r>
          <w:rPr>
            <w:noProof w:val="1"/>
          </w:rPr>
          <w:instrText xml:space="preserve"> PAGEREF _Toc143176916 \h </w:instrText>
        </w:r>
        <w:r>
          <w:rPr>
            <w:noProof w:val="1"/>
          </w:rPr>
          <w:fldChar w:fldCharType="separate"/>
        </w:r>
        <w:r>
          <w:rPr>
            <w:noProof w:val="1"/>
          </w:rPr>
          <w:t>19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17">
        <w:r>
          <w:rPr>
            <w:rStyle w:val="C2"/>
            <w:noProof w:val="1"/>
          </w:rPr>
          <w:t>6.2.3</w:t>
        </w:r>
        <w:r>
          <w:rPr>
            <w:rFonts w:asciiTheme="minorHAnsi" w:hAnsiTheme="minorHAnsi" w:cstheme="minorBidi" w:eastAsiaTheme="minorEastAsia"/>
            <w:noProof w:val="1"/>
            <w:sz w:val="22"/>
            <w:kern w:val="2"/>
            <w:lang w:eastAsia="sv-SE"/>
          </w:rPr>
          <w:tab/>
        </w:r>
        <w:r>
          <w:rPr>
            <w:rStyle w:val="C2"/>
            <w:noProof w:val="1"/>
          </w:rPr>
          <w:t>Fyndigheter av ämnen och material</w:t>
        </w:r>
        <w:r>
          <w:rPr>
            <w:noProof w:val="1"/>
          </w:rPr>
          <w:tab/>
        </w:r>
        <w:r>
          <w:rPr>
            <w:noProof w:val="1"/>
          </w:rPr>
          <w:fldChar w:fldCharType="begin"/>
        </w:r>
        <w:r>
          <w:rPr>
            <w:noProof w:val="1"/>
          </w:rPr>
          <w:instrText xml:space="preserve"> PAGEREF _Toc143176917 \h </w:instrText>
        </w:r>
        <w:r>
          <w:rPr>
            <w:noProof w:val="1"/>
          </w:rPr>
          <w:fldChar w:fldCharType="separate"/>
        </w:r>
        <w:r>
          <w:rPr>
            <w:noProof w:val="1"/>
          </w:rPr>
          <w:t>19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18">
        <w:r>
          <w:rPr>
            <w:rStyle w:val="C2"/>
            <w:noProof w:val="1"/>
          </w:rPr>
          <w:t>6.2.4</w:t>
        </w:r>
        <w:r>
          <w:rPr>
            <w:rFonts w:asciiTheme="minorHAnsi" w:hAnsiTheme="minorHAnsi" w:cstheme="minorBidi" w:eastAsiaTheme="minorEastAsia"/>
            <w:noProof w:val="1"/>
            <w:sz w:val="22"/>
            <w:kern w:val="2"/>
            <w:lang w:eastAsia="sv-SE"/>
          </w:rPr>
          <w:tab/>
        </w:r>
        <w:r>
          <w:rPr>
            <w:rStyle w:val="C2"/>
            <w:noProof w:val="1"/>
          </w:rPr>
          <w:t>Trafikkommunikation</w:t>
        </w:r>
        <w:r>
          <w:rPr>
            <w:noProof w:val="1"/>
          </w:rPr>
          <w:tab/>
        </w:r>
        <w:r>
          <w:rPr>
            <w:noProof w:val="1"/>
          </w:rPr>
          <w:fldChar w:fldCharType="begin"/>
        </w:r>
        <w:r>
          <w:rPr>
            <w:noProof w:val="1"/>
          </w:rPr>
          <w:instrText xml:space="preserve"> PAGEREF _Toc143176918 \h </w:instrText>
        </w:r>
        <w:r>
          <w:rPr>
            <w:noProof w:val="1"/>
          </w:rPr>
          <w:fldChar w:fldCharType="separate"/>
        </w:r>
        <w:r>
          <w:rPr>
            <w:noProof w:val="1"/>
          </w:rPr>
          <w:t>19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19">
        <w:r>
          <w:rPr>
            <w:rStyle w:val="C2"/>
            <w:noProof w:val="1"/>
          </w:rPr>
          <w:t>6.2.5</w:t>
        </w:r>
        <w:r>
          <w:rPr>
            <w:rFonts w:asciiTheme="minorHAnsi" w:hAnsiTheme="minorHAnsi" w:cstheme="minorBidi" w:eastAsiaTheme="minorEastAsia"/>
            <w:noProof w:val="1"/>
            <w:sz w:val="22"/>
            <w:kern w:val="2"/>
            <w:lang w:eastAsia="sv-SE"/>
          </w:rPr>
          <w:tab/>
        </w:r>
        <w:r>
          <w:rPr>
            <w:rStyle w:val="C2"/>
            <w:noProof w:val="1"/>
          </w:rPr>
          <w:t>Totalförsvar</w:t>
        </w:r>
        <w:r>
          <w:rPr>
            <w:noProof w:val="1"/>
          </w:rPr>
          <w:tab/>
        </w:r>
        <w:r>
          <w:rPr>
            <w:noProof w:val="1"/>
          </w:rPr>
          <w:fldChar w:fldCharType="begin"/>
        </w:r>
        <w:r>
          <w:rPr>
            <w:noProof w:val="1"/>
          </w:rPr>
          <w:instrText xml:space="preserve"> PAGEREF _Toc143176919 \h </w:instrText>
        </w:r>
        <w:r>
          <w:rPr>
            <w:noProof w:val="1"/>
          </w:rPr>
          <w:fldChar w:fldCharType="separate"/>
        </w:r>
        <w:r>
          <w:rPr>
            <w:noProof w:val="1"/>
          </w:rPr>
          <w:t>19</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20">
        <w:r>
          <w:rPr>
            <w:rStyle w:val="C2"/>
            <w:noProof w:val="1"/>
          </w:rPr>
          <w:t>6.3</w:t>
        </w:r>
        <w:r>
          <w:rPr>
            <w:rFonts w:asciiTheme="minorHAnsi" w:hAnsiTheme="minorHAnsi" w:cstheme="minorBidi" w:eastAsiaTheme="minorEastAsia"/>
            <w:noProof w:val="1"/>
            <w:sz w:val="22"/>
            <w:kern w:val="2"/>
            <w:lang w:eastAsia="sv-SE"/>
          </w:rPr>
          <w:tab/>
        </w:r>
        <w:r>
          <w:rPr>
            <w:rStyle w:val="C2"/>
            <w:noProof w:val="1"/>
          </w:rPr>
          <w:t>Miljökvalitetsnormer</w:t>
        </w:r>
        <w:r>
          <w:rPr>
            <w:noProof w:val="1"/>
          </w:rPr>
          <w:tab/>
        </w:r>
        <w:r>
          <w:rPr>
            <w:noProof w:val="1"/>
          </w:rPr>
          <w:fldChar w:fldCharType="begin"/>
        </w:r>
        <w:r>
          <w:rPr>
            <w:noProof w:val="1"/>
          </w:rPr>
          <w:instrText xml:space="preserve"> PAGEREF _Toc143176920 \h </w:instrText>
        </w:r>
        <w:r>
          <w:rPr>
            <w:noProof w:val="1"/>
          </w:rPr>
          <w:fldChar w:fldCharType="separate"/>
        </w:r>
        <w:r>
          <w:rPr>
            <w:noProof w:val="1"/>
          </w:rPr>
          <w:t>20</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21">
        <w:r>
          <w:rPr>
            <w:rStyle w:val="C2"/>
            <w:noProof w:val="1"/>
          </w:rPr>
          <w:t>6.3.1</w:t>
        </w:r>
        <w:r>
          <w:rPr>
            <w:rFonts w:asciiTheme="minorHAnsi" w:hAnsiTheme="minorHAnsi" w:cstheme="minorBidi" w:eastAsiaTheme="minorEastAsia"/>
            <w:noProof w:val="1"/>
            <w:sz w:val="22"/>
            <w:kern w:val="2"/>
            <w:lang w:eastAsia="sv-SE"/>
          </w:rPr>
          <w:tab/>
        </w:r>
        <w:r>
          <w:rPr>
            <w:rStyle w:val="C2"/>
            <w:noProof w:val="1"/>
          </w:rPr>
          <w:t>Luft</w:t>
        </w:r>
        <w:r>
          <w:rPr>
            <w:noProof w:val="1"/>
          </w:rPr>
          <w:tab/>
        </w:r>
        <w:r>
          <w:rPr>
            <w:noProof w:val="1"/>
          </w:rPr>
          <w:fldChar w:fldCharType="begin"/>
        </w:r>
        <w:r>
          <w:rPr>
            <w:noProof w:val="1"/>
          </w:rPr>
          <w:instrText xml:space="preserve"> PAGEREF _Toc143176921 \h </w:instrText>
        </w:r>
        <w:r>
          <w:rPr>
            <w:noProof w:val="1"/>
          </w:rPr>
          <w:fldChar w:fldCharType="separate"/>
        </w:r>
        <w:r>
          <w:rPr>
            <w:noProof w:val="1"/>
          </w:rPr>
          <w:t>20</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22">
        <w:r>
          <w:rPr>
            <w:rStyle w:val="C2"/>
            <w:noProof w:val="1"/>
          </w:rPr>
          <w:t>6.3.2</w:t>
        </w:r>
        <w:r>
          <w:rPr>
            <w:rFonts w:asciiTheme="minorHAnsi" w:hAnsiTheme="minorHAnsi" w:cstheme="minorBidi" w:eastAsiaTheme="minorEastAsia"/>
            <w:noProof w:val="1"/>
            <w:sz w:val="22"/>
            <w:kern w:val="2"/>
            <w:lang w:eastAsia="sv-SE"/>
          </w:rPr>
          <w:tab/>
        </w:r>
        <w:r>
          <w:rPr>
            <w:rStyle w:val="C2"/>
            <w:noProof w:val="1"/>
          </w:rPr>
          <w:t>Vatten</w:t>
        </w:r>
        <w:r>
          <w:rPr>
            <w:noProof w:val="1"/>
          </w:rPr>
          <w:tab/>
        </w:r>
        <w:r>
          <w:rPr>
            <w:noProof w:val="1"/>
          </w:rPr>
          <w:fldChar w:fldCharType="begin"/>
        </w:r>
        <w:r>
          <w:rPr>
            <w:noProof w:val="1"/>
          </w:rPr>
          <w:instrText xml:space="preserve"> PAGEREF _Toc143176922 \h </w:instrText>
        </w:r>
        <w:r>
          <w:rPr>
            <w:noProof w:val="1"/>
          </w:rPr>
          <w:fldChar w:fldCharType="separate"/>
        </w:r>
        <w:r>
          <w:rPr>
            <w:noProof w:val="1"/>
          </w:rPr>
          <w:t>22</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23">
        <w:r>
          <w:rPr>
            <w:rStyle w:val="C2"/>
            <w:noProof w:val="1"/>
          </w:rPr>
          <w:t>6.4</w:t>
        </w:r>
        <w:r>
          <w:rPr>
            <w:rFonts w:asciiTheme="minorHAnsi" w:hAnsiTheme="minorHAnsi" w:cstheme="minorBidi" w:eastAsiaTheme="minorEastAsia"/>
            <w:noProof w:val="1"/>
            <w:sz w:val="22"/>
            <w:kern w:val="2"/>
            <w:lang w:eastAsia="sv-SE"/>
          </w:rPr>
          <w:tab/>
        </w:r>
        <w:r>
          <w:rPr>
            <w:rStyle w:val="C2"/>
            <w:noProof w:val="1"/>
          </w:rPr>
          <w:t>Mellankommunala intressen</w:t>
        </w:r>
        <w:r>
          <w:rPr>
            <w:noProof w:val="1"/>
          </w:rPr>
          <w:tab/>
        </w:r>
        <w:r>
          <w:rPr>
            <w:noProof w:val="1"/>
          </w:rPr>
          <w:fldChar w:fldCharType="begin"/>
        </w:r>
        <w:r>
          <w:rPr>
            <w:noProof w:val="1"/>
          </w:rPr>
          <w:instrText xml:space="preserve"> PAGEREF _Toc143176923 \h </w:instrText>
        </w:r>
        <w:r>
          <w:rPr>
            <w:noProof w:val="1"/>
          </w:rPr>
          <w:fldChar w:fldCharType="separate"/>
        </w:r>
        <w:r>
          <w:rPr>
            <w:noProof w:val="1"/>
          </w:rPr>
          <w:t>24</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24">
        <w:r>
          <w:rPr>
            <w:rStyle w:val="C2"/>
            <w:noProof w:val="1"/>
          </w:rPr>
          <w:t>6.5</w:t>
        </w:r>
        <w:r>
          <w:rPr>
            <w:rFonts w:asciiTheme="minorHAnsi" w:hAnsiTheme="minorHAnsi" w:cstheme="minorBidi" w:eastAsiaTheme="minorEastAsia"/>
            <w:noProof w:val="1"/>
            <w:sz w:val="22"/>
            <w:kern w:val="2"/>
            <w:lang w:eastAsia="sv-SE"/>
          </w:rPr>
          <w:tab/>
        </w:r>
        <w:r>
          <w:rPr>
            <w:rStyle w:val="C2"/>
            <w:noProof w:val="1"/>
          </w:rPr>
          <w:t>Miljö</w:t>
        </w:r>
        <w:r>
          <w:rPr>
            <w:noProof w:val="1"/>
          </w:rPr>
          <w:tab/>
        </w:r>
        <w:r>
          <w:rPr>
            <w:noProof w:val="1"/>
          </w:rPr>
          <w:fldChar w:fldCharType="begin"/>
        </w:r>
        <w:r>
          <w:rPr>
            <w:noProof w:val="1"/>
          </w:rPr>
          <w:instrText xml:space="preserve"> PAGEREF _Toc143176924 \h </w:instrText>
        </w:r>
        <w:r>
          <w:rPr>
            <w:noProof w:val="1"/>
          </w:rPr>
          <w:fldChar w:fldCharType="separate"/>
        </w:r>
        <w:r>
          <w:rPr>
            <w:noProof w:val="1"/>
          </w:rPr>
          <w:t>25</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25">
        <w:r>
          <w:rPr>
            <w:rStyle w:val="C2"/>
            <w:noProof w:val="1"/>
          </w:rPr>
          <w:t>6.5.1</w:t>
        </w:r>
        <w:r>
          <w:rPr>
            <w:rFonts w:asciiTheme="minorHAnsi" w:hAnsiTheme="minorHAnsi" w:cstheme="minorBidi" w:eastAsiaTheme="minorEastAsia"/>
            <w:noProof w:val="1"/>
            <w:sz w:val="22"/>
            <w:kern w:val="2"/>
            <w:lang w:eastAsia="sv-SE"/>
          </w:rPr>
          <w:tab/>
        </w:r>
        <w:r>
          <w:rPr>
            <w:rStyle w:val="C2"/>
            <w:noProof w:val="1"/>
          </w:rPr>
          <w:t>Dagvatten och hydrologiska förhållanden</w:t>
        </w:r>
        <w:r>
          <w:rPr>
            <w:noProof w:val="1"/>
          </w:rPr>
          <w:tab/>
        </w:r>
        <w:r>
          <w:rPr>
            <w:noProof w:val="1"/>
          </w:rPr>
          <w:fldChar w:fldCharType="begin"/>
        </w:r>
        <w:r>
          <w:rPr>
            <w:noProof w:val="1"/>
          </w:rPr>
          <w:instrText xml:space="preserve"> PAGEREF _Toc143176925 \h </w:instrText>
        </w:r>
        <w:r>
          <w:rPr>
            <w:noProof w:val="1"/>
          </w:rPr>
          <w:fldChar w:fldCharType="separate"/>
        </w:r>
        <w:r>
          <w:rPr>
            <w:noProof w:val="1"/>
          </w:rPr>
          <w:t>25</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26">
        <w:r>
          <w:rPr>
            <w:rStyle w:val="C2"/>
            <w:noProof w:val="1"/>
          </w:rPr>
          <w:t>6.5.2</w:t>
        </w:r>
        <w:r>
          <w:rPr>
            <w:rFonts w:asciiTheme="minorHAnsi" w:hAnsiTheme="minorHAnsi" w:cstheme="minorBidi" w:eastAsiaTheme="minorEastAsia"/>
            <w:noProof w:val="1"/>
            <w:sz w:val="22"/>
            <w:kern w:val="2"/>
            <w:lang w:eastAsia="sv-SE"/>
          </w:rPr>
          <w:tab/>
        </w:r>
        <w:r>
          <w:rPr>
            <w:rStyle w:val="C2"/>
            <w:noProof w:val="1"/>
          </w:rPr>
          <w:t>Generella riktlinjer för planering av dagvatten</w:t>
        </w:r>
        <w:r>
          <w:rPr>
            <w:noProof w:val="1"/>
          </w:rPr>
          <w:tab/>
        </w:r>
        <w:r>
          <w:rPr>
            <w:noProof w:val="1"/>
          </w:rPr>
          <w:fldChar w:fldCharType="begin"/>
        </w:r>
        <w:r>
          <w:rPr>
            <w:noProof w:val="1"/>
          </w:rPr>
          <w:instrText xml:space="preserve"> PAGEREF _Toc143176926 \h </w:instrText>
        </w:r>
        <w:r>
          <w:rPr>
            <w:noProof w:val="1"/>
          </w:rPr>
          <w:fldChar w:fldCharType="separate"/>
        </w:r>
        <w:r>
          <w:rPr>
            <w:noProof w:val="1"/>
          </w:rPr>
          <w:t>25</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27">
        <w:r>
          <w:rPr>
            <w:rStyle w:val="C2"/>
            <w:noProof w:val="1"/>
          </w:rPr>
          <w:t>6.5.3</w:t>
        </w:r>
        <w:r>
          <w:rPr>
            <w:rFonts w:asciiTheme="minorHAnsi" w:hAnsiTheme="minorHAnsi" w:cstheme="minorBidi" w:eastAsiaTheme="minorEastAsia"/>
            <w:noProof w:val="1"/>
            <w:sz w:val="22"/>
            <w:kern w:val="2"/>
            <w:lang w:eastAsia="sv-SE"/>
          </w:rPr>
          <w:tab/>
        </w:r>
        <w:r>
          <w:rPr>
            <w:rStyle w:val="C2"/>
            <w:noProof w:val="1"/>
          </w:rPr>
          <w:t>Kommunala riktlinjer</w:t>
        </w:r>
        <w:r>
          <w:rPr>
            <w:noProof w:val="1"/>
          </w:rPr>
          <w:tab/>
        </w:r>
        <w:r>
          <w:rPr>
            <w:noProof w:val="1"/>
          </w:rPr>
          <w:fldChar w:fldCharType="begin"/>
        </w:r>
        <w:r>
          <w:rPr>
            <w:noProof w:val="1"/>
          </w:rPr>
          <w:instrText xml:space="preserve"> PAGEREF _Toc143176927 \h </w:instrText>
        </w:r>
        <w:r>
          <w:rPr>
            <w:noProof w:val="1"/>
          </w:rPr>
          <w:fldChar w:fldCharType="separate"/>
        </w:r>
        <w:r>
          <w:rPr>
            <w:noProof w:val="1"/>
          </w:rPr>
          <w:t>25</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28">
        <w:r>
          <w:rPr>
            <w:rStyle w:val="C2"/>
            <w:noProof w:val="1"/>
          </w:rPr>
          <w:t>6.5.4</w:t>
        </w:r>
        <w:r>
          <w:rPr>
            <w:rFonts w:asciiTheme="minorHAnsi" w:hAnsiTheme="minorHAnsi" w:cstheme="minorBidi" w:eastAsiaTheme="minorEastAsia"/>
            <w:noProof w:val="1"/>
            <w:sz w:val="22"/>
            <w:kern w:val="2"/>
            <w:lang w:eastAsia="sv-SE"/>
          </w:rPr>
          <w:tab/>
        </w:r>
        <w:r>
          <w:rPr>
            <w:rStyle w:val="C2"/>
            <w:noProof w:val="1"/>
          </w:rPr>
          <w:t>Hydrologiska förhållanden</w:t>
        </w:r>
        <w:r>
          <w:rPr>
            <w:noProof w:val="1"/>
          </w:rPr>
          <w:tab/>
        </w:r>
        <w:r>
          <w:rPr>
            <w:noProof w:val="1"/>
          </w:rPr>
          <w:fldChar w:fldCharType="begin"/>
        </w:r>
        <w:r>
          <w:rPr>
            <w:noProof w:val="1"/>
          </w:rPr>
          <w:instrText xml:space="preserve"> PAGEREF _Toc143176928 \h </w:instrText>
        </w:r>
        <w:r>
          <w:rPr>
            <w:noProof w:val="1"/>
          </w:rPr>
          <w:fldChar w:fldCharType="separate"/>
        </w:r>
        <w:r>
          <w:rPr>
            <w:noProof w:val="1"/>
          </w:rPr>
          <w:t>26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29">
        <w:r>
          <w:rPr>
            <w:rStyle w:val="C2"/>
            <w:noProof w:val="1"/>
          </w:rPr>
          <w:t>6.5.5</w:t>
        </w:r>
        <w:r>
          <w:rPr>
            <w:rFonts w:asciiTheme="minorHAnsi" w:hAnsiTheme="minorHAnsi" w:cstheme="minorBidi" w:eastAsiaTheme="minorEastAsia"/>
            <w:noProof w:val="1"/>
            <w:sz w:val="22"/>
            <w:kern w:val="2"/>
            <w:lang w:eastAsia="sv-SE"/>
          </w:rPr>
          <w:tab/>
        </w:r>
        <w:r>
          <w:rPr>
            <w:rStyle w:val="C2"/>
            <w:noProof w:val="1"/>
          </w:rPr>
          <w:t>Befintlig avvattning</w:t>
        </w:r>
        <w:r>
          <w:rPr>
            <w:noProof w:val="1"/>
          </w:rPr>
          <w:tab/>
        </w:r>
        <w:r>
          <w:rPr>
            <w:noProof w:val="1"/>
          </w:rPr>
          <w:fldChar w:fldCharType="begin"/>
        </w:r>
        <w:r>
          <w:rPr>
            <w:noProof w:val="1"/>
          </w:rPr>
          <w:instrText xml:space="preserve"> PAGEREF _Toc143176929 \h </w:instrText>
        </w:r>
        <w:r>
          <w:rPr>
            <w:noProof w:val="1"/>
          </w:rPr>
          <w:fldChar w:fldCharType="separate"/>
        </w:r>
        <w:r>
          <w:rPr>
            <w:noProof w:val="1"/>
          </w:rPr>
          <w:t>27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30">
        <w:r>
          <w:rPr>
            <w:rStyle w:val="C2"/>
            <w:noProof w:val="1"/>
          </w:rPr>
          <w:t>6.5.6</w:t>
        </w:r>
        <w:r>
          <w:rPr>
            <w:rFonts w:asciiTheme="minorHAnsi" w:hAnsiTheme="minorHAnsi" w:cstheme="minorBidi" w:eastAsiaTheme="minorEastAsia"/>
            <w:noProof w:val="1"/>
            <w:sz w:val="22"/>
            <w:kern w:val="2"/>
            <w:lang w:eastAsia="sv-SE"/>
          </w:rPr>
          <w:tab/>
        </w:r>
        <w:r>
          <w:rPr>
            <w:rStyle w:val="C2"/>
            <w:noProof w:val="1"/>
          </w:rPr>
          <w:t>Förslag till dagvattenhantering</w:t>
        </w:r>
        <w:r>
          <w:rPr>
            <w:noProof w:val="1"/>
          </w:rPr>
          <w:tab/>
        </w:r>
        <w:r>
          <w:rPr>
            <w:noProof w:val="1"/>
          </w:rPr>
          <w:fldChar w:fldCharType="begin"/>
        </w:r>
        <w:r>
          <w:rPr>
            <w:noProof w:val="1"/>
          </w:rPr>
          <w:instrText xml:space="preserve"> PAGEREF _Toc143176930 \h </w:instrText>
        </w:r>
        <w:r>
          <w:rPr>
            <w:noProof w:val="1"/>
          </w:rPr>
          <w:fldChar w:fldCharType="separate"/>
        </w:r>
        <w:r>
          <w:rPr>
            <w:noProof w:val="1"/>
          </w:rPr>
          <w:t>28</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31">
        <w:r>
          <w:rPr>
            <w:rStyle w:val="C2"/>
            <w:noProof w:val="1"/>
          </w:rPr>
          <w:t>6.5.7</w:t>
        </w:r>
        <w:r>
          <w:rPr>
            <w:rFonts w:asciiTheme="minorHAnsi" w:hAnsiTheme="minorHAnsi" w:cstheme="minorBidi" w:eastAsiaTheme="minorEastAsia"/>
            <w:noProof w:val="1"/>
            <w:sz w:val="22"/>
            <w:kern w:val="2"/>
            <w:lang w:eastAsia="sv-SE"/>
          </w:rPr>
          <w:tab/>
        </w:r>
        <w:r>
          <w:rPr>
            <w:rStyle w:val="C2"/>
            <w:noProof w:val="1"/>
          </w:rPr>
          <w:t>Beskrivning av torr fördröjningsdamm</w:t>
        </w:r>
        <w:r>
          <w:rPr>
            <w:noProof w:val="1"/>
          </w:rPr>
          <w:tab/>
        </w:r>
        <w:r>
          <w:rPr>
            <w:noProof w:val="1"/>
          </w:rPr>
          <w:fldChar w:fldCharType="begin"/>
        </w:r>
        <w:r>
          <w:rPr>
            <w:noProof w:val="1"/>
          </w:rPr>
          <w:instrText xml:space="preserve"> PAGEREF _Toc143176931 \h </w:instrText>
        </w:r>
        <w:r>
          <w:rPr>
            <w:noProof w:val="1"/>
          </w:rPr>
          <w:fldChar w:fldCharType="separate"/>
        </w:r>
        <w:r>
          <w:rPr>
            <w:noProof w:val="1"/>
          </w:rPr>
          <w:t>29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32">
        <w:r>
          <w:rPr>
            <w:rStyle w:val="C2"/>
            <w:noProof w:val="1"/>
          </w:rPr>
          <w:t>6.5.8</w:t>
        </w:r>
        <w:r>
          <w:rPr>
            <w:rFonts w:asciiTheme="minorHAnsi" w:hAnsiTheme="minorHAnsi" w:cstheme="minorBidi" w:eastAsiaTheme="minorEastAsia"/>
            <w:noProof w:val="1"/>
            <w:sz w:val="22"/>
            <w:kern w:val="2"/>
            <w:lang w:eastAsia="sv-SE"/>
          </w:rPr>
          <w:tab/>
        </w:r>
        <w:r>
          <w:rPr>
            <w:rStyle w:val="C2"/>
            <w:noProof w:val="1"/>
          </w:rPr>
          <w:t>Förslag till dränvattenhantering</w:t>
        </w:r>
        <w:r>
          <w:rPr>
            <w:noProof w:val="1"/>
          </w:rPr>
          <w:tab/>
        </w:r>
        <w:r>
          <w:rPr>
            <w:noProof w:val="1"/>
          </w:rPr>
          <w:fldChar w:fldCharType="begin"/>
        </w:r>
        <w:r>
          <w:rPr>
            <w:noProof w:val="1"/>
          </w:rPr>
          <w:instrText xml:space="preserve"> PAGEREF _Toc143176932 \h </w:instrText>
        </w:r>
        <w:r>
          <w:rPr>
            <w:noProof w:val="1"/>
          </w:rPr>
          <w:fldChar w:fldCharType="separate"/>
        </w:r>
        <w:r>
          <w:rPr>
            <w:noProof w:val="1"/>
          </w:rPr>
          <w:t>30</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33">
        <w:r>
          <w:rPr>
            <w:rStyle w:val="C2"/>
            <w:noProof w:val="1"/>
          </w:rPr>
          <w:t>6.6</w:t>
        </w:r>
        <w:r>
          <w:rPr>
            <w:rFonts w:asciiTheme="minorHAnsi" w:hAnsiTheme="minorHAnsi" w:cstheme="minorBidi" w:eastAsiaTheme="minorEastAsia"/>
            <w:noProof w:val="1"/>
            <w:sz w:val="22"/>
            <w:kern w:val="2"/>
            <w:lang w:eastAsia="sv-SE"/>
          </w:rPr>
          <w:tab/>
        </w:r>
        <w:r>
          <w:rPr>
            <w:rStyle w:val="C2"/>
            <w:noProof w:val="1"/>
          </w:rPr>
          <w:t>Hälsa och säkerhet</w:t>
        </w:r>
        <w:r>
          <w:rPr>
            <w:noProof w:val="1"/>
          </w:rPr>
          <w:tab/>
        </w:r>
        <w:r>
          <w:rPr>
            <w:noProof w:val="1"/>
          </w:rPr>
          <w:fldChar w:fldCharType="begin"/>
        </w:r>
        <w:r>
          <w:rPr>
            <w:noProof w:val="1"/>
          </w:rPr>
          <w:instrText xml:space="preserve"> PAGEREF _Toc143176933 \h </w:instrText>
        </w:r>
        <w:r>
          <w:rPr>
            <w:noProof w:val="1"/>
          </w:rPr>
          <w:fldChar w:fldCharType="separate"/>
        </w:r>
        <w:r>
          <w:rPr>
            <w:noProof w:val="1"/>
          </w:rPr>
          <w:t>31</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34">
        <w:r>
          <w:rPr>
            <w:rStyle w:val="C2"/>
            <w:noProof w:val="1"/>
          </w:rPr>
          <w:t>6.6.1</w:t>
        </w:r>
        <w:r>
          <w:rPr>
            <w:rFonts w:asciiTheme="minorHAnsi" w:hAnsiTheme="minorHAnsi" w:cstheme="minorBidi" w:eastAsiaTheme="minorEastAsia"/>
            <w:noProof w:val="1"/>
            <w:sz w:val="22"/>
            <w:kern w:val="2"/>
            <w:lang w:eastAsia="sv-SE"/>
          </w:rPr>
          <w:tab/>
        </w:r>
        <w:r>
          <w:rPr>
            <w:rStyle w:val="C2"/>
            <w:noProof w:val="1"/>
          </w:rPr>
          <w:t>Omgivningsbuller</w:t>
        </w:r>
        <w:r>
          <w:rPr>
            <w:noProof w:val="1"/>
          </w:rPr>
          <w:tab/>
        </w:r>
        <w:r>
          <w:rPr>
            <w:noProof w:val="1"/>
          </w:rPr>
          <w:fldChar w:fldCharType="begin"/>
        </w:r>
        <w:r>
          <w:rPr>
            <w:noProof w:val="1"/>
          </w:rPr>
          <w:instrText xml:space="preserve"> PAGEREF _Toc143176934 \h </w:instrText>
        </w:r>
        <w:r>
          <w:rPr>
            <w:noProof w:val="1"/>
          </w:rPr>
          <w:fldChar w:fldCharType="separate"/>
        </w:r>
        <w:r>
          <w:rPr>
            <w:noProof w:val="1"/>
          </w:rPr>
          <w:t>32</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35">
        <w:r>
          <w:rPr>
            <w:rStyle w:val="C2"/>
            <w:noProof w:val="1"/>
          </w:rPr>
          <w:t>6.6.2</w:t>
        </w:r>
        <w:r>
          <w:rPr>
            <w:rFonts w:asciiTheme="minorHAnsi" w:hAnsiTheme="minorHAnsi" w:cstheme="minorBidi" w:eastAsiaTheme="minorEastAsia"/>
            <w:noProof w:val="1"/>
            <w:sz w:val="22"/>
            <w:kern w:val="2"/>
            <w:lang w:eastAsia="sv-SE"/>
          </w:rPr>
          <w:tab/>
        </w:r>
        <w:r>
          <w:rPr>
            <w:rStyle w:val="C2"/>
            <w:noProof w:val="1"/>
          </w:rPr>
          <w:t>Risk för olyckor</w:t>
        </w:r>
        <w:r>
          <w:rPr>
            <w:noProof w:val="1"/>
          </w:rPr>
          <w:tab/>
        </w:r>
        <w:r>
          <w:rPr>
            <w:noProof w:val="1"/>
          </w:rPr>
          <w:fldChar w:fldCharType="begin"/>
        </w:r>
        <w:r>
          <w:rPr>
            <w:noProof w:val="1"/>
          </w:rPr>
          <w:instrText xml:space="preserve"> PAGEREF _Toc143176935 \h </w:instrText>
        </w:r>
        <w:r>
          <w:rPr>
            <w:noProof w:val="1"/>
          </w:rPr>
          <w:fldChar w:fldCharType="separate"/>
        </w:r>
        <w:r>
          <w:rPr>
            <w:noProof w:val="1"/>
          </w:rPr>
          <w:t>41</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36">
        <w:r>
          <w:rPr>
            <w:rStyle w:val="C2"/>
            <w:noProof w:val="1"/>
          </w:rPr>
          <w:t>6.6.3</w:t>
        </w:r>
        <w:r>
          <w:rPr>
            <w:rFonts w:asciiTheme="minorHAnsi" w:hAnsiTheme="minorHAnsi" w:cstheme="minorBidi" w:eastAsiaTheme="minorEastAsia"/>
            <w:noProof w:val="1"/>
            <w:sz w:val="22"/>
            <w:kern w:val="2"/>
            <w:lang w:eastAsia="sv-SE"/>
          </w:rPr>
          <w:tab/>
        </w:r>
        <w:r>
          <w:rPr>
            <w:rStyle w:val="C2"/>
            <w:noProof w:val="1"/>
          </w:rPr>
          <w:t>Risker vid eventuell brand Kiruna avfallsanläggning</w:t>
        </w:r>
        <w:r>
          <w:rPr>
            <w:noProof w:val="1"/>
          </w:rPr>
          <w:tab/>
        </w:r>
        <w:r>
          <w:rPr>
            <w:noProof w:val="1"/>
          </w:rPr>
          <w:fldChar w:fldCharType="begin"/>
        </w:r>
        <w:r>
          <w:rPr>
            <w:noProof w:val="1"/>
          </w:rPr>
          <w:instrText xml:space="preserve"> PAGEREF _Toc143176936 \h </w:instrText>
        </w:r>
        <w:r>
          <w:rPr>
            <w:noProof w:val="1"/>
          </w:rPr>
          <w:fldChar w:fldCharType="separate"/>
        </w:r>
        <w:r>
          <w:rPr>
            <w:noProof w:val="1"/>
          </w:rPr>
          <w:t>44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37">
        <w:r>
          <w:rPr>
            <w:rStyle w:val="C2"/>
            <w:noProof w:val="1"/>
          </w:rPr>
          <w:t>6.6.4</w:t>
        </w:r>
        <w:r>
          <w:rPr>
            <w:rFonts w:asciiTheme="minorHAnsi" w:hAnsiTheme="minorHAnsi" w:cstheme="minorBidi" w:eastAsiaTheme="minorEastAsia"/>
            <w:noProof w:val="1"/>
            <w:sz w:val="22"/>
            <w:kern w:val="2"/>
            <w:lang w:eastAsia="sv-SE"/>
          </w:rPr>
          <w:tab/>
        </w:r>
        <w:r>
          <w:rPr>
            <w:rStyle w:val="C2"/>
            <w:noProof w:val="1"/>
          </w:rPr>
          <w:t>Risk för översvämning</w:t>
        </w:r>
        <w:r>
          <w:rPr>
            <w:noProof w:val="1"/>
          </w:rPr>
          <w:tab/>
        </w:r>
        <w:r>
          <w:rPr>
            <w:noProof w:val="1"/>
          </w:rPr>
          <w:fldChar w:fldCharType="begin"/>
        </w:r>
        <w:r>
          <w:rPr>
            <w:noProof w:val="1"/>
          </w:rPr>
          <w:instrText xml:space="preserve"> PAGEREF _Toc143176937 \h </w:instrText>
        </w:r>
        <w:r>
          <w:rPr>
            <w:noProof w:val="1"/>
          </w:rPr>
          <w:fldChar w:fldCharType="separate"/>
        </w:r>
        <w:r>
          <w:rPr>
            <w:noProof w:val="1"/>
          </w:rPr>
          <w:t>44</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38">
        <w:r>
          <w:rPr>
            <w:rStyle w:val="C2"/>
            <w:noProof w:val="1"/>
          </w:rPr>
          <w:t>6.7</w:t>
        </w:r>
        <w:r>
          <w:rPr>
            <w:rFonts w:asciiTheme="minorHAnsi" w:hAnsiTheme="minorHAnsi" w:cstheme="minorBidi" w:eastAsiaTheme="minorEastAsia"/>
            <w:noProof w:val="1"/>
            <w:sz w:val="22"/>
            <w:kern w:val="2"/>
            <w:lang w:eastAsia="sv-SE"/>
          </w:rPr>
          <w:tab/>
        </w:r>
        <w:r>
          <w:rPr>
            <w:rStyle w:val="C2"/>
            <w:noProof w:val="1"/>
          </w:rPr>
          <w:t>Geotekniska förhållanden</w:t>
        </w:r>
        <w:r>
          <w:rPr>
            <w:noProof w:val="1"/>
          </w:rPr>
          <w:tab/>
        </w:r>
        <w:r>
          <w:rPr>
            <w:noProof w:val="1"/>
          </w:rPr>
          <w:fldChar w:fldCharType="begin"/>
        </w:r>
        <w:r>
          <w:rPr>
            <w:noProof w:val="1"/>
          </w:rPr>
          <w:instrText xml:space="preserve"> PAGEREF _Toc143176938 \h </w:instrText>
        </w:r>
        <w:r>
          <w:rPr>
            <w:noProof w:val="1"/>
          </w:rPr>
          <w:fldChar w:fldCharType="separate"/>
        </w:r>
        <w:r>
          <w:rPr>
            <w:noProof w:val="1"/>
          </w:rPr>
          <w:t>45</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39">
        <w:r>
          <w:rPr>
            <w:rStyle w:val="C2"/>
            <w:noProof w:val="1"/>
          </w:rPr>
          <w:t>6.7.1</w:t>
        </w:r>
        <w:r>
          <w:rPr>
            <w:rFonts w:asciiTheme="minorHAnsi" w:hAnsiTheme="minorHAnsi" w:cstheme="minorBidi" w:eastAsiaTheme="minorEastAsia"/>
            <w:noProof w:val="1"/>
            <w:sz w:val="22"/>
            <w:kern w:val="2"/>
            <w:lang w:eastAsia="sv-SE"/>
          </w:rPr>
          <w:tab/>
        </w:r>
        <w:r>
          <w:rPr>
            <w:rStyle w:val="C2"/>
            <w:noProof w:val="1"/>
          </w:rPr>
          <w:t>Klimat</w:t>
        </w:r>
        <w:r>
          <w:rPr>
            <w:noProof w:val="1"/>
          </w:rPr>
          <w:tab/>
        </w:r>
        <w:r>
          <w:rPr>
            <w:noProof w:val="1"/>
          </w:rPr>
          <w:fldChar w:fldCharType="begin"/>
        </w:r>
        <w:r>
          <w:rPr>
            <w:noProof w:val="1"/>
          </w:rPr>
          <w:instrText xml:space="preserve"> PAGEREF _Toc143176939 \h </w:instrText>
        </w:r>
        <w:r>
          <w:rPr>
            <w:noProof w:val="1"/>
          </w:rPr>
          <w:fldChar w:fldCharType="separate"/>
        </w:r>
        <w:r>
          <w:rPr>
            <w:noProof w:val="1"/>
          </w:rPr>
          <w:t>45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40">
        <w:r>
          <w:rPr>
            <w:rStyle w:val="C2"/>
            <w:noProof w:val="1"/>
          </w:rPr>
          <w:t>6.8</w:t>
        </w:r>
        <w:r>
          <w:rPr>
            <w:rFonts w:asciiTheme="minorHAnsi" w:hAnsiTheme="minorHAnsi" w:cstheme="minorBidi" w:eastAsiaTheme="minorEastAsia"/>
            <w:noProof w:val="1"/>
            <w:sz w:val="22"/>
            <w:kern w:val="2"/>
            <w:lang w:eastAsia="sv-SE"/>
          </w:rPr>
          <w:tab/>
        </w:r>
        <w:r>
          <w:rPr>
            <w:rStyle w:val="C2"/>
            <w:noProof w:val="1"/>
          </w:rPr>
          <w:t>Kulturmiljö</w:t>
        </w:r>
        <w:r>
          <w:rPr>
            <w:noProof w:val="1"/>
          </w:rPr>
          <w:tab/>
        </w:r>
        <w:r>
          <w:rPr>
            <w:noProof w:val="1"/>
          </w:rPr>
          <w:fldChar w:fldCharType="begin"/>
        </w:r>
        <w:r>
          <w:rPr>
            <w:noProof w:val="1"/>
          </w:rPr>
          <w:instrText xml:space="preserve"> PAGEREF _Toc143176940 \h </w:instrText>
        </w:r>
        <w:r>
          <w:rPr>
            <w:noProof w:val="1"/>
          </w:rPr>
          <w:fldChar w:fldCharType="separate"/>
        </w:r>
        <w:r>
          <w:rPr>
            <w:noProof w:val="1"/>
          </w:rPr>
          <w:t>49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41">
        <w:r>
          <w:rPr>
            <w:rStyle w:val="C2"/>
            <w:noProof w:val="1"/>
          </w:rPr>
          <w:t>6.8.1</w:t>
        </w:r>
        <w:r>
          <w:rPr>
            <w:rFonts w:asciiTheme="minorHAnsi" w:hAnsiTheme="minorHAnsi" w:cstheme="minorBidi" w:eastAsiaTheme="minorEastAsia"/>
            <w:noProof w:val="1"/>
            <w:sz w:val="22"/>
            <w:kern w:val="2"/>
            <w:lang w:eastAsia="sv-SE"/>
          </w:rPr>
          <w:tab/>
        </w:r>
        <w:r>
          <w:rPr>
            <w:rStyle w:val="C2"/>
            <w:noProof w:val="1"/>
          </w:rPr>
          <w:t>Fornlämningar</w:t>
        </w:r>
        <w:r>
          <w:rPr>
            <w:noProof w:val="1"/>
          </w:rPr>
          <w:tab/>
        </w:r>
        <w:r>
          <w:rPr>
            <w:noProof w:val="1"/>
          </w:rPr>
          <w:fldChar w:fldCharType="begin"/>
        </w:r>
        <w:r>
          <w:rPr>
            <w:noProof w:val="1"/>
          </w:rPr>
          <w:instrText xml:space="preserve"> PAGEREF _Toc143176941 \h </w:instrText>
        </w:r>
        <w:r>
          <w:rPr>
            <w:noProof w:val="1"/>
          </w:rPr>
          <w:fldChar w:fldCharType="separate"/>
        </w:r>
        <w:r>
          <w:rPr>
            <w:noProof w:val="1"/>
          </w:rPr>
          <w:t>49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42">
        <w:r>
          <w:rPr>
            <w:rStyle w:val="C2"/>
            <w:noProof w:val="1"/>
          </w:rPr>
          <w:t>6.8.2</w:t>
        </w:r>
        <w:r>
          <w:rPr>
            <w:rFonts w:asciiTheme="minorHAnsi" w:hAnsiTheme="minorHAnsi" w:cstheme="minorBidi" w:eastAsiaTheme="minorEastAsia"/>
            <w:noProof w:val="1"/>
            <w:sz w:val="22"/>
            <w:kern w:val="2"/>
            <w:lang w:eastAsia="sv-SE"/>
          </w:rPr>
          <w:tab/>
        </w:r>
        <w:r>
          <w:rPr>
            <w:rStyle w:val="C2"/>
            <w:noProof w:val="1"/>
          </w:rPr>
          <w:t>Kyrkligt kulturarv</w:t>
        </w:r>
        <w:r>
          <w:rPr>
            <w:noProof w:val="1"/>
          </w:rPr>
          <w:tab/>
        </w:r>
        <w:r>
          <w:rPr>
            <w:noProof w:val="1"/>
          </w:rPr>
          <w:fldChar w:fldCharType="begin"/>
        </w:r>
        <w:r>
          <w:rPr>
            <w:noProof w:val="1"/>
          </w:rPr>
          <w:instrText xml:space="preserve"> PAGEREF _Toc143176942 \h </w:instrText>
        </w:r>
        <w:r>
          <w:rPr>
            <w:noProof w:val="1"/>
          </w:rPr>
          <w:fldChar w:fldCharType="separate"/>
        </w:r>
        <w:r>
          <w:rPr>
            <w:noProof w:val="1"/>
          </w:rPr>
          <w:t>49</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43">
        <w:r>
          <w:rPr>
            <w:rStyle w:val="C2"/>
            <w:noProof w:val="1"/>
          </w:rPr>
          <w:t>6.9</w:t>
        </w:r>
        <w:r>
          <w:rPr>
            <w:rFonts w:asciiTheme="minorHAnsi" w:hAnsiTheme="minorHAnsi" w:cstheme="minorBidi" w:eastAsiaTheme="minorEastAsia"/>
            <w:noProof w:val="1"/>
            <w:sz w:val="22"/>
            <w:kern w:val="2"/>
            <w:lang w:eastAsia="sv-SE"/>
          </w:rPr>
          <w:tab/>
        </w:r>
        <w:r>
          <w:rPr>
            <w:rStyle w:val="C2"/>
            <w:noProof w:val="1"/>
          </w:rPr>
          <w:t>Natur</w:t>
        </w:r>
        <w:r>
          <w:rPr>
            <w:noProof w:val="1"/>
          </w:rPr>
          <w:tab/>
        </w:r>
        <w:r>
          <w:rPr>
            <w:noProof w:val="1"/>
          </w:rPr>
          <w:fldChar w:fldCharType="begin"/>
        </w:r>
        <w:r>
          <w:rPr>
            <w:noProof w:val="1"/>
          </w:rPr>
          <w:instrText xml:space="preserve"> PAGEREF _Toc143176943 \h </w:instrText>
        </w:r>
        <w:r>
          <w:rPr>
            <w:noProof w:val="1"/>
          </w:rPr>
          <w:fldChar w:fldCharType="separate"/>
        </w:r>
        <w:r>
          <w:rPr>
            <w:noProof w:val="1"/>
          </w:rPr>
          <w:t>49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44">
        <w:r>
          <w:rPr>
            <w:rStyle w:val="C2"/>
            <w:noProof w:val="1"/>
          </w:rPr>
          <w:t>6.9.1</w:t>
        </w:r>
        <w:r>
          <w:rPr>
            <w:rFonts w:asciiTheme="minorHAnsi" w:hAnsiTheme="minorHAnsi" w:cstheme="minorBidi" w:eastAsiaTheme="minorEastAsia"/>
            <w:noProof w:val="1"/>
            <w:sz w:val="22"/>
            <w:kern w:val="2"/>
            <w:lang w:eastAsia="sv-SE"/>
          </w:rPr>
          <w:tab/>
        </w:r>
        <w:r>
          <w:rPr>
            <w:rStyle w:val="C2"/>
            <w:noProof w:val="1"/>
          </w:rPr>
          <w:t>Mark, vegetation och djurliv</w:t>
        </w:r>
        <w:r>
          <w:rPr>
            <w:noProof w:val="1"/>
          </w:rPr>
          <w:tab/>
        </w:r>
        <w:r>
          <w:rPr>
            <w:noProof w:val="1"/>
          </w:rPr>
          <w:fldChar w:fldCharType="begin"/>
        </w:r>
        <w:r>
          <w:rPr>
            <w:noProof w:val="1"/>
          </w:rPr>
          <w:instrText xml:space="preserve"> PAGEREF _Toc143176944 \h </w:instrText>
        </w:r>
        <w:r>
          <w:rPr>
            <w:noProof w:val="1"/>
          </w:rPr>
          <w:fldChar w:fldCharType="separate"/>
        </w:r>
        <w:r>
          <w:rPr>
            <w:noProof w:val="1"/>
          </w:rPr>
          <w:t>49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45">
        <w:r>
          <w:rPr>
            <w:rStyle w:val="C2"/>
            <w:noProof w:val="1"/>
          </w:rPr>
          <w:t>6.9.2</w:t>
        </w:r>
        <w:r>
          <w:rPr>
            <w:rFonts w:asciiTheme="minorHAnsi" w:hAnsiTheme="minorHAnsi" w:cstheme="minorBidi" w:eastAsiaTheme="minorEastAsia"/>
            <w:noProof w:val="1"/>
            <w:sz w:val="22"/>
            <w:kern w:val="2"/>
            <w:lang w:eastAsia="sv-SE"/>
          </w:rPr>
          <w:tab/>
        </w:r>
        <w:r>
          <w:rPr>
            <w:rStyle w:val="C2"/>
            <w:noProof w:val="1"/>
          </w:rPr>
          <w:t>Landskap</w:t>
        </w:r>
        <w:r>
          <w:rPr>
            <w:noProof w:val="1"/>
          </w:rPr>
          <w:tab/>
        </w:r>
        <w:r>
          <w:rPr>
            <w:noProof w:val="1"/>
          </w:rPr>
          <w:fldChar w:fldCharType="begin"/>
        </w:r>
        <w:r>
          <w:rPr>
            <w:noProof w:val="1"/>
          </w:rPr>
          <w:instrText xml:space="preserve"> PAGEREF _Toc143176945 \h </w:instrText>
        </w:r>
        <w:r>
          <w:rPr>
            <w:noProof w:val="1"/>
          </w:rPr>
          <w:fldChar w:fldCharType="separate"/>
        </w:r>
        <w:r>
          <w:rPr>
            <w:noProof w:val="1"/>
          </w:rPr>
          <w:t>53</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46">
        <w:r>
          <w:rPr>
            <w:rStyle w:val="C2"/>
            <w:noProof w:val="1"/>
          </w:rPr>
          <w:t>6.10</w:t>
        </w:r>
        <w:r>
          <w:rPr>
            <w:rFonts w:asciiTheme="minorHAnsi" w:hAnsiTheme="minorHAnsi" w:cstheme="minorBidi" w:eastAsiaTheme="minorEastAsia"/>
            <w:noProof w:val="1"/>
            <w:sz w:val="22"/>
            <w:kern w:val="2"/>
            <w:lang w:eastAsia="sv-SE"/>
          </w:rPr>
          <w:tab/>
        </w:r>
        <w:r>
          <w:rPr>
            <w:rStyle w:val="C2"/>
            <w:noProof w:val="1"/>
          </w:rPr>
          <w:t>Fysisk miljö</w:t>
        </w:r>
        <w:r>
          <w:rPr>
            <w:noProof w:val="1"/>
          </w:rPr>
          <w:tab/>
        </w:r>
        <w:r>
          <w:rPr>
            <w:noProof w:val="1"/>
          </w:rPr>
          <w:fldChar w:fldCharType="begin"/>
        </w:r>
        <w:r>
          <w:rPr>
            <w:noProof w:val="1"/>
          </w:rPr>
          <w:instrText xml:space="preserve"> PAGEREF _Toc143176946 \h </w:instrText>
        </w:r>
        <w:r>
          <w:rPr>
            <w:noProof w:val="1"/>
          </w:rPr>
          <w:fldChar w:fldCharType="separate"/>
        </w:r>
        <w:r>
          <w:rPr>
            <w:noProof w:val="1"/>
          </w:rPr>
          <w:t>53</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47">
        <w:r>
          <w:rPr>
            <w:rStyle w:val="C2"/>
            <w:noProof w:val="1"/>
          </w:rPr>
          <w:t>6.11</w:t>
        </w:r>
        <w:r>
          <w:rPr>
            <w:rFonts w:asciiTheme="minorHAnsi" w:hAnsiTheme="minorHAnsi" w:cstheme="minorBidi" w:eastAsiaTheme="minorEastAsia"/>
            <w:noProof w:val="1"/>
            <w:sz w:val="22"/>
            <w:kern w:val="2"/>
            <w:lang w:eastAsia="sv-SE"/>
          </w:rPr>
          <w:tab/>
        </w:r>
        <w:r>
          <w:rPr>
            <w:rStyle w:val="C2"/>
            <w:noProof w:val="1"/>
          </w:rPr>
          <w:t>Sociala</w:t>
        </w:r>
        <w:r>
          <w:rPr>
            <w:noProof w:val="1"/>
          </w:rPr>
          <w:tab/>
        </w:r>
        <w:r>
          <w:rPr>
            <w:noProof w:val="1"/>
          </w:rPr>
          <w:fldChar w:fldCharType="begin"/>
        </w:r>
        <w:r>
          <w:rPr>
            <w:noProof w:val="1"/>
          </w:rPr>
          <w:instrText xml:space="preserve"> PAGEREF _Toc143176947 \h </w:instrText>
        </w:r>
        <w:r>
          <w:rPr>
            <w:noProof w:val="1"/>
          </w:rPr>
          <w:fldChar w:fldCharType="separate"/>
        </w:r>
        <w:r>
          <w:rPr>
            <w:noProof w:val="1"/>
          </w:rPr>
          <w:t>53</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48">
        <w:r>
          <w:rPr>
            <w:rStyle w:val="C2"/>
            <w:noProof w:val="1"/>
          </w:rPr>
          <w:t>6.11.1</w:t>
        </w:r>
        <w:r>
          <w:rPr>
            <w:rFonts w:asciiTheme="minorHAnsi" w:hAnsiTheme="minorHAnsi" w:cstheme="minorBidi" w:eastAsiaTheme="minorEastAsia"/>
            <w:noProof w:val="1"/>
            <w:sz w:val="22"/>
            <w:kern w:val="2"/>
            <w:lang w:eastAsia="sv-SE"/>
          </w:rPr>
          <w:tab/>
        </w:r>
        <w:r>
          <w:rPr>
            <w:rStyle w:val="C2"/>
            <w:noProof w:val="1"/>
          </w:rPr>
          <w:t>Tillgänglighet</w:t>
        </w:r>
        <w:r>
          <w:rPr>
            <w:noProof w:val="1"/>
          </w:rPr>
          <w:tab/>
        </w:r>
        <w:r>
          <w:rPr>
            <w:noProof w:val="1"/>
          </w:rPr>
          <w:fldChar w:fldCharType="begin"/>
        </w:r>
        <w:r>
          <w:rPr>
            <w:noProof w:val="1"/>
          </w:rPr>
          <w:instrText xml:space="preserve"> PAGEREF _Toc143176948 \h </w:instrText>
        </w:r>
        <w:r>
          <w:rPr>
            <w:noProof w:val="1"/>
          </w:rPr>
          <w:fldChar w:fldCharType="separate"/>
        </w:r>
        <w:r>
          <w:rPr>
            <w:noProof w:val="1"/>
          </w:rPr>
          <w:t>53</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49">
        <w:r>
          <w:rPr>
            <w:rStyle w:val="C2"/>
            <w:noProof w:val="1"/>
          </w:rPr>
          <w:t>6.11.2</w:t>
        </w:r>
        <w:r>
          <w:rPr>
            <w:rFonts w:asciiTheme="minorHAnsi" w:hAnsiTheme="minorHAnsi" w:cstheme="minorBidi" w:eastAsiaTheme="minorEastAsia"/>
            <w:noProof w:val="1"/>
            <w:sz w:val="22"/>
            <w:kern w:val="2"/>
            <w:lang w:eastAsia="sv-SE"/>
          </w:rPr>
          <w:tab/>
        </w:r>
        <w:r>
          <w:rPr>
            <w:rStyle w:val="C2"/>
            <w:noProof w:val="1"/>
          </w:rPr>
          <w:t>Barnperspektivet</w:t>
        </w:r>
        <w:r>
          <w:rPr>
            <w:noProof w:val="1"/>
          </w:rPr>
          <w:tab/>
        </w:r>
        <w:r>
          <w:rPr>
            <w:noProof w:val="1"/>
          </w:rPr>
          <w:fldChar w:fldCharType="begin"/>
        </w:r>
        <w:r>
          <w:rPr>
            <w:noProof w:val="1"/>
          </w:rPr>
          <w:instrText xml:space="preserve"> PAGEREF _Toc143176949 \h </w:instrText>
        </w:r>
        <w:r>
          <w:rPr>
            <w:noProof w:val="1"/>
          </w:rPr>
          <w:fldChar w:fldCharType="separate"/>
        </w:r>
        <w:r>
          <w:rPr>
            <w:noProof w:val="1"/>
          </w:rPr>
          <w:t>53</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0">
        <w:r>
          <w:rPr>
            <w:rStyle w:val="C2"/>
            <w:noProof w:val="1"/>
          </w:rPr>
          <w:t>6.11.3</w:t>
        </w:r>
        <w:r>
          <w:rPr>
            <w:rFonts w:asciiTheme="minorHAnsi" w:hAnsiTheme="minorHAnsi" w:cstheme="minorBidi" w:eastAsiaTheme="minorEastAsia"/>
            <w:noProof w:val="1"/>
            <w:sz w:val="22"/>
            <w:kern w:val="2"/>
            <w:lang w:eastAsia="sv-SE"/>
          </w:rPr>
          <w:tab/>
        </w:r>
        <w:r>
          <w:rPr>
            <w:rStyle w:val="C2"/>
            <w:noProof w:val="1"/>
          </w:rPr>
          <w:t>Trygghet och brottsförebyggande åtgärder</w:t>
        </w:r>
        <w:r>
          <w:rPr>
            <w:noProof w:val="1"/>
          </w:rPr>
          <w:tab/>
        </w:r>
        <w:r>
          <w:rPr>
            <w:noProof w:val="1"/>
          </w:rPr>
          <w:fldChar w:fldCharType="begin"/>
        </w:r>
        <w:r>
          <w:rPr>
            <w:noProof w:val="1"/>
          </w:rPr>
          <w:instrText xml:space="preserve"> PAGEREF _Toc143176950 \h </w:instrText>
        </w:r>
        <w:r>
          <w:rPr>
            <w:noProof w:val="1"/>
          </w:rPr>
          <w:fldChar w:fldCharType="separate"/>
        </w:r>
        <w:r>
          <w:rPr>
            <w:noProof w:val="1"/>
          </w:rPr>
          <w:t>54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1">
        <w:r>
          <w:rPr>
            <w:rStyle w:val="C2"/>
            <w:noProof w:val="1"/>
          </w:rPr>
          <w:t>6.11.4</w:t>
        </w:r>
        <w:r>
          <w:rPr>
            <w:rFonts w:asciiTheme="minorHAnsi" w:hAnsiTheme="minorHAnsi" w:cstheme="minorBidi" w:eastAsiaTheme="minorEastAsia"/>
            <w:noProof w:val="1"/>
            <w:sz w:val="22"/>
            <w:kern w:val="2"/>
            <w:lang w:eastAsia="sv-SE"/>
          </w:rPr>
          <w:tab/>
        </w:r>
        <w:r>
          <w:rPr>
            <w:rStyle w:val="C2"/>
            <w:noProof w:val="1"/>
          </w:rPr>
          <w:t>Suicidprevention</w:t>
        </w:r>
        <w:r>
          <w:rPr>
            <w:noProof w:val="1"/>
          </w:rPr>
          <w:tab/>
        </w:r>
        <w:r>
          <w:rPr>
            <w:noProof w:val="1"/>
          </w:rPr>
          <w:fldChar w:fldCharType="begin"/>
        </w:r>
        <w:r>
          <w:rPr>
            <w:noProof w:val="1"/>
          </w:rPr>
          <w:instrText xml:space="preserve"> PAGEREF _Toc143176951 \h </w:instrText>
        </w:r>
        <w:r>
          <w:rPr>
            <w:noProof w:val="1"/>
          </w:rPr>
          <w:fldChar w:fldCharType="separate"/>
        </w:r>
        <w:r>
          <w:rPr>
            <w:noProof w:val="1"/>
          </w:rPr>
          <w:t>54</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2">
        <w:r>
          <w:rPr>
            <w:rStyle w:val="C2"/>
            <w:noProof w:val="1"/>
          </w:rPr>
          <w:t>6.11.5</w:t>
        </w:r>
        <w:r>
          <w:rPr>
            <w:rFonts w:asciiTheme="minorHAnsi" w:hAnsiTheme="minorHAnsi" w:cstheme="minorBidi" w:eastAsiaTheme="minorEastAsia"/>
            <w:noProof w:val="1"/>
            <w:sz w:val="22"/>
            <w:kern w:val="2"/>
            <w:lang w:eastAsia="sv-SE"/>
          </w:rPr>
          <w:tab/>
        </w:r>
        <w:r>
          <w:rPr>
            <w:rStyle w:val="C2"/>
            <w:noProof w:val="1"/>
          </w:rPr>
          <w:t>Jämställdhet</w:t>
        </w:r>
        <w:r>
          <w:rPr>
            <w:noProof w:val="1"/>
          </w:rPr>
          <w:tab/>
        </w:r>
        <w:r>
          <w:rPr>
            <w:noProof w:val="1"/>
          </w:rPr>
          <w:fldChar w:fldCharType="begin"/>
        </w:r>
        <w:r>
          <w:rPr>
            <w:noProof w:val="1"/>
          </w:rPr>
          <w:instrText xml:space="preserve"> PAGEREF _Toc143176952 \h </w:instrText>
        </w:r>
        <w:r>
          <w:rPr>
            <w:noProof w:val="1"/>
          </w:rPr>
          <w:fldChar w:fldCharType="separate"/>
        </w:r>
        <w:r>
          <w:rPr>
            <w:noProof w:val="1"/>
          </w:rPr>
          <w:t>54</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53">
        <w:r>
          <w:rPr>
            <w:rStyle w:val="C2"/>
            <w:noProof w:val="1"/>
          </w:rPr>
          <w:t>6.12</w:t>
        </w:r>
        <w:r>
          <w:rPr>
            <w:rFonts w:asciiTheme="minorHAnsi" w:hAnsiTheme="minorHAnsi" w:cstheme="minorBidi" w:eastAsiaTheme="minorEastAsia"/>
            <w:noProof w:val="1"/>
            <w:sz w:val="22"/>
            <w:kern w:val="2"/>
            <w:lang w:eastAsia="sv-SE"/>
          </w:rPr>
          <w:tab/>
        </w:r>
        <w:r>
          <w:rPr>
            <w:rStyle w:val="C2"/>
            <w:noProof w:val="1"/>
          </w:rPr>
          <w:t>Teknik</w:t>
        </w:r>
        <w:r>
          <w:rPr>
            <w:noProof w:val="1"/>
          </w:rPr>
          <w:tab/>
        </w:r>
        <w:r>
          <w:rPr>
            <w:noProof w:val="1"/>
          </w:rPr>
          <w:fldChar w:fldCharType="begin"/>
        </w:r>
        <w:r>
          <w:rPr>
            <w:noProof w:val="1"/>
          </w:rPr>
          <w:instrText xml:space="preserve"> PAGEREF _Toc143176953 \h </w:instrText>
        </w:r>
        <w:r>
          <w:rPr>
            <w:noProof w:val="1"/>
          </w:rPr>
          <w:fldChar w:fldCharType="separate"/>
        </w:r>
        <w:r>
          <w:rPr>
            <w:noProof w:val="1"/>
          </w:rPr>
          <w:t>56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4">
        <w:r>
          <w:rPr>
            <w:rStyle w:val="C2"/>
            <w:noProof w:val="1"/>
          </w:rPr>
          <w:t>6.12.1</w:t>
        </w:r>
        <w:r>
          <w:rPr>
            <w:rFonts w:asciiTheme="minorHAnsi" w:hAnsiTheme="minorHAnsi" w:cstheme="minorBidi" w:eastAsiaTheme="minorEastAsia"/>
            <w:noProof w:val="1"/>
            <w:sz w:val="22"/>
            <w:kern w:val="2"/>
            <w:lang w:eastAsia="sv-SE"/>
          </w:rPr>
          <w:tab/>
        </w:r>
        <w:r>
          <w:rPr>
            <w:rStyle w:val="C2"/>
            <w:noProof w:val="1"/>
          </w:rPr>
          <w:t>Vatten och avlopp</w:t>
        </w:r>
        <w:r>
          <w:rPr>
            <w:noProof w:val="1"/>
          </w:rPr>
          <w:tab/>
        </w:r>
        <w:r>
          <w:rPr>
            <w:noProof w:val="1"/>
          </w:rPr>
          <w:fldChar w:fldCharType="begin"/>
        </w:r>
        <w:r>
          <w:rPr>
            <w:noProof w:val="1"/>
          </w:rPr>
          <w:instrText xml:space="preserve"> PAGEREF _Toc143176954 \h </w:instrText>
        </w:r>
        <w:r>
          <w:rPr>
            <w:noProof w:val="1"/>
          </w:rPr>
          <w:fldChar w:fldCharType="separate"/>
        </w:r>
        <w:r>
          <w:rPr>
            <w:noProof w:val="1"/>
          </w:rPr>
          <w:t>56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5">
        <w:r>
          <w:rPr>
            <w:rStyle w:val="C2"/>
            <w:noProof w:val="1"/>
          </w:rPr>
          <w:t>6.12.2</w:t>
        </w:r>
        <w:r>
          <w:rPr>
            <w:rFonts w:asciiTheme="minorHAnsi" w:hAnsiTheme="minorHAnsi" w:cstheme="minorBidi" w:eastAsiaTheme="minorEastAsia"/>
            <w:noProof w:val="1"/>
            <w:sz w:val="22"/>
            <w:kern w:val="2"/>
            <w:lang w:eastAsia="sv-SE"/>
          </w:rPr>
          <w:tab/>
        </w:r>
        <w:r>
          <w:rPr>
            <w:rStyle w:val="C2"/>
            <w:noProof w:val="1"/>
          </w:rPr>
          <w:t>Energi</w:t>
        </w:r>
        <w:r>
          <w:rPr>
            <w:noProof w:val="1"/>
          </w:rPr>
          <w:tab/>
        </w:r>
        <w:r>
          <w:rPr>
            <w:noProof w:val="1"/>
          </w:rPr>
          <w:fldChar w:fldCharType="begin"/>
        </w:r>
        <w:r>
          <w:rPr>
            <w:noProof w:val="1"/>
          </w:rPr>
          <w:instrText xml:space="preserve"> PAGEREF _Toc143176955 \h </w:instrText>
        </w:r>
        <w:r>
          <w:rPr>
            <w:noProof w:val="1"/>
          </w:rPr>
          <w:fldChar w:fldCharType="separate"/>
        </w:r>
        <w:r>
          <w:rPr>
            <w:noProof w:val="1"/>
          </w:rPr>
          <w:t>56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6">
        <w:r>
          <w:rPr>
            <w:rStyle w:val="C2"/>
            <w:noProof w:val="1"/>
          </w:rPr>
          <w:t>6.12.3</w:t>
        </w:r>
        <w:r>
          <w:rPr>
            <w:rFonts w:asciiTheme="minorHAnsi" w:hAnsiTheme="minorHAnsi" w:cstheme="minorBidi" w:eastAsiaTheme="minorEastAsia"/>
            <w:noProof w:val="1"/>
            <w:sz w:val="22"/>
            <w:kern w:val="2"/>
            <w:lang w:eastAsia="sv-SE"/>
          </w:rPr>
          <w:tab/>
        </w:r>
        <w:r>
          <w:rPr>
            <w:rStyle w:val="C2"/>
            <w:noProof w:val="1"/>
          </w:rPr>
          <w:t>Avfall</w:t>
        </w:r>
        <w:r>
          <w:rPr>
            <w:noProof w:val="1"/>
          </w:rPr>
          <w:tab/>
        </w:r>
        <w:r>
          <w:rPr>
            <w:noProof w:val="1"/>
          </w:rPr>
          <w:fldChar w:fldCharType="begin"/>
        </w:r>
        <w:r>
          <w:rPr>
            <w:noProof w:val="1"/>
          </w:rPr>
          <w:instrText xml:space="preserve"> PAGEREF _Toc143176956 \h </w:instrText>
        </w:r>
        <w:r>
          <w:rPr>
            <w:noProof w:val="1"/>
          </w:rPr>
          <w:fldChar w:fldCharType="separate"/>
        </w:r>
        <w:r>
          <w:rPr>
            <w:noProof w:val="1"/>
          </w:rPr>
          <w:t>56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7">
        <w:r>
          <w:rPr>
            <w:rStyle w:val="C2"/>
            <w:noProof w:val="1"/>
          </w:rPr>
          <w:t>6.12.4</w:t>
        </w:r>
        <w:r>
          <w:rPr>
            <w:rFonts w:asciiTheme="minorHAnsi" w:hAnsiTheme="minorHAnsi" w:cstheme="minorBidi" w:eastAsiaTheme="minorEastAsia"/>
            <w:noProof w:val="1"/>
            <w:sz w:val="22"/>
            <w:kern w:val="2"/>
            <w:lang w:eastAsia="sv-SE"/>
          </w:rPr>
          <w:tab/>
        </w:r>
        <w:r>
          <w:rPr>
            <w:rStyle w:val="C2"/>
            <w:noProof w:val="1"/>
          </w:rPr>
          <w:t>Gatunät, gång-, cykel- och skotertrafik</w:t>
        </w:r>
        <w:r>
          <w:rPr>
            <w:noProof w:val="1"/>
          </w:rPr>
          <w:tab/>
        </w:r>
        <w:r>
          <w:rPr>
            <w:noProof w:val="1"/>
          </w:rPr>
          <w:fldChar w:fldCharType="begin"/>
        </w:r>
        <w:r>
          <w:rPr>
            <w:noProof w:val="1"/>
          </w:rPr>
          <w:instrText xml:space="preserve"> PAGEREF _Toc143176957 \h </w:instrText>
        </w:r>
        <w:r>
          <w:rPr>
            <w:noProof w:val="1"/>
          </w:rPr>
          <w:fldChar w:fldCharType="separate"/>
        </w:r>
        <w:r>
          <w:rPr>
            <w:noProof w:val="1"/>
          </w:rPr>
          <w:t>56</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8">
        <w:r>
          <w:rPr>
            <w:rStyle w:val="C2"/>
            <w:noProof w:val="1"/>
          </w:rPr>
          <w:t>6.12.5</w:t>
        </w:r>
        <w:r>
          <w:rPr>
            <w:rFonts w:asciiTheme="minorHAnsi" w:hAnsiTheme="minorHAnsi" w:cstheme="minorBidi" w:eastAsiaTheme="minorEastAsia"/>
            <w:noProof w:val="1"/>
            <w:sz w:val="22"/>
            <w:kern w:val="2"/>
            <w:lang w:eastAsia="sv-SE"/>
          </w:rPr>
          <w:tab/>
        </w:r>
        <w:r>
          <w:rPr>
            <w:rStyle w:val="C2"/>
            <w:noProof w:val="1"/>
          </w:rPr>
          <w:t>Kollektivtrafik</w:t>
        </w:r>
        <w:r>
          <w:rPr>
            <w:noProof w:val="1"/>
          </w:rPr>
          <w:tab/>
        </w:r>
        <w:r>
          <w:rPr>
            <w:noProof w:val="1"/>
          </w:rPr>
          <w:fldChar w:fldCharType="begin"/>
        </w:r>
        <w:r>
          <w:rPr>
            <w:noProof w:val="1"/>
          </w:rPr>
          <w:instrText xml:space="preserve"> PAGEREF _Toc143176958 \h </w:instrText>
        </w:r>
        <w:r>
          <w:rPr>
            <w:noProof w:val="1"/>
          </w:rPr>
          <w:fldChar w:fldCharType="separate"/>
        </w:r>
        <w:r>
          <w:rPr>
            <w:noProof w:val="1"/>
          </w:rPr>
          <w:t>57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59">
        <w:r>
          <w:rPr>
            <w:rStyle w:val="C2"/>
            <w:noProof w:val="1"/>
          </w:rPr>
          <w:t>6.12.6</w:t>
        </w:r>
        <w:r>
          <w:rPr>
            <w:rFonts w:asciiTheme="minorHAnsi" w:hAnsiTheme="minorHAnsi" w:cstheme="minorBidi" w:eastAsiaTheme="minorEastAsia"/>
            <w:noProof w:val="1"/>
            <w:sz w:val="22"/>
            <w:kern w:val="2"/>
            <w:lang w:eastAsia="sv-SE"/>
          </w:rPr>
          <w:tab/>
        </w:r>
        <w:r>
          <w:rPr>
            <w:rStyle w:val="C2"/>
            <w:noProof w:val="1"/>
          </w:rPr>
          <w:t>Parkering och utfarter</w:t>
        </w:r>
        <w:r>
          <w:rPr>
            <w:noProof w:val="1"/>
          </w:rPr>
          <w:tab/>
        </w:r>
        <w:r>
          <w:rPr>
            <w:noProof w:val="1"/>
          </w:rPr>
          <w:fldChar w:fldCharType="begin"/>
        </w:r>
        <w:r>
          <w:rPr>
            <w:noProof w:val="1"/>
          </w:rPr>
          <w:instrText xml:space="preserve"> PAGEREF _Toc143176959 \h </w:instrText>
        </w:r>
        <w:r>
          <w:rPr>
            <w:noProof w:val="1"/>
          </w:rPr>
          <w:fldChar w:fldCharType="separate"/>
        </w:r>
        <w:r>
          <w:rPr>
            <w:noProof w:val="1"/>
          </w:rPr>
          <w:t>57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60">
        <w:r>
          <w:rPr>
            <w:rStyle w:val="C2"/>
            <w:noProof w:val="1"/>
          </w:rPr>
          <w:t>6.12.7</w:t>
        </w:r>
        <w:r>
          <w:rPr>
            <w:rFonts w:asciiTheme="minorHAnsi" w:hAnsiTheme="minorHAnsi" w:cstheme="minorBidi" w:eastAsiaTheme="minorEastAsia"/>
            <w:noProof w:val="1"/>
            <w:sz w:val="22"/>
            <w:kern w:val="2"/>
            <w:lang w:eastAsia="sv-SE"/>
          </w:rPr>
          <w:tab/>
        </w:r>
        <w:r>
          <w:rPr>
            <w:rStyle w:val="C2"/>
            <w:noProof w:val="1"/>
          </w:rPr>
          <w:t>Skoterleder</w:t>
        </w:r>
        <w:r>
          <w:rPr>
            <w:noProof w:val="1"/>
          </w:rPr>
          <w:tab/>
        </w:r>
        <w:r>
          <w:rPr>
            <w:noProof w:val="1"/>
          </w:rPr>
          <w:fldChar w:fldCharType="begin"/>
        </w:r>
        <w:r>
          <w:rPr>
            <w:noProof w:val="1"/>
          </w:rPr>
          <w:instrText xml:space="preserve"> PAGEREF _Toc143176960 \h </w:instrText>
        </w:r>
        <w:r>
          <w:rPr>
            <w:noProof w:val="1"/>
          </w:rPr>
          <w:fldChar w:fldCharType="separate"/>
        </w:r>
        <w:r>
          <w:rPr>
            <w:noProof w:val="1"/>
          </w:rPr>
          <w:t>57</w:t>
        </w:r>
        <w:r>
          <w:rPr>
            <w:noProof w:val="1"/>
          </w:rPr>
          <w:fldChar w:fldCharType="end"/>
        </w:r>
      </w:hyperlink>
    </w:p>
    <w:p>
      <w:pPr>
        <w:pStyle w:val="P19"/>
        <w:rPr>
          <w:rFonts w:asciiTheme="minorHAnsi" w:hAnsiTheme="minorHAnsi" w:cstheme="minorBidi" w:eastAsiaTheme="minorEastAsia"/>
          <w:b w:val="0"/>
          <w:noProof w:val="1"/>
          <w:sz w:val="22"/>
          <w:szCs w:val="22"/>
          <w:kern w:val="2"/>
          <w:lang w:eastAsia="sv-SE"/>
        </w:rPr>
      </w:pPr>
      <w:hyperlink w:anchor="_Toc143176961">
        <w:r>
          <w:rPr>
            <w:rStyle w:val="C2"/>
            <w:noProof w:val="1"/>
          </w:rPr>
          <w:t>7 Konsekvenser</w:t>
        </w:r>
        <w:r>
          <w:rPr>
            <w:noProof w:val="1"/>
          </w:rPr>
          <w:tab/>
        </w:r>
        <w:r>
          <w:rPr>
            <w:noProof w:val="1"/>
          </w:rPr>
          <w:fldChar w:fldCharType="begin"/>
        </w:r>
        <w:r>
          <w:rPr>
            <w:noProof w:val="1"/>
          </w:rPr>
          <w:instrText xml:space="preserve"> PAGEREF _Toc143176961 \h </w:instrText>
        </w:r>
        <w:r>
          <w:rPr>
            <w:noProof w:val="1"/>
          </w:rPr>
          <w:fldChar w:fldCharType="separate"/>
        </w:r>
        <w:r>
          <w:rPr>
            <w:noProof w:val="1"/>
          </w:rPr>
          <w:t>58</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62">
        <w:r>
          <w:rPr>
            <w:rStyle w:val="C2"/>
            <w:noProof w:val="1"/>
          </w:rPr>
          <w:t>7.1</w:t>
        </w:r>
        <w:r>
          <w:rPr>
            <w:rFonts w:asciiTheme="minorHAnsi" w:hAnsiTheme="minorHAnsi" w:cstheme="minorBidi" w:eastAsiaTheme="minorEastAsia"/>
            <w:noProof w:val="1"/>
            <w:sz w:val="22"/>
            <w:kern w:val="2"/>
            <w:lang w:eastAsia="sv-SE"/>
          </w:rPr>
          <w:tab/>
        </w:r>
        <w:r>
          <w:rPr>
            <w:rStyle w:val="C2"/>
            <w:noProof w:val="1"/>
          </w:rPr>
          <w:t>Fastigheter och rättigheter</w:t>
        </w:r>
        <w:r>
          <w:rPr>
            <w:noProof w:val="1"/>
          </w:rPr>
          <w:tab/>
        </w:r>
        <w:r>
          <w:rPr>
            <w:noProof w:val="1"/>
          </w:rPr>
          <w:fldChar w:fldCharType="begin"/>
        </w:r>
        <w:r>
          <w:rPr>
            <w:noProof w:val="1"/>
          </w:rPr>
          <w:instrText xml:space="preserve"> PAGEREF _Toc143176962 \h </w:instrText>
        </w:r>
        <w:r>
          <w:rPr>
            <w:noProof w:val="1"/>
          </w:rPr>
          <w:fldChar w:fldCharType="separate"/>
        </w:r>
        <w:r>
          <w:rPr>
            <w:noProof w:val="1"/>
          </w:rPr>
          <w:t>58</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63">
        <w:r>
          <w:rPr>
            <w:rStyle w:val="C2"/>
            <w:noProof w:val="1"/>
          </w:rPr>
          <w:t>7.2</w:t>
        </w:r>
        <w:r>
          <w:rPr>
            <w:rFonts w:asciiTheme="minorHAnsi" w:hAnsiTheme="minorHAnsi" w:cstheme="minorBidi" w:eastAsiaTheme="minorEastAsia"/>
            <w:noProof w:val="1"/>
            <w:sz w:val="22"/>
            <w:kern w:val="2"/>
            <w:lang w:eastAsia="sv-SE"/>
          </w:rPr>
          <w:tab/>
        </w:r>
        <w:r>
          <w:rPr>
            <w:rStyle w:val="C2"/>
            <w:noProof w:val="1"/>
          </w:rPr>
          <w:t>Miljö</w:t>
        </w:r>
        <w:r>
          <w:rPr>
            <w:noProof w:val="1"/>
          </w:rPr>
          <w:tab/>
        </w:r>
        <w:r>
          <w:rPr>
            <w:noProof w:val="1"/>
          </w:rPr>
          <w:fldChar w:fldCharType="begin"/>
        </w:r>
        <w:r>
          <w:rPr>
            <w:noProof w:val="1"/>
          </w:rPr>
          <w:instrText xml:space="preserve"> PAGEREF _Toc143176963 \h </w:instrText>
        </w:r>
        <w:r>
          <w:rPr>
            <w:noProof w:val="1"/>
          </w:rPr>
          <w:fldChar w:fldCharType="separate"/>
        </w:r>
        <w:r>
          <w:rPr>
            <w:noProof w:val="1"/>
          </w:rPr>
          <w:t>59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64">
        <w:r>
          <w:rPr>
            <w:rStyle w:val="C2"/>
            <w:noProof w:val="1"/>
          </w:rPr>
          <w:t>7.2.1</w:t>
        </w:r>
        <w:r>
          <w:rPr>
            <w:rFonts w:asciiTheme="minorHAnsi" w:hAnsiTheme="minorHAnsi" w:cstheme="minorBidi" w:eastAsiaTheme="minorEastAsia"/>
            <w:noProof w:val="1"/>
            <w:sz w:val="22"/>
            <w:kern w:val="2"/>
            <w:lang w:eastAsia="sv-SE"/>
          </w:rPr>
          <w:tab/>
        </w:r>
        <w:r>
          <w:rPr>
            <w:rStyle w:val="C2"/>
            <w:noProof w:val="1"/>
          </w:rPr>
          <w:t>Miljökonsekvensbeskrivning</w:t>
        </w:r>
        <w:r>
          <w:rPr>
            <w:noProof w:val="1"/>
          </w:rPr>
          <w:tab/>
        </w:r>
        <w:r>
          <w:rPr>
            <w:noProof w:val="1"/>
          </w:rPr>
          <w:fldChar w:fldCharType="begin"/>
        </w:r>
        <w:r>
          <w:rPr>
            <w:noProof w:val="1"/>
          </w:rPr>
          <w:instrText xml:space="preserve"> PAGEREF _Toc143176964 \h </w:instrText>
        </w:r>
        <w:r>
          <w:rPr>
            <w:noProof w:val="1"/>
          </w:rPr>
          <w:fldChar w:fldCharType="separate"/>
        </w:r>
        <w:r>
          <w:rPr>
            <w:noProof w:val="1"/>
          </w:rPr>
          <w:t>59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65">
        <w:r>
          <w:rPr>
            <w:rStyle w:val="C2"/>
            <w:noProof w:val="1"/>
          </w:rPr>
          <w:t>7.2.2</w:t>
        </w:r>
        <w:r>
          <w:rPr>
            <w:rFonts w:asciiTheme="minorHAnsi" w:hAnsiTheme="minorHAnsi" w:cstheme="minorBidi" w:eastAsiaTheme="minorEastAsia"/>
            <w:noProof w:val="1"/>
            <w:sz w:val="22"/>
            <w:kern w:val="2"/>
            <w:lang w:eastAsia="sv-SE"/>
          </w:rPr>
          <w:tab/>
        </w:r>
        <w:r>
          <w:rPr>
            <w:rStyle w:val="C2"/>
            <w:noProof w:val="1"/>
          </w:rPr>
          <w:t>Miljöbedömning</w:t>
        </w:r>
        <w:r>
          <w:rPr>
            <w:noProof w:val="1"/>
          </w:rPr>
          <w:tab/>
        </w:r>
        <w:r>
          <w:rPr>
            <w:noProof w:val="1"/>
          </w:rPr>
          <w:fldChar w:fldCharType="begin"/>
        </w:r>
        <w:r>
          <w:rPr>
            <w:noProof w:val="1"/>
          </w:rPr>
          <w:instrText xml:space="preserve"> PAGEREF _Toc143176965 \h </w:instrText>
        </w:r>
        <w:r>
          <w:rPr>
            <w:noProof w:val="1"/>
          </w:rPr>
          <w:fldChar w:fldCharType="separate"/>
        </w:r>
        <w:r>
          <w:rPr>
            <w:noProof w:val="1"/>
          </w:rPr>
          <w:t>85</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66">
        <w:r>
          <w:rPr>
            <w:rStyle w:val="C2"/>
            <w:noProof w:val="1"/>
          </w:rPr>
          <w:t>7.3</w:t>
        </w:r>
        <w:r>
          <w:rPr>
            <w:rFonts w:asciiTheme="minorHAnsi" w:hAnsiTheme="minorHAnsi" w:cstheme="minorBidi" w:eastAsiaTheme="minorEastAsia"/>
            <w:noProof w:val="1"/>
            <w:sz w:val="22"/>
            <w:kern w:val="2"/>
            <w:lang w:eastAsia="sv-SE"/>
          </w:rPr>
          <w:tab/>
        </w:r>
        <w:r>
          <w:rPr>
            <w:rStyle w:val="C2"/>
            <w:noProof w:val="1"/>
          </w:rPr>
          <w:t>Miljökvalitetsnormer</w:t>
        </w:r>
        <w:r>
          <w:rPr>
            <w:noProof w:val="1"/>
          </w:rPr>
          <w:tab/>
        </w:r>
        <w:r>
          <w:rPr>
            <w:noProof w:val="1"/>
          </w:rPr>
          <w:fldChar w:fldCharType="begin"/>
        </w:r>
        <w:r>
          <w:rPr>
            <w:noProof w:val="1"/>
          </w:rPr>
          <w:instrText xml:space="preserve"> PAGEREF _Toc143176966 \h </w:instrText>
        </w:r>
        <w:r>
          <w:rPr>
            <w:noProof w:val="1"/>
          </w:rPr>
          <w:fldChar w:fldCharType="separate"/>
        </w:r>
        <w:r>
          <w:rPr>
            <w:noProof w:val="1"/>
          </w:rPr>
          <w:t>87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67">
        <w:r>
          <w:rPr>
            <w:rStyle w:val="C2"/>
            <w:noProof w:val="1"/>
          </w:rPr>
          <w:t>7.3.1</w:t>
        </w:r>
        <w:r>
          <w:rPr>
            <w:rFonts w:asciiTheme="minorHAnsi" w:hAnsiTheme="minorHAnsi" w:cstheme="minorBidi" w:eastAsiaTheme="minorEastAsia"/>
            <w:noProof w:val="1"/>
            <w:sz w:val="22"/>
            <w:kern w:val="2"/>
            <w:lang w:eastAsia="sv-SE"/>
          </w:rPr>
          <w:tab/>
        </w:r>
        <w:r>
          <w:rPr>
            <w:rStyle w:val="C2"/>
            <w:noProof w:val="1"/>
          </w:rPr>
          <w:t>Luft</w:t>
        </w:r>
        <w:r>
          <w:rPr>
            <w:noProof w:val="1"/>
          </w:rPr>
          <w:tab/>
        </w:r>
        <w:r>
          <w:rPr>
            <w:noProof w:val="1"/>
          </w:rPr>
          <w:fldChar w:fldCharType="begin"/>
        </w:r>
        <w:r>
          <w:rPr>
            <w:noProof w:val="1"/>
          </w:rPr>
          <w:instrText xml:space="preserve"> PAGEREF _Toc143176967 \h </w:instrText>
        </w:r>
        <w:r>
          <w:rPr>
            <w:noProof w:val="1"/>
          </w:rPr>
          <w:fldChar w:fldCharType="separate"/>
        </w:r>
        <w:r>
          <w:rPr>
            <w:noProof w:val="1"/>
          </w:rPr>
          <w:t>87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68">
        <w:r>
          <w:rPr>
            <w:rStyle w:val="C2"/>
            <w:noProof w:val="1"/>
          </w:rPr>
          <w:t>7.3.2</w:t>
        </w:r>
        <w:r>
          <w:rPr>
            <w:rFonts w:asciiTheme="minorHAnsi" w:hAnsiTheme="minorHAnsi" w:cstheme="minorBidi" w:eastAsiaTheme="minorEastAsia"/>
            <w:noProof w:val="1"/>
            <w:sz w:val="22"/>
            <w:kern w:val="2"/>
            <w:lang w:eastAsia="sv-SE"/>
          </w:rPr>
          <w:tab/>
        </w:r>
        <w:r>
          <w:rPr>
            <w:rStyle w:val="C2"/>
            <w:noProof w:val="1"/>
          </w:rPr>
          <w:t>Vatten</w:t>
        </w:r>
        <w:r>
          <w:rPr>
            <w:noProof w:val="1"/>
          </w:rPr>
          <w:tab/>
        </w:r>
        <w:r>
          <w:rPr>
            <w:noProof w:val="1"/>
          </w:rPr>
          <w:fldChar w:fldCharType="begin"/>
        </w:r>
        <w:r>
          <w:rPr>
            <w:noProof w:val="1"/>
          </w:rPr>
          <w:instrText xml:space="preserve"> PAGEREF _Toc143176968 \h </w:instrText>
        </w:r>
        <w:r>
          <w:rPr>
            <w:noProof w:val="1"/>
          </w:rPr>
          <w:fldChar w:fldCharType="separate"/>
        </w:r>
        <w:r>
          <w:rPr>
            <w:noProof w:val="1"/>
          </w:rPr>
          <w:t>87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69">
        <w:r>
          <w:rPr>
            <w:rStyle w:val="C2"/>
            <w:noProof w:val="1"/>
          </w:rPr>
          <w:t>7.3.3</w:t>
        </w:r>
        <w:r>
          <w:rPr>
            <w:rFonts w:asciiTheme="minorHAnsi" w:hAnsiTheme="minorHAnsi" w:cstheme="minorBidi" w:eastAsiaTheme="minorEastAsia"/>
            <w:noProof w:val="1"/>
            <w:sz w:val="22"/>
            <w:kern w:val="2"/>
            <w:lang w:eastAsia="sv-SE"/>
          </w:rPr>
          <w:tab/>
        </w:r>
        <w:r>
          <w:rPr>
            <w:rStyle w:val="C2"/>
            <w:noProof w:val="1"/>
          </w:rPr>
          <w:t>Buller</w:t>
        </w:r>
        <w:r>
          <w:rPr>
            <w:noProof w:val="1"/>
          </w:rPr>
          <w:tab/>
        </w:r>
        <w:r>
          <w:rPr>
            <w:noProof w:val="1"/>
          </w:rPr>
          <w:fldChar w:fldCharType="begin"/>
        </w:r>
        <w:r>
          <w:rPr>
            <w:noProof w:val="1"/>
          </w:rPr>
          <w:instrText xml:space="preserve"> PAGEREF _Toc143176969 \h </w:instrText>
        </w:r>
        <w:r>
          <w:rPr>
            <w:noProof w:val="1"/>
          </w:rPr>
          <w:fldChar w:fldCharType="separate"/>
        </w:r>
        <w:r>
          <w:rPr>
            <w:noProof w:val="1"/>
          </w:rPr>
          <w:t>87</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70">
        <w:r>
          <w:rPr>
            <w:rStyle w:val="C2"/>
            <w:noProof w:val="1"/>
          </w:rPr>
          <w:t>7.4</w:t>
        </w:r>
        <w:r>
          <w:rPr>
            <w:rFonts w:asciiTheme="minorHAnsi" w:hAnsiTheme="minorHAnsi" w:cstheme="minorBidi" w:eastAsiaTheme="minorEastAsia"/>
            <w:noProof w:val="1"/>
            <w:sz w:val="22"/>
            <w:kern w:val="2"/>
            <w:lang w:eastAsia="sv-SE"/>
          </w:rPr>
          <w:tab/>
        </w:r>
        <w:r>
          <w:rPr>
            <w:rStyle w:val="C2"/>
            <w:noProof w:val="1"/>
          </w:rPr>
          <w:t>Hälsa och säkerhet</w:t>
        </w:r>
        <w:r>
          <w:rPr>
            <w:noProof w:val="1"/>
          </w:rPr>
          <w:tab/>
        </w:r>
        <w:r>
          <w:rPr>
            <w:noProof w:val="1"/>
          </w:rPr>
          <w:fldChar w:fldCharType="begin"/>
        </w:r>
        <w:r>
          <w:rPr>
            <w:noProof w:val="1"/>
          </w:rPr>
          <w:instrText xml:space="preserve"> PAGEREF _Toc143176970 \h </w:instrText>
        </w:r>
        <w:r>
          <w:rPr>
            <w:noProof w:val="1"/>
          </w:rPr>
          <w:fldChar w:fldCharType="separate"/>
        </w:r>
        <w:r>
          <w:rPr>
            <w:noProof w:val="1"/>
          </w:rPr>
          <w:t>87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71">
        <w:r>
          <w:rPr>
            <w:rStyle w:val="C2"/>
            <w:noProof w:val="1"/>
          </w:rPr>
          <w:t>7.4.1</w:t>
        </w:r>
        <w:r>
          <w:rPr>
            <w:rFonts w:asciiTheme="minorHAnsi" w:hAnsiTheme="minorHAnsi" w:cstheme="minorBidi" w:eastAsiaTheme="minorEastAsia"/>
            <w:noProof w:val="1"/>
            <w:sz w:val="22"/>
            <w:kern w:val="2"/>
            <w:lang w:eastAsia="sv-SE"/>
          </w:rPr>
          <w:tab/>
        </w:r>
        <w:r>
          <w:rPr>
            <w:rStyle w:val="C2"/>
            <w:noProof w:val="1"/>
          </w:rPr>
          <w:t>Översvämning</w:t>
        </w:r>
        <w:r>
          <w:rPr>
            <w:noProof w:val="1"/>
          </w:rPr>
          <w:tab/>
        </w:r>
        <w:r>
          <w:rPr>
            <w:noProof w:val="1"/>
          </w:rPr>
          <w:fldChar w:fldCharType="begin"/>
        </w:r>
        <w:r>
          <w:rPr>
            <w:noProof w:val="1"/>
          </w:rPr>
          <w:instrText xml:space="preserve"> PAGEREF _Toc143176971 \h </w:instrText>
        </w:r>
        <w:r>
          <w:rPr>
            <w:noProof w:val="1"/>
          </w:rPr>
          <w:fldChar w:fldCharType="separate"/>
        </w:r>
        <w:r>
          <w:rPr>
            <w:noProof w:val="1"/>
          </w:rPr>
          <w:t>87</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72">
        <w:r>
          <w:rPr>
            <w:rStyle w:val="C2"/>
            <w:noProof w:val="1"/>
          </w:rPr>
          <w:t>7.4.2</w:t>
        </w:r>
        <w:r>
          <w:rPr>
            <w:rFonts w:asciiTheme="minorHAnsi" w:hAnsiTheme="minorHAnsi" w:cstheme="minorBidi" w:eastAsiaTheme="minorEastAsia"/>
            <w:noProof w:val="1"/>
            <w:sz w:val="22"/>
            <w:kern w:val="2"/>
            <w:lang w:eastAsia="sv-SE"/>
          </w:rPr>
          <w:tab/>
        </w:r>
        <w:r>
          <w:rPr>
            <w:rStyle w:val="C2"/>
            <w:noProof w:val="1"/>
          </w:rPr>
          <w:t>Olyckor</w:t>
        </w:r>
        <w:r>
          <w:rPr>
            <w:noProof w:val="1"/>
          </w:rPr>
          <w:tab/>
        </w:r>
        <w:r>
          <w:rPr>
            <w:noProof w:val="1"/>
          </w:rPr>
          <w:fldChar w:fldCharType="begin"/>
        </w:r>
        <w:r>
          <w:rPr>
            <w:noProof w:val="1"/>
          </w:rPr>
          <w:instrText xml:space="preserve"> PAGEREF _Toc143176972 \h </w:instrText>
        </w:r>
        <w:r>
          <w:rPr>
            <w:noProof w:val="1"/>
          </w:rPr>
          <w:fldChar w:fldCharType="separate"/>
        </w:r>
        <w:r>
          <w:rPr>
            <w:noProof w:val="1"/>
          </w:rPr>
          <w:t>87</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73">
        <w:r>
          <w:rPr>
            <w:rStyle w:val="C2"/>
            <w:noProof w:val="1"/>
          </w:rPr>
          <w:t>7.5</w:t>
        </w:r>
        <w:r>
          <w:rPr>
            <w:rFonts w:asciiTheme="minorHAnsi" w:hAnsiTheme="minorHAnsi" w:cstheme="minorBidi" w:eastAsiaTheme="minorEastAsia"/>
            <w:noProof w:val="1"/>
            <w:sz w:val="22"/>
            <w:kern w:val="2"/>
            <w:lang w:eastAsia="sv-SE"/>
          </w:rPr>
          <w:tab/>
        </w:r>
        <w:r>
          <w:rPr>
            <w:rStyle w:val="C2"/>
            <w:noProof w:val="1"/>
          </w:rPr>
          <w:t>Riksintressen</w:t>
        </w:r>
        <w:r>
          <w:rPr>
            <w:noProof w:val="1"/>
          </w:rPr>
          <w:tab/>
        </w:r>
        <w:r>
          <w:rPr>
            <w:noProof w:val="1"/>
          </w:rPr>
          <w:fldChar w:fldCharType="begin"/>
        </w:r>
        <w:r>
          <w:rPr>
            <w:noProof w:val="1"/>
          </w:rPr>
          <w:instrText xml:space="preserve"> PAGEREF _Toc143176973 \h </w:instrText>
        </w:r>
        <w:r>
          <w:rPr>
            <w:noProof w:val="1"/>
          </w:rPr>
          <w:fldChar w:fldCharType="separate"/>
        </w:r>
        <w:r>
          <w:rPr>
            <w:noProof w:val="1"/>
          </w:rPr>
          <w:t>88</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74">
        <w:r>
          <w:rPr>
            <w:rStyle w:val="C2"/>
            <w:noProof w:val="1"/>
          </w:rPr>
          <w:t>7.5.1</w:t>
        </w:r>
        <w:r>
          <w:rPr>
            <w:rFonts w:asciiTheme="minorHAnsi" w:hAnsiTheme="minorHAnsi" w:cstheme="minorBidi" w:eastAsiaTheme="minorEastAsia"/>
            <w:noProof w:val="1"/>
            <w:sz w:val="22"/>
            <w:kern w:val="2"/>
            <w:lang w:eastAsia="sv-SE"/>
          </w:rPr>
          <w:tab/>
        </w:r>
        <w:r>
          <w:rPr>
            <w:rStyle w:val="C2"/>
            <w:noProof w:val="1"/>
          </w:rPr>
          <w:t>Rennäring</w:t>
        </w:r>
        <w:r>
          <w:rPr>
            <w:noProof w:val="1"/>
          </w:rPr>
          <w:tab/>
        </w:r>
        <w:r>
          <w:rPr>
            <w:noProof w:val="1"/>
          </w:rPr>
          <w:fldChar w:fldCharType="begin"/>
        </w:r>
        <w:r>
          <w:rPr>
            <w:noProof w:val="1"/>
          </w:rPr>
          <w:instrText xml:space="preserve"> PAGEREF _Toc143176974 \h </w:instrText>
        </w:r>
        <w:r>
          <w:rPr>
            <w:noProof w:val="1"/>
          </w:rPr>
          <w:fldChar w:fldCharType="separate"/>
        </w:r>
        <w:r>
          <w:rPr>
            <w:noProof w:val="1"/>
          </w:rPr>
          <w:t>88</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75">
        <w:r>
          <w:rPr>
            <w:rStyle w:val="C2"/>
            <w:noProof w:val="1"/>
          </w:rPr>
          <w:t>7.5.2</w:t>
        </w:r>
        <w:r>
          <w:rPr>
            <w:rFonts w:asciiTheme="minorHAnsi" w:hAnsiTheme="minorHAnsi" w:cstheme="minorBidi" w:eastAsiaTheme="minorEastAsia"/>
            <w:noProof w:val="1"/>
            <w:sz w:val="22"/>
            <w:kern w:val="2"/>
            <w:lang w:eastAsia="sv-SE"/>
          </w:rPr>
          <w:tab/>
        </w:r>
        <w:r>
          <w:rPr>
            <w:rStyle w:val="C2"/>
            <w:noProof w:val="1"/>
          </w:rPr>
          <w:t>Kulturmiljövård</w:t>
        </w:r>
        <w:r>
          <w:rPr>
            <w:noProof w:val="1"/>
          </w:rPr>
          <w:tab/>
        </w:r>
        <w:r>
          <w:rPr>
            <w:noProof w:val="1"/>
          </w:rPr>
          <w:fldChar w:fldCharType="begin"/>
        </w:r>
        <w:r>
          <w:rPr>
            <w:noProof w:val="1"/>
          </w:rPr>
          <w:instrText xml:space="preserve"> PAGEREF _Toc143176975 \h </w:instrText>
        </w:r>
        <w:r>
          <w:rPr>
            <w:noProof w:val="1"/>
          </w:rPr>
          <w:fldChar w:fldCharType="separate"/>
        </w:r>
        <w:r>
          <w:rPr>
            <w:noProof w:val="1"/>
          </w:rPr>
          <w:t>88</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76">
        <w:r>
          <w:rPr>
            <w:rStyle w:val="C2"/>
            <w:noProof w:val="1"/>
          </w:rPr>
          <w:t>7.5.3</w:t>
        </w:r>
        <w:r>
          <w:rPr>
            <w:rFonts w:asciiTheme="minorHAnsi" w:hAnsiTheme="minorHAnsi" w:cstheme="minorBidi" w:eastAsiaTheme="minorEastAsia"/>
            <w:noProof w:val="1"/>
            <w:sz w:val="22"/>
            <w:kern w:val="2"/>
            <w:lang w:eastAsia="sv-SE"/>
          </w:rPr>
          <w:tab/>
        </w:r>
        <w:r>
          <w:rPr>
            <w:rStyle w:val="C2"/>
            <w:noProof w:val="1"/>
          </w:rPr>
          <w:t>Fyndigheter av ämnen och material</w:t>
        </w:r>
        <w:r>
          <w:rPr>
            <w:noProof w:val="1"/>
          </w:rPr>
          <w:tab/>
        </w:r>
        <w:r>
          <w:rPr>
            <w:noProof w:val="1"/>
          </w:rPr>
          <w:fldChar w:fldCharType="begin"/>
        </w:r>
        <w:r>
          <w:rPr>
            <w:noProof w:val="1"/>
          </w:rPr>
          <w:instrText xml:space="preserve"> PAGEREF _Toc143176976 \h </w:instrText>
        </w:r>
        <w:r>
          <w:rPr>
            <w:noProof w:val="1"/>
          </w:rPr>
          <w:fldChar w:fldCharType="separate"/>
        </w:r>
        <w:r>
          <w:rPr>
            <w:noProof w:val="1"/>
          </w:rPr>
          <w:t>88</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77">
        <w:r>
          <w:rPr>
            <w:rStyle w:val="C2"/>
            <w:noProof w:val="1"/>
          </w:rPr>
          <w:t>7.5.4</w:t>
        </w:r>
        <w:r>
          <w:rPr>
            <w:rFonts w:asciiTheme="minorHAnsi" w:hAnsiTheme="minorHAnsi" w:cstheme="minorBidi" w:eastAsiaTheme="minorEastAsia"/>
            <w:noProof w:val="1"/>
            <w:sz w:val="22"/>
            <w:kern w:val="2"/>
            <w:lang w:eastAsia="sv-SE"/>
          </w:rPr>
          <w:tab/>
        </w:r>
        <w:r>
          <w:rPr>
            <w:rStyle w:val="C2"/>
            <w:noProof w:val="1"/>
          </w:rPr>
          <w:t>Trafikkommunikation</w:t>
        </w:r>
        <w:r>
          <w:rPr>
            <w:noProof w:val="1"/>
          </w:rPr>
          <w:tab/>
        </w:r>
        <w:r>
          <w:rPr>
            <w:noProof w:val="1"/>
          </w:rPr>
          <w:fldChar w:fldCharType="begin"/>
        </w:r>
        <w:r>
          <w:rPr>
            <w:noProof w:val="1"/>
          </w:rPr>
          <w:instrText xml:space="preserve"> PAGEREF _Toc143176977 \h </w:instrText>
        </w:r>
        <w:r>
          <w:rPr>
            <w:noProof w:val="1"/>
          </w:rPr>
          <w:fldChar w:fldCharType="separate"/>
        </w:r>
        <w:r>
          <w:rPr>
            <w:noProof w:val="1"/>
          </w:rPr>
          <w:t>89</w:t>
        </w:r>
        <w:r>
          <w:rPr>
            <w:noProof w:val="1"/>
          </w:rPr>
          <w:fldChar w:fldCharType="end"/>
        </w:r>
      </w:hyperlink>
    </w:p>
    <w:p>
      <w:pPr>
        <w:pStyle w:val="P20"/>
        <w:tabs>
          <w:tab w:val="left" w:pos="1200" w:leader="none"/>
          <w:tab w:val="right" w:pos="9622" w:leader="dot"/>
        </w:tabs>
        <w:rPr>
          <w:rFonts w:asciiTheme="minorHAnsi" w:hAnsiTheme="minorHAnsi" w:cstheme="minorBidi" w:eastAsiaTheme="minorEastAsia"/>
          <w:noProof w:val="1"/>
          <w:sz w:val="22"/>
          <w:kern w:val="2"/>
          <w:lang w:eastAsia="sv-SE"/>
        </w:rPr>
      </w:pPr>
      <w:hyperlink w:anchor="_Toc143176978">
        <w:r>
          <w:rPr>
            <w:rStyle w:val="C2"/>
            <w:noProof w:val="1"/>
          </w:rPr>
          <w:t>7.5.5</w:t>
        </w:r>
        <w:r>
          <w:rPr>
            <w:rFonts w:asciiTheme="minorHAnsi" w:hAnsiTheme="minorHAnsi" w:cstheme="minorBidi" w:eastAsiaTheme="minorEastAsia"/>
            <w:noProof w:val="1"/>
            <w:sz w:val="22"/>
            <w:kern w:val="2"/>
            <w:lang w:eastAsia="sv-SE"/>
          </w:rPr>
          <w:tab/>
        </w:r>
        <w:r>
          <w:rPr>
            <w:rStyle w:val="C2"/>
            <w:noProof w:val="1"/>
          </w:rPr>
          <w:t>Totalförsvar</w:t>
        </w:r>
        <w:r>
          <w:rPr>
            <w:noProof w:val="1"/>
          </w:rPr>
          <w:tab/>
        </w:r>
        <w:r>
          <w:rPr>
            <w:noProof w:val="1"/>
          </w:rPr>
          <w:fldChar w:fldCharType="begin"/>
        </w:r>
        <w:r>
          <w:rPr>
            <w:noProof w:val="1"/>
          </w:rPr>
          <w:instrText xml:space="preserve"> PAGEREF _Toc143176978 \h </w:instrText>
        </w:r>
        <w:r>
          <w:rPr>
            <w:noProof w:val="1"/>
          </w:rPr>
          <w:fldChar w:fldCharType="separate"/>
        </w:r>
        <w:r>
          <w:rPr>
            <w:noProof w:val="1"/>
          </w:rPr>
          <w:t>89</w:t>
        </w:r>
        <w:r>
          <w:rPr>
            <w:noProof w:val="1"/>
          </w:rPr>
          <w:fldChar w:fldCharType="end"/>
        </w:r>
      </w:hyperlink>
    </w:p>
    <w:p>
      <w:pPr>
        <w:pStyle w:val="P20"/>
        <w:tabs>
          <w:tab w:val="left" w:pos="960" w:leader="none"/>
          <w:tab w:val="right" w:pos="9622" w:leader="dot"/>
        </w:tabs>
        <w:rPr>
          <w:rFonts w:asciiTheme="minorHAnsi" w:hAnsiTheme="minorHAnsi" w:cstheme="minorBidi" w:eastAsiaTheme="minorEastAsia"/>
          <w:noProof w:val="1"/>
          <w:sz w:val="22"/>
          <w:kern w:val="2"/>
          <w:lang w:eastAsia="sv-SE"/>
        </w:rPr>
      </w:pPr>
      <w:hyperlink w:anchor="_Toc143176979">
        <w:r>
          <w:rPr>
            <w:rStyle w:val="C2"/>
            <w:noProof w:val="1"/>
          </w:rPr>
          <w:t>7.6</w:t>
        </w:r>
        <w:r>
          <w:rPr>
            <w:rFonts w:asciiTheme="minorHAnsi" w:hAnsiTheme="minorHAnsi" w:cstheme="minorBidi" w:eastAsiaTheme="minorEastAsia"/>
            <w:noProof w:val="1"/>
            <w:sz w:val="22"/>
            <w:kern w:val="2"/>
            <w:lang w:eastAsia="sv-SE"/>
          </w:rPr>
          <w:tab/>
        </w:r>
        <w:r>
          <w:rPr>
            <w:rStyle w:val="C2"/>
            <w:noProof w:val="1"/>
          </w:rPr>
          <w:t>Trafik</w:t>
        </w:r>
        <w:r>
          <w:rPr>
            <w:noProof w:val="1"/>
          </w:rPr>
          <w:tab/>
        </w:r>
        <w:r>
          <w:rPr>
            <w:noProof w:val="1"/>
          </w:rPr>
          <w:fldChar w:fldCharType="begin"/>
        </w:r>
        <w:r>
          <w:rPr>
            <w:noProof w:val="1"/>
          </w:rPr>
          <w:instrText xml:space="preserve"> PAGEREF _Toc143176979 \h </w:instrText>
        </w:r>
        <w:r>
          <w:rPr>
            <w:noProof w:val="1"/>
          </w:rPr>
          <w:fldChar w:fldCharType="separate"/>
        </w:r>
        <w:r>
          <w:rPr>
            <w:noProof w:val="1"/>
          </w:rPr>
          <w:t>89</w:t>
        </w:r>
        <w:r>
          <w:rPr>
            <w:noProof w:val="1"/>
          </w:rPr>
          <w:fldChar w:fldCharType="end"/>
        </w:r>
      </w:hyperlink>
    </w:p>
    <w:p>
      <w:pPr>
        <w:pStyle w:val="P20"/>
      </w:pPr>
      <w:r>
        <w:rPr>
          <w:b w:val="1"/>
          <w:szCs w:val="24"/>
        </w:rPr>
        <w:fldChar w:fldCharType="end"/>
      </w:r>
    </w:p>
    <w:p>
      <w:pPr>
        <w:pStyle w:val="P20"/>
      </w:pPr>
    </w:p>
    <w:p>
      <w:pPr>
        <w:pStyle w:val="P20"/>
      </w:pPr>
    </w:p>
    <w:p>
      <w:pPr>
        <w:pStyle w:val="P20"/>
      </w:pPr>
    </w:p>
    <w:p>
      <w:pPr>
        <w:pStyle w:val="P20"/>
      </w:pPr>
    </w:p>
    <w:p>
      <w:r>
        <w:br w:type="page"/>
      </w:r>
    </w:p>
    <w:p>
      <w:pPr>
        <w:pStyle w:val="P13"/>
      </w:pPr>
      <w:bookmarkStart w:id="0" w:name="_Toc143176865"/>
      <w:r>
        <w:t>Detaljplanens syfte</w:t>
      </w:r>
      <w:bookmarkEnd w:id="0"/>
    </w:p>
    <w:p>
      <w:pPr>
        <w:pStyle w:val="P15"/>
      </w:pPr>
      <w:bookmarkStart w:id="1" w:name="_Toc143176866"/>
      <w:r>
        <w:t>Syfte</w:t>
      </w:r>
      <w:bookmarkEnd w:id="1"/>
    </w:p>
    <w:p>
      <w:pPr>
        <w:pStyle w:val="P14"/>
      </w:pPr>
      <w:bookmarkStart w:id="2" w:name="sy_syfte01"/>
      <w:r>
        <w:t xml:space="preserve">Syftet med detaljplanen är att skapa utrymme för anläggande av ett nytt krematorium samt för en begravningsplats med tillhörande verksamheter. </w:t>
      </w:r>
    </w:p>
    <w:p>
      <w:pPr>
        <w:pStyle w:val="P13"/>
      </w:pPr>
      <w:bookmarkEnd w:id="2"/>
      <w:bookmarkStart w:id="3" w:name="_Toc143176867"/>
      <w:r>
        <w:t>Beskrivning av detaljplanen</w:t>
      </w:r>
      <w:bookmarkEnd w:id="3"/>
    </w:p>
    <w:p>
      <w:pPr>
        <w:pStyle w:val="P15"/>
      </w:pPr>
      <w:bookmarkStart w:id="4" w:name="_Toc143176868"/>
      <w:r>
        <w:t>Hela detaljplanen</w:t>
      </w:r>
      <w:bookmarkEnd w:id="4"/>
    </w:p>
    <w:p>
      <w:pPr>
        <w:pStyle w:val="P14"/>
        <w:rPr>
          <w:b w:val="1"/>
          <w:bCs w:val="1"/>
        </w:rPr>
      </w:pPr>
      <w:bookmarkStart w:id="5" w:name="be_heladetaljplan01"/>
      <w:r>
        <w:rPr>
          <w:b w:val="1"/>
          <w:bCs w:val="1"/>
        </w:rPr>
        <w:t>Planområdet</w:t>
      </w:r>
    </w:p>
    <w:p>
      <w:pPr>
        <w:pStyle w:val="P14"/>
      </w:pPr>
      <w:r>
        <w:t xml:space="preserve">Planområdet innehåller inga bostäder utan planläggs helt för begravningsplats med tillhörande bebyggelse. Ett nytt krematorium ska uppföras för att ersätta det som rivs i nuvarande Kiruna centrum. Här kommer också att finnas ett kapell och kolumbarium. </w:t>
      </w:r>
    </w:p>
    <w:p>
      <w:pPr>
        <w:pStyle w:val="P14"/>
      </w:pPr>
      <w:r>
        <w:t>Del av planområdet innefattar ersättning av nuvarande krematorium, som måste avvecklas med anledning av stadsomvandlingen samt kapell, kolumbarium (gravvalv med urngravar), minneslund och kyrkogård med tillhörande byggnationer för drift. Kyrkogården ska inrymma jordgravar, askgravar och urngravar. Här ska också finnas utrymme för personalutrymmen och byggnader för driften, t ex garage. Tanken är att området ska inrymma gravplatser för olika trosinriktningar till exempel muslimska och buddhistiska.</w:t>
      </w:r>
    </w:p>
    <w:p>
      <w:pPr>
        <w:pStyle w:val="P14"/>
      </w:pPr>
      <w:r>
        <w:t>Planområdet innefattar ersättning av nuvarande krematorium, som måste avvecklas med anledning av stadsomvandlingen samt kapell, kolumbarium (gravvalv med urngravar), minneslund och kyrkogård med tillhörande byggnationer för drift. Kyrkogården ska inrymma jordgravar, askgravar och urngravar. Här ska också finnas utrymme för personalutrymmen och byggnader för driften, t ex garage. Tanken är att området ska inrymma gravplatser för olika trosinriktningar till exempel muslimska och buddhistiska.</w:t>
      </w:r>
    </w:p>
    <w:p>
      <w:pPr>
        <w:pStyle w:val="P14"/>
      </w:pPr>
      <w:r>
        <w:t>Området ska också inrymma parkeringar för besökanden och anställda.</w:t>
      </w:r>
    </w:p>
    <w:p>
      <w:pPr>
        <w:pStyle w:val="P14"/>
      </w:pPr>
      <w:r>
        <w:t>Planområdet är inte tidigare exploaterat utan består av naturmark med björk, gran och tall. Planområdet omfattar bågskyttebanans nuvarande placering samt en väg som leder fram till intilliggande golfbanan. I nordost finns en avfallsanläggning som ska avvecklas och byggas in på sikt, och i stället användas som en kretsloppsanläggning.</w:t>
      </w:r>
    </w:p>
    <w:p>
      <w:pPr>
        <w:pStyle w:val="P14"/>
      </w:pPr>
      <w:r>
        <w:t>Bågskyttebanan kommer att flyttas till en annan placering då marken tas i anspråk för genomförandet av detaljplanen.</w:t>
      </w:r>
    </w:p>
    <w:p>
      <w:pPr>
        <w:pStyle w:val="P14"/>
      </w:pPr>
      <w:r>
        <w:t xml:space="preserve">Planområdet är beläget öster om Kurravaaravägen och Kiruna avfallsanläggning, väster om golfbanan och norr om väg E 10 och omfattar bågskyttebanan. Området är cirka (ca) 119 000 kvadratmeter stor vilket motsvarar ca 12 hektar (ha). </w:t>
      </w:r>
    </w:p>
    <w:p>
      <w:pPr>
        <w:pStyle w:val="P14"/>
      </w:pPr>
      <w:r>
        <w:rPr>
          <w:noProof w:val="1"/>
        </w:rPr>
        <mc:AlternateContent>
          <mc:Choice Requires="wps">
            <w:drawing>
              <wp:anchor xmlns:wp="http://schemas.openxmlformats.org/drawingml/2006/wordprocessingDrawing" distT="45720" distB="45720" distL="114300" distR="114300" simplePos="0" relativeHeight="4" behindDoc="0" locked="0" layoutInCell="1" allowOverlap="1">
                <wp:simplePos x="0" y="0"/>
                <wp:positionH relativeFrom="margin">
                  <wp:posOffset>-34290</wp:posOffset>
                </wp:positionH>
                <wp:positionV relativeFrom="paragraph">
                  <wp:posOffset>4110990</wp:posOffset>
                </wp:positionV>
                <wp:extent cx="5810250" cy="276225"/>
                <wp:effectExtent l="0" t="0" r="0" b="0"/>
                <wp:wrapNone/>
                <wp:docPr id="15" name="Textruta 2"/>
                <wp:cNvGraphicFramePr/>
                <a:graphic xmlns:a="http://schemas.openxmlformats.org/drawingml/2006/main">
                  <a:graphicData uri="http://schemas.microsoft.com/office/word/2010/wordprocessingShape">
                    <wps:wsp>
                      <wps:cNvSpPr txBox="1">
                        <a:spLocks noChangeArrowheads="1"/>
                      </wps:cNvSpPr>
                      <wps:spPr bwMode="auto">
                        <a:xfrm>
                          <a:off x="0" y="0"/>
                          <a:ext cx="5810250" cy="276225"/>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4"/>
                              <w:rPr>
                                <w:i w:val="1"/>
                                <w:iCs w:val="1"/>
                              </w:rPr>
                            </w:pPr>
                            <w:r>
                              <w:rPr>
                                <w:i w:val="1"/>
                                <w:iCs w:val="1"/>
                              </w:rPr>
                              <w:t>Figur 1, Planområdet är ungefärligt markerat med rött.</w:t>
                            </w:r>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0" style="position:absolute;width:457.5pt;height:21.75pt;z-index:4;mso-wrap-distance-left:9pt;mso-wrap-distance-top:3.6pt;mso-wrap-distance-right:9pt;mso-wrap-distance-bottom:3.6pt;margin-left:-2.7pt;margin-top:323.7pt;mso-position-horizontal:absolute;mso-position-horizontal-relative:margin;mso-position-vertical:absolute;mso-position-vertical-relative:text" o:allowincell="t" filled="f" strokeweight="0.75pt" stroked="f">
                <v:textbox inset="3mm,1mm,3mm,1mm">
                  <w:txbxContent>
                    <w:p>
                      <w:pPr>
                        <w:pStyle w:val="P14"/>
                        <w:rPr>
                          <w:i w:val="1"/>
                          <w:iCs w:val="1"/>
                        </w:rPr>
                      </w:pPr>
                      <w:r>
                        <w:rPr>
                          <w:i w:val="1"/>
                          <w:iCs w:val="1"/>
                        </w:rPr>
                        <w:t>Figur 1, Planområdet är ungefärligt markerat med rött.</w:t>
                      </w:r>
                    </w:p>
                  </w:txbxContent>
                </v:textbox>
              </v:shape>
            </w:pict>
          </mc:Fallback>
        </mc:AlternateContent>
      </w:r>
      <w:r>
        <w:rPr>
          <w:b w:val="1"/>
          <w:noProof w:val="1"/>
        </w:rPr>
        <w:drawing>
          <wp:anchor xmlns:wp="http://schemas.openxmlformats.org/drawingml/2006/wordprocessingDrawing" distT="0" distB="0" distL="114300" distR="114300" simplePos="0" relativeHeight="6" behindDoc="0" locked="0" layoutInCell="1" allowOverlap="1">
            <wp:simplePos x="0" y="0"/>
            <wp:positionH relativeFrom="margin">
              <wp:align>left</wp:align>
            </wp:positionH>
            <wp:positionV relativeFrom="paragraph">
              <wp:posOffset>15240</wp:posOffset>
            </wp:positionV>
            <wp:extent cx="5505450" cy="4074795"/>
            <wp:effectExtent l="19050" t="19050" r="19050" b="20955"/>
            <wp:wrapTopAndBottom/>
            <wp:docPr id="79" name="Bildobjekt 79"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karta&#10;&#10;Automatiskt genererad beskrivning"/>
                    <pic:cNvPicPr/>
                  </pic:nvPicPr>
                  <pic:blipFill dpi="0">
                    <a:blip xmlns:r="http://schemas.openxmlformats.org/officeDocument/2006/relationships" r:embed="Relimage1"/>
                    <a:srcRect/>
                    <a:stretch>
                      <a:fillRect/>
                    </a:stretch>
                  </pic:blipFill>
                  <pic:spPr>
                    <a:xfrm>
                      <a:off x="0" y="0"/>
                      <a:ext cx="5516097" cy="4083074"/>
                    </a:xfrm>
                    <a:prstGeom prst="rect"/>
                    <a:ln>
                      <a:solidFill>
                        <a:schemeClr val="tx1"/>
                      </a:solidFill>
                    </a:ln>
                  </pic:spPr>
                </pic:pic>
              </a:graphicData>
            </a:graphic>
          </wp:anchor>
        </w:drawing>
      </w:r>
    </w:p>
    <w:p>
      <w:pPr>
        <w:pStyle w:val="P14"/>
      </w:pPr>
      <w:r>
        <w:rPr>
          <w:b w:val="1"/>
          <w:bCs w:val="1"/>
        </w:rPr>
        <w:t>Gestaltningsprogram</w:t>
      </w:r>
      <w:r>
        <w:br w:type="textWrapping"/>
        <w:t xml:space="preserve">För planområdet har ett gestaltningsprogram tagits fram för att tydligt visualisera och använda sig av de förutsättningar som finns på platsen. </w:t>
      </w:r>
    </w:p>
    <w:p>
      <w:pPr>
        <w:pStyle w:val="P14"/>
      </w:pPr>
      <w:r>
        <w:t>I området planeras cirka 5000 kistgravar, ett urngravfält om ca 2 500 m</w:t>
      </w:r>
      <w:r>
        <w:rPr>
          <w:vertAlign w:val="superscript"/>
        </w:rPr>
        <w:t>2</w:t>
      </w:r>
      <w:r>
        <w:t xml:space="preserve"> samt en minneslund om cirka 700 m</w:t>
      </w:r>
      <w:r>
        <w:rPr>
          <w:vertAlign w:val="superscript"/>
        </w:rPr>
        <w:t>2</w:t>
      </w:r>
      <w:r>
        <w:t>.</w:t>
      </w:r>
    </w:p>
    <w:p>
      <w:pPr>
        <w:pStyle w:val="P14"/>
      </w:pPr>
      <w:r>
        <w:t>I det gestaltningsprogram (</w:t>
      </w:r>
      <w:r>
        <w:rPr>
          <w:i w:val="1"/>
          <w:iCs w:val="1"/>
        </w:rPr>
        <w:t>Gestaltningsprogram Kiruna skogskyrkogård, OSA 2022</w:t>
      </w:r>
      <w:r>
        <w:t>) som tagits fram för området beskrivs tydligt vilka funktioner som krävs. Här behövs förutom de ovannämnda byggnationerna och funktionerna också personalutrymmen, maskinhallar och förråd. Programmet beskriver tydligt vilka funktioner som behöver ersättas och hur dessa kan placeras.</w:t>
      </w:r>
    </w:p>
    <w:p>
      <w:pPr>
        <w:pStyle w:val="P14"/>
      </w:pPr>
    </w:p>
    <w:p>
      <w:pPr>
        <w:pStyle w:val="P14"/>
      </w:pPr>
    </w:p>
    <w:p>
      <w:pPr>
        <w:pStyle w:val="P14"/>
      </w:pPr>
    </w:p>
    <w:p>
      <w:pPr>
        <w:pStyle w:val="P14"/>
      </w:pPr>
    </w:p>
    <w:p>
      <w:pPr>
        <w:pStyle w:val="P14"/>
      </w:pPr>
    </w:p>
    <w:p>
      <w:pPr>
        <w:pStyle w:val="P14"/>
      </w:pPr>
    </w:p>
    <w:p>
      <w:pPr>
        <w:pStyle w:val="P14"/>
      </w:pPr>
    </w:p>
    <w:p>
      <w:pPr>
        <w:pStyle w:val="P14"/>
      </w:pPr>
    </w:p>
    <w:p>
      <w:pPr>
        <w:pStyle w:val="P14"/>
      </w:pPr>
      <w:r>
        <w:rPr>
          <w:noProof w:val="1"/>
        </w:rPr>
        <mc:AlternateContent>
          <mc:Choice Requires="wpg">
            <w:drawing>
              <wp:anchor xmlns:wp="http://schemas.openxmlformats.org/drawingml/2006/wordprocessingDrawing" distT="0" distB="0" distL="114300" distR="114300" simplePos="0" relativeHeight="8" behindDoc="0" locked="0" layoutInCell="1" allowOverlap="1">
                <wp:simplePos x="0" y="0"/>
                <wp:positionH relativeFrom="column">
                  <wp:posOffset>327660</wp:posOffset>
                </wp:positionH>
                <wp:positionV relativeFrom="paragraph">
                  <wp:posOffset>57150</wp:posOffset>
                </wp:positionV>
                <wp:extent cx="6134100" cy="6086475"/>
                <wp:effectExtent l="19050" t="57150" r="95250" b="28575"/>
                <wp:wrapTopAndBottom/>
                <wp:docPr id="26" name="Grupp 26"/>
                <wp:cNvGraphicFramePr/>
                <a:graphic xmlns:a="http://schemas.openxmlformats.org/drawingml/2006/main">
                  <a:graphicData uri="http://schemas.microsoft.com/office/word/2010/wordprocessingGroup">
                    <wpg:wgp>
                      <wpg:cNvGrpSpPr/>
                      <wpg:grpSpPr>
                        <a:xfrm>
                          <a:off x="0" y="0"/>
                          <a:ext cx="6134100" cy="6086475"/>
                          <a:chOff x="0" y="0"/>
                          <a:chExt cx="6134100" cy="6086475"/>
                        </a:xfrm>
                      </wpg:grpSpPr>
                      <wpg:grpSp>
                        <wpg:cNvPr id="2" name="Grupp 2"/>
                        <wpg:cNvGrpSpPr/>
                        <wpg:grpSpPr>
                          <a:xfrm>
                            <a:off x="0" y="276225"/>
                            <a:ext cx="5838825" cy="5810250"/>
                            <a:chOff x="0" y="0"/>
                            <a:chExt cx="5838825" cy="5810250"/>
                          </a:xfrm>
                        </wpg:grpSpPr>
                        <pic:pic xmlns:pic="http://schemas.openxmlformats.org/drawingml/2006/picture">
                          <pic:nvPicPr>
                            <pic:cNvPr id="216" name="Bildobjekt 216"/>
                            <pic:cNvPicPr>
                              <a:picLocks noChangeAspect="1"/>
                            </pic:cNvPicPr>
                          </pic:nvPicPr>
                          <pic:blipFill dpi="0">
                            <a:blip xmlns:r="http://schemas.openxmlformats.org/officeDocument/2006/relationships" r:embed="Relimage2"/>
                            <a:srcRect r="16901"/>
                            <a:stretch>
                              <a:fillRect/>
                            </a:stretch>
                          </pic:blipFill>
                          <pic:spPr bwMode="auto">
                            <a:xfrm>
                              <a:off x="0" y="876300"/>
                              <a:ext cx="5838825" cy="4933950"/>
                            </a:xfrm>
                            <a:prstGeom prst="rect"/>
                            <a:ln>
                              <a:solidFill>
                                <a:schemeClr val="tx1"/>
                              </a:solidFill>
                            </a:ln>
                          </pic:spPr>
                        </pic:pic>
                        <wps:wsp>
                          <wps:cNvPr id="218" name="Textruta 2"/>
                          <wps:cNvSpPr txBox="1">
                            <a:spLocks noChangeArrowheads="1"/>
                          </wps:cNvSpPr>
                          <wps:spPr bwMode="auto">
                            <a:xfrm>
                              <a:off x="142875" y="0"/>
                              <a:ext cx="2486660" cy="894714"/>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Georgia" w:hAnsi="Georgia"/>
                                    <w:i w:val="1"/>
                                    <w:iCs w:val="1"/>
                                    <w:sz w:val="22"/>
                                    <w:szCs w:val="22"/>
                                  </w:rPr>
                                </w:pPr>
                                <w:r>
                                  <w:rPr>
                                    <w:rFonts w:ascii="Georgia" w:hAnsi="Georgia"/>
                                    <w:i w:val="1"/>
                                    <w:iCs w:val="1"/>
                                    <w:sz w:val="22"/>
                                    <w:szCs w:val="22"/>
                                  </w:rPr>
                                  <w:t>Figur 2,</w:t>
                                </w:r>
                                <w:r>
                                  <w:rPr>
                                    <w:rFonts w:ascii="Georgia" w:hAnsi="Georgia"/>
                                    <w:i w:val="1"/>
                                    <w:iCs w:val="1"/>
                                    <w:color w:val="FF0000"/>
                                    <w:sz w:val="22"/>
                                    <w:szCs w:val="22"/>
                                  </w:rPr>
                                  <w:t xml:space="preserve"> </w:t>
                                </w:r>
                                <w:r>
                                  <w:rPr>
                                    <w:rFonts w:ascii="Georgia" w:hAnsi="Georgia"/>
                                    <w:i w:val="1"/>
                                    <w:iCs w:val="1"/>
                                    <w:sz w:val="22"/>
                                    <w:szCs w:val="22"/>
                                  </w:rPr>
                                  <w:t>Bilderna visar hur mycket yta som krävs för de olika bebyggelsetyperna och var dessa föreslås placeras. Källa: Outer Space Arkitekter</w:t>
                                </w:r>
                              </w:p>
                            </w:txbxContent>
                          </wps:txbx>
                          <wps:bodyPr rot="0" vert="horz" wrap="square" lIns="91440" tIns="45720" rIns="91440" bIns="45720" anchor="t" anchorCtr="0">
                            <a:spAutoFit/>
                          </wps:bodyPr>
                        </wps:wsp>
                      </wpg:grpSp>
                      <pic:pic xmlns:pic="http://schemas.openxmlformats.org/drawingml/2006/picture">
                        <pic:nvPicPr>
                          <pic:cNvPr id="215" name="Bildobjekt 215" descr="En bild som visar text&#10;&#10;Automatiskt genererad beskrivning"/>
                          <pic:cNvPicPr>
                            <a:picLocks noChangeAspect="1"/>
                          </pic:cNvPicPr>
                        </pic:nvPicPr>
                        <pic:blipFill dpi="0">
                          <a:blip xmlns:r="http://schemas.openxmlformats.org/officeDocument/2006/relationships" r:embed="Relimage3"/>
                          <a:srcRect l="8139" t="8836" r="8630" b="4417"/>
                          <a:stretch>
                            <a:fillRect/>
                          </a:stretch>
                        </pic:blipFill>
                        <pic:spPr bwMode="auto">
                          <a:xfrm>
                            <a:off x="2838450" y="0"/>
                            <a:ext cx="3295650" cy="2245360"/>
                          </a:xfrm>
                          <a:prstGeom prst="rect"/>
                          <a:ln>
                            <a:solidFill>
                              <a:schemeClr val="tx1"/>
                            </a:solidFill>
                          </a:ln>
                          <a:effectLst>
                            <a:outerShdw blurRad="50800" dist="38100" dir="2700000" algn="tl" rotWithShape="0">
                              <a:prstClr val="black">
                                <a:alpha val="40000"/>
                              </a:prstClr>
                            </a:outerShdw>
                          </a:effectLst>
                        </pic:spPr>
                      </pic:pic>
                    </wpg:wgp>
                  </a:graphicData>
                </a:graphic>
              </wp:anchor>
            </w:drawing>
          </mc:Choice>
          <mc:Fallback>
            <w:pict>
              <v:group xmlns:o="urn:schemas-microsoft-com:office:office" id="Grupp 26" style="position:absolute;width:483pt;height:479.25pt;z-index:8;mso-wrap-distance-left:9pt;mso-wrap-distance-top:0pt;mso-wrap-distance-right:9pt;mso-wrap-distance-bottom:0pt;margin-left:25.8pt;margin-top:4.5pt;mso-position-horizontal:absolute;mso-position-horizontal-relative:text;mso-position-vertical:absolute;mso-position-vertical-relative:text" coordorigin="0,0" coordsize="6134100,6086475" o:allowincell="t">
                <v:group id="Grupp 2" style="position:absolute;top:276225;width:5838825;height:5810250" coordorigin="0,0" coordsize="5838825,5810250" o:allowincell="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216" o:spid="_x0000_s1033" type="#_x0000_t75" style="position:absolute;top:876300;width:5838825;height:4933950" o:preferrelative="t" strokecolor="#000000" stroked="t" o:allowincell="t">
                    <v:imagedata src="Relimage2" o:title="" croptop="0f" cropbottom="0f" cropleft="0f" cropright="11076f"/>
                    <w10:wrap type="topAndBottom"/>
                    <o:lock aspectratio="t"/>
                  </v:shape>
                  <v:shape type="#_x0000_t202" id="Textruta 2" o:spid="_x0000_s1034" style="position:absolute;left:142875;width:2486660;height:894713" o:allowincell="t" filled="f" strokeweight="0.75pt" stroked="f">
                    <v:textbox style="mso-fit-shape-to-text:t" inset="3mm,1mm,3mm,1mm">
                      <w:txbxContent>
                        <w:p>
                          <w:pPr>
                            <w:rPr>
                              <w:rFonts w:ascii="Georgia" w:hAnsi="Georgia"/>
                              <w:i w:val="1"/>
                              <w:iCs w:val="1"/>
                              <w:sz w:val="22"/>
                              <w:szCs w:val="22"/>
                            </w:rPr>
                          </w:pPr>
                          <w:r>
                            <w:rPr>
                              <w:rFonts w:ascii="Georgia" w:hAnsi="Georgia"/>
                              <w:i w:val="1"/>
                              <w:iCs w:val="1"/>
                              <w:sz w:val="22"/>
                              <w:szCs w:val="22"/>
                            </w:rPr>
                            <w:t>Figur 2,</w:t>
                          </w:r>
                          <w:r>
                            <w:rPr>
                              <w:rFonts w:ascii="Georgia" w:hAnsi="Georgia"/>
                              <w:i w:val="1"/>
                              <w:iCs w:val="1"/>
                              <w:color w:val="FF0000"/>
                              <w:sz w:val="22"/>
                              <w:szCs w:val="22"/>
                            </w:rPr>
                            <w:t xml:space="preserve"> </w:t>
                          </w:r>
                          <w:r>
                            <w:rPr>
                              <w:rFonts w:ascii="Georgia" w:hAnsi="Georgia"/>
                              <w:i w:val="1"/>
                              <w:iCs w:val="1"/>
                              <w:sz w:val="22"/>
                              <w:szCs w:val="22"/>
                            </w:rPr>
                            <w:t>Bilderna visar hur mycket yta som krävs för de olika bebyggelsetyperna och var dessa föreslås placeras. Källa: Outer Space Arkitekter</w:t>
                          </w:r>
                        </w:p>
                      </w:txbxContent>
                    </v:textbox>
                    <w10:wrap type="topAndBottom"/>
                  </v:shape>
                </v:group>
                <v:shape id="Bildobjekt 215" o:spid="_x0000_s1035" type="#_x0000_t75" alt="En bild som visar text&#10;&#10;Automatiskt genererad beskrivning" style="position:absolute;left:2838450;width:3295650;height:2245360" o:preferrelative="t" strokecolor="#000000" stroked="t" o:allowincell="t">
                  <v:imagedata src="Relimage3" o:title="" croptop="5791f" cropbottom="2895f" cropleft="5334f" cropright="5656f"/>
                  <w10:wrap type="topAndBottom"/>
                  <o:lock aspectratio="t"/>
                </v:shape>
              </v:group>
            </w:pict>
          </mc:Fallback>
        </mc:AlternateContent>
      </w:r>
      <w:r>
        <w:t>Samtliga byggnader kommer att placeras i området sydvästra del. Det området har bedömts som lämpligast för bebyggelse.</w:t>
      </w:r>
    </w:p>
    <w:p>
      <w:pPr>
        <w:pStyle w:val="P14"/>
      </w:pPr>
      <w:r>
        <w:t>Den bebyggelse som ska uppföras i planområdets södra del är:</w:t>
      </w:r>
    </w:p>
    <w:p>
      <w:pPr>
        <w:pStyle w:val="P14"/>
        <w:numPr>
          <w:ilvl w:val="0"/>
          <w:numId w:val="21"/>
        </w:numPr>
      </w:pPr>
      <w:r>
        <w:t>Krematorium</w:t>
      </w:r>
    </w:p>
    <w:p>
      <w:pPr>
        <w:pStyle w:val="P14"/>
        <w:numPr>
          <w:ilvl w:val="0"/>
          <w:numId w:val="21"/>
        </w:numPr>
      </w:pPr>
      <w:r>
        <w:t>Kapell</w:t>
      </w:r>
    </w:p>
    <w:p>
      <w:pPr>
        <w:pStyle w:val="P14"/>
        <w:numPr>
          <w:ilvl w:val="0"/>
          <w:numId w:val="21"/>
        </w:numPr>
      </w:pPr>
      <w:r>
        <w:t>Kolumbarium</w:t>
      </w:r>
    </w:p>
    <w:p>
      <w:pPr>
        <w:pStyle w:val="P14"/>
        <w:numPr>
          <w:ilvl w:val="0"/>
          <w:numId w:val="21"/>
        </w:numPr>
      </w:pPr>
      <w:r>
        <w:t>Maskinhall</w:t>
      </w:r>
    </w:p>
    <w:p>
      <w:pPr>
        <w:pStyle w:val="P14"/>
        <w:numPr>
          <w:ilvl w:val="0"/>
          <w:numId w:val="21"/>
        </w:numPr>
      </w:pPr>
      <w:r>
        <w:t>Förråd för jord</w:t>
      </w:r>
    </w:p>
    <w:p>
      <w:pPr>
        <w:pStyle w:val="P14"/>
        <w:numPr>
          <w:ilvl w:val="0"/>
          <w:numId w:val="21"/>
        </w:numPr>
      </w:pPr>
      <w:r>
        <w:t>Personalutrymmen med dusch</w:t>
      </w:r>
    </w:p>
    <w:p>
      <w:pPr>
        <w:pStyle w:val="P14"/>
      </w:pPr>
      <w:r>
        <w:t>Byggnaderna kommer att hållas låglänta. Tanken är att byggnaderna hålls i ett plan av arbetsmiljöskäl och tillgänglighet. Hur byggnaderna ska utformas är i dagsläget inte klart.</w:t>
      </w:r>
    </w:p>
    <w:p>
      <w:pPr>
        <w:pStyle w:val="P14"/>
      </w:pPr>
      <w:r>
        <w:t>På begravningsplatsen finns också möjlighet att använda sig av de utsmyckningar som finns i och utanför dagens kolumbarium och minneslund.</w:t>
      </w:r>
    </w:p>
    <w:p>
      <w:pPr>
        <w:pStyle w:val="P14"/>
      </w:pPr>
      <w:r>
        <w:t>Viktigt är att den, eller eventuellt de, bullervallar som anläggs inom planområdet bekläs med växtlighet.</w:t>
      </w:r>
      <w:bookmarkEnd w:id="5"/>
      <w:r>
        <w:br w:type="textWrapping"/>
      </w:r>
    </w:p>
    <w:p>
      <w:pPr>
        <w:pStyle w:val="P15"/>
      </w:pPr>
      <w:bookmarkStart w:id="6" w:name="_Toc143176869"/>
      <w:r>
        <w:t>Genomförandetid</w:t>
      </w:r>
      <w:bookmarkEnd w:id="6"/>
      <w:r>
        <w:t xml:space="preserve"> </w:t>
      </w:r>
    </w:p>
    <w:p>
      <w:pPr>
        <w:pStyle w:val="P14"/>
      </w:pPr>
      <w:bookmarkStart w:id="7" w:name="be_genomförandetid01"/>
      <w:r>
        <w:t>Genomförandetiden för hela planområdet är 15 år från att detaljplanen vunnit laga kraft. En kyrkogård är avsedd att användas en mycket lång tid framöver, en evighet, och därför sätts längsta möjliga genomförandetid.</w:t>
        <w:br w:type="textWrapping"/>
      </w:r>
      <w:bookmarkEnd w:id="7"/>
    </w:p>
    <w:p>
      <w:pPr>
        <w:pStyle w:val="P15"/>
      </w:pPr>
      <w:bookmarkStart w:id="8" w:name="_Toc143176870"/>
      <w:r>
        <w:t>Allmän plats</w:t>
      </w:r>
      <w:bookmarkEnd w:id="8"/>
    </w:p>
    <w:p>
      <w:pPr>
        <w:pStyle w:val="P14"/>
      </w:pPr>
      <w:bookmarkStart w:id="9" w:name="be_huvudmannaskap01"/>
      <w:r>
        <w:t>Inom planområdet finns en väg. Denna kommer att ha enskilt huvudmannaskap (</w:t>
      </w:r>
      <w:r>
        <w:rPr>
          <w:b w:val="1"/>
          <w:bCs w:val="1"/>
        </w:rPr>
        <w:t>a</w:t>
      </w:r>
      <w:r>
        <w:rPr>
          <w:b w:val="1"/>
          <w:bCs w:val="1"/>
          <w:vertAlign w:val="subscript"/>
        </w:rPr>
        <w:t>3</w:t>
      </w:r>
      <w:r>
        <w:t>).</w:t>
      </w:r>
      <w:bookmarkEnd w:id="9"/>
      <w:r>
        <w:br w:type="textWrapping"/>
      </w:r>
    </w:p>
    <w:p>
      <w:pPr>
        <w:pStyle w:val="P15"/>
      </w:pPr>
      <w:bookmarkStart w:id="10" w:name="_Toc143176871"/>
      <w:r>
        <w:t>Kvartersmark</w:t>
      </w:r>
      <w:bookmarkEnd w:id="10"/>
    </w:p>
    <w:p>
      <w:pPr>
        <w:pStyle w:val="P14"/>
      </w:pPr>
      <w:bookmarkStart w:id="11" w:name="be_kvartersmark01"/>
      <w:r>
        <w:t>I planområdets norra delar finns möjlighet att uppföra mindre byggnader för områdets funktion exempelvis små redskapsskjul där vattenkannor och trädgårdsredskap kan förvaras eller stigportar vid entréerna (kryssmark). Högsta totalhöjd för dessa byggnader är 4 meter (</w:t>
      </w:r>
      <w:r>
        <w:rPr>
          <w:b w:val="1"/>
          <w:bCs w:val="1"/>
        </w:rPr>
        <w:t>h2</w:t>
      </w:r>
      <w:r>
        <w:t>).</w:t>
      </w:r>
    </w:p>
    <w:p>
      <w:pPr>
        <w:pStyle w:val="P14"/>
      </w:pPr>
      <w:r>
        <w:t>I hela området finns möjlighet att uppföra tekniska anläggningar (E) för verksamhetens försörjningsbehov av el, opto och eventuella pumpanläggningar. Dessa byggnader får maximalt uppgå till 150 m</w:t>
      </w:r>
      <w:r>
        <w:rPr>
          <w:vertAlign w:val="superscript"/>
        </w:rPr>
        <w:t>2</w:t>
      </w:r>
      <w:r>
        <w:t xml:space="preserve"> för varje enskild byggnad och uppgå till en totalhöjd om maximalt 4 meter.</w:t>
      </w:r>
    </w:p>
    <w:p>
      <w:pPr>
        <w:pStyle w:val="P14"/>
      </w:pPr>
      <w:r>
        <w:t>För att trygga tillgången till dagvattendiket har prickmark lagts ut och en bestämmelse så att detta kan fastighetsreglerars som servitut lagts in på plankartan (</w:t>
      </w:r>
      <w:r>
        <w:rPr>
          <w:b w:val="1"/>
          <w:bCs w:val="1"/>
        </w:rPr>
        <w:t>a</w:t>
      </w:r>
      <w:r>
        <w:rPr>
          <w:b w:val="1"/>
          <w:bCs w:val="1"/>
          <w:vertAlign w:val="subscript"/>
        </w:rPr>
        <w:t>2</w:t>
      </w:r>
      <w:r>
        <w:t>).</w:t>
      </w:r>
    </w:p>
    <w:p>
      <w:pPr>
        <w:pStyle w:val="P14"/>
      </w:pPr>
      <w:r>
        <w:t>Planen har också reglerats så att marklov inte krävs (</w:t>
      </w:r>
      <w:r>
        <w:rPr>
          <w:b w:val="1"/>
          <w:bCs w:val="1"/>
        </w:rPr>
        <w:t>a</w:t>
      </w:r>
      <w:r>
        <w:rPr>
          <w:b w:val="1"/>
          <w:bCs w:val="1"/>
          <w:vertAlign w:val="subscript"/>
        </w:rPr>
        <w:t>1</w:t>
      </w:r>
      <w:r>
        <w:t>) för att schakta och fylla för gravplatser då stora delar av området måste schaktas och fyllas med ny jord, samt ligga i träda, innan jordfästning kan ske.</w:t>
      </w:r>
    </w:p>
    <w:p>
      <w:pPr>
        <w:pStyle w:val="P14"/>
      </w:pPr>
      <w:r>
        <w:t>Byggnader får inte uppföras till en högre totalhöjd om maximalt 15 m (</w:t>
      </w:r>
      <w:r>
        <w:rPr>
          <w:b w:val="1"/>
          <w:bCs w:val="1"/>
        </w:rPr>
        <w:t>h</w:t>
      </w:r>
      <w:r>
        <w:rPr>
          <w:b w:val="1"/>
          <w:bCs w:val="1"/>
          <w:vertAlign w:val="subscript"/>
        </w:rPr>
        <w:t>1</w:t>
      </w:r>
      <w:r>
        <w:t>). Största sammanlagda byggnadsarean är satt till 2500 m</w:t>
      </w:r>
      <w:r>
        <w:rPr>
          <w:vertAlign w:val="superscript"/>
        </w:rPr>
        <w:t>2</w:t>
      </w:r>
      <w:r>
        <w:t xml:space="preserve"> (</w:t>
      </w:r>
      <w:r>
        <w:rPr>
          <w:b w:val="1"/>
          <w:bCs w:val="1"/>
        </w:rPr>
        <w:t>e</w:t>
      </w:r>
      <w:r>
        <w:rPr>
          <w:b w:val="1"/>
          <w:bCs w:val="1"/>
          <w:vertAlign w:val="subscript"/>
        </w:rPr>
        <w:t>1</w:t>
      </w:r>
      <w:r>
        <w:t>).</w:t>
      </w:r>
    </w:p>
    <w:p>
      <w:pPr>
        <w:pStyle w:val="P14"/>
      </w:pPr>
      <w:r>
        <w:t>Högsta marknivå har satts till 468 meter (</w:t>
      </w:r>
      <w:r>
        <w:rPr>
          <w:b w:val="1"/>
          <w:bCs w:val="1"/>
        </w:rPr>
        <w:t>n</w:t>
      </w:r>
      <w:r>
        <w:rPr>
          <w:b w:val="1"/>
          <w:bCs w:val="1"/>
          <w:vertAlign w:val="subscript"/>
        </w:rPr>
        <w:t>2</w:t>
      </w:r>
      <w:r>
        <w:t>). Detta innebär dock inte att all mark inom området kommer att ha den nivån. Meningen är att de marknivåer som finns idag återskapas eller behålls i mest möjliga mån.</w:t>
      </w:r>
    </w:p>
    <w:p>
      <w:pPr>
        <w:pStyle w:val="P14"/>
      </w:pPr>
      <w:r>
        <w:t>En planbestämmelse om vall har lagts in som skydd mot transporter med farligt gods liksom buller. Vallen är belägen i planområdets södra delen och ska vara 3,5 meter högre än den närbelägna vägen och omgivande mark.</w:t>
      </w:r>
    </w:p>
    <w:p>
      <w:pPr>
        <w:pStyle w:val="P14"/>
      </w:pPr>
      <w:bookmarkEnd w:id="11"/>
    </w:p>
    <w:p>
      <w:pPr>
        <w:pStyle w:val="P14"/>
      </w:pPr>
    </w:p>
    <w:p>
      <w:pPr>
        <w:pStyle w:val="P14"/>
      </w:pPr>
    </w:p>
    <w:p>
      <w:pPr>
        <w:pStyle w:val="P14"/>
      </w:pPr>
      <w:r>
        <w:rPr>
          <w:noProof w:val="1"/>
        </w:rPr>
        <w:drawing>
          <wp:anchor xmlns:wp="http://schemas.openxmlformats.org/drawingml/2006/wordprocessingDrawing" distT="0" distB="0" distL="114300" distR="114300" simplePos="0" relativeHeight="58" behindDoc="0" locked="0" layoutInCell="1" allowOverlap="1">
            <wp:simplePos x="0" y="0"/>
            <wp:positionH relativeFrom="margin">
              <wp:align>left</wp:align>
            </wp:positionH>
            <wp:positionV relativeFrom="paragraph">
              <wp:posOffset>0</wp:posOffset>
            </wp:positionV>
            <wp:extent cx="5438775" cy="5139690"/>
            <wp:effectExtent l="0" t="0" r="9525" b="3810"/>
            <wp:wrapTopAndBottom/>
            <wp:docPr id="1135270703" name="Bildobjekt 1" descr="En bild som visar text, skärmbild, dokument, meny&#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270703" name="Bildobjekt 1" descr="En bild som visar text, skärmbild, dokument, meny&#10;&#10;Automatiskt genererad beskrivning"/>
                    <pic:cNvPicPr/>
                  </pic:nvPicPr>
                  <pic:blipFill dpi="0">
                    <a:blip xmlns:r="http://schemas.openxmlformats.org/officeDocument/2006/relationships" r:embed="Relimage4"/>
                    <a:srcRect/>
                    <a:stretch>
                      <a:fillRect/>
                    </a:stretch>
                  </pic:blipFill>
                  <pic:spPr>
                    <a:xfrm>
                      <a:off x="0" y="0"/>
                      <a:ext cx="5438775" cy="5139690"/>
                    </a:xfrm>
                    <a:prstGeom prst="rect"/>
                  </pic:spPr>
                </pic:pic>
              </a:graphicData>
            </a:graphic>
          </wp:anchor>
        </w:drawing>
      </w:r>
    </w:p>
    <w:p>
      <w:pPr>
        <w:pStyle w:val="P15"/>
      </w:pPr>
      <w:bookmarkStart w:id="12" w:name="_Toc143176872"/>
      <w:r>
        <w:t>Vattenområde</w:t>
      </w:r>
      <w:bookmarkEnd w:id="12"/>
    </w:p>
    <w:p>
      <w:pPr>
        <w:pStyle w:val="P14"/>
      </w:pPr>
      <w:bookmarkStart w:id="13" w:name="be_vattenområde01"/>
      <w:r>
        <w:t>Inom planområdet finns ett djupt dike som är vattenfyllt. Detta inlemmas i gestaltningen av detaljplan och ska vid genomförandet förses med bro och användas som ett stilla inslag i detaljplanen.</w:t>
        <w:br w:type="textWrapping"/>
      </w:r>
      <w:bookmarkEnd w:id="13"/>
    </w:p>
    <w:p>
      <w:pPr>
        <w:pStyle w:val="P15"/>
      </w:pPr>
      <w:bookmarkStart w:id="14" w:name="_Toc143176873"/>
      <w:r>
        <w:t>Befintligt</w:t>
      </w:r>
      <w:bookmarkEnd w:id="14"/>
    </w:p>
    <w:p>
      <w:pPr>
        <w:pStyle w:val="P14"/>
      </w:pPr>
      <w:bookmarkStart w:id="15" w:name="be_befintligt01"/>
      <w:r>
        <w:t>Området är beläget i en nordsluttning norr om väg E 10 och Kiruna nya centrum. Platsen är idag en skogsbacke som sluttar ner mot myrmark, Tuollujänkä, i norr. Planområdet är sedan tidigare till största delen oexploaterat förutom ett dike, som kan liknas vid en bäck, belägen i planområdets östra del. Området avgränsas i väster av en skoterled mot den närbelägna avfallsanläggningen.</w:t>
      </w:r>
    </w:p>
    <w:p>
      <w:pPr>
        <w:pStyle w:val="P14"/>
      </w:pPr>
      <w:r>
        <w:t>De oexploaterade delarna utgörs i huvudsak av blandskog som domineras av gran och tall. Terrängen utgörs av skogsmark med låg förekomst av synliga ytblock.</w:t>
      </w:r>
    </w:p>
    <w:p>
      <w:pPr>
        <w:pStyle w:val="P14"/>
      </w:pPr>
      <w:r>
        <w:t>Planområdet omfattar bågskyttebanans nuvarande placering samt en väg som leder fram till intilliggande golfbanan. I nordost finns en avfallsanläggning som ska omformas och byggas in på sikt, och i stället användas som en kretsloppsanläggning.</w:t>
      </w:r>
    </w:p>
    <w:p>
      <w:pPr>
        <w:pStyle w:val="P14"/>
      </w:pPr>
      <w:r>
        <w:t>Bågskyttebanan kommer att flyttas till en annan placering då marken tas i anspråk för genomförandet av detaljplanen.</w:t>
      </w:r>
    </w:p>
    <w:p>
      <w:pPr>
        <w:pStyle w:val="P14"/>
      </w:pPr>
      <w:r>
        <w:t>Inom området finns också ett antal skyddsvärda träd. Dessa har inte givits ett särskilt skydd i detaljplanen då dessa kommer att användas i gestaltningen av kyrkogården.</w:t>
      </w:r>
    </w:p>
    <w:p>
      <w:pPr>
        <w:pStyle w:val="P14"/>
      </w:pPr>
      <w:r>
        <w:rPr>
          <w:noProof w:val="1"/>
          <w:lang w:eastAsia="sv-SE"/>
        </w:rPr>
        <w:drawing>
          <wp:anchor xmlns:wp="http://schemas.openxmlformats.org/drawingml/2006/wordprocessingDrawing" distT="0" distB="0" distL="114300" distR="114300" simplePos="0" relativeHeight="1" behindDoc="0" locked="0" layoutInCell="1" allowOverlap="1">
            <wp:simplePos x="0" y="0"/>
            <wp:positionH relativeFrom="margin">
              <wp:posOffset>0</wp:posOffset>
            </wp:positionH>
            <wp:positionV relativeFrom="paragraph">
              <wp:posOffset>314325</wp:posOffset>
            </wp:positionV>
            <wp:extent cx="5396230" cy="3717925"/>
            <wp:effectExtent l="19050" t="19050" r="13970" b="15875"/>
            <wp:wrapTopAndBottom/>
            <wp:docPr id="29" name="Bildobjekt 29"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objekt 29" descr="En bild som visar karta&#10;&#10;Automatiskt genererad beskrivning"/>
                    <pic:cNvPicPr/>
                  </pic:nvPicPr>
                  <pic:blipFill dpi="0">
                    <a:blip xmlns:r="http://schemas.openxmlformats.org/officeDocument/2006/relationships" r:embed="Relimage5"/>
                    <a:srcRect/>
                    <a:stretch>
                      <a:fillRect/>
                    </a:stretch>
                  </pic:blipFill>
                  <pic:spPr>
                    <a:xfrm>
                      <a:off x="0" y="0"/>
                      <a:ext cx="5396230" cy="3717925"/>
                    </a:xfrm>
                    <a:prstGeom prst="rect"/>
                    <a:ln>
                      <a:solidFill>
                        <a:schemeClr val="tx1"/>
                      </a:solidFill>
                    </a:ln>
                  </pic:spPr>
                </pic:pic>
              </a:graphicData>
            </a:graphic>
          </wp:anchor>
        </w:drawing>
      </w:r>
    </w:p>
    <w:p>
      <w:pPr>
        <w:rPr>
          <w:rFonts w:ascii="Georgia" w:hAnsi="Georgia"/>
          <w:i w:val="1"/>
          <w:iCs w:val="1"/>
          <w:sz w:val="22"/>
          <w:szCs w:val="22"/>
        </w:rPr>
      </w:pPr>
      <w:r>
        <w:rPr>
          <w:rFonts w:ascii="Georgia" w:hAnsi="Georgia"/>
          <w:i w:val="1"/>
          <w:iCs w:val="1"/>
          <w:sz w:val="22"/>
          <w:szCs w:val="22"/>
        </w:rPr>
        <w:t>Figur 3, Förekomster av skyddsvärda träd. Bilden visar planområdets tidigare utbredning, där nuvarande inventering genomförts (Naturvärdesinventering, Kiruna, Afry 2021-08-16).</w:t>
      </w:r>
    </w:p>
    <w:p>
      <w:pPr>
        <w:rPr>
          <w:rFonts w:ascii="Georgia" w:hAnsi="Georgia"/>
          <w:i w:val="1"/>
          <w:iCs w:val="1"/>
          <w:sz w:val="22"/>
          <w:szCs w:val="22"/>
        </w:rPr>
      </w:pPr>
    </w:p>
    <w:p>
      <w:pPr>
        <w:rPr>
          <w:rFonts w:ascii="Georgia" w:hAnsi="Georgia"/>
          <w:b w:val="1"/>
          <w:sz w:val="22"/>
          <w:szCs w:val="22"/>
        </w:rPr>
      </w:pPr>
      <w:r>
        <w:rPr>
          <w:rFonts w:ascii="Georgia" w:hAnsi="Georgia"/>
          <w:sz w:val="22"/>
          <w:szCs w:val="22"/>
        </w:rPr>
        <w:t>Här finns också en bläckning som belagts med skydd i detaljplanen.</w:t>
      </w:r>
      <w:bookmarkEnd w:id="15"/>
    </w:p>
    <w:p>
      <w:pPr>
        <w:pStyle w:val="P15"/>
        <w:numPr>
          <w:ilvl w:val="0"/>
          <w:numId w:val="0"/>
        </w:numPr>
        <w:ind w:firstLine="0" w:left="576"/>
      </w:pPr>
    </w:p>
    <w:p>
      <w:pPr>
        <w:pStyle w:val="P15"/>
      </w:pPr>
      <w:bookmarkStart w:id="16" w:name="_Toc143176874"/>
      <w:r>
        <w:t>Ärendeinformation</w:t>
      </w:r>
      <w:bookmarkEnd w:id="16"/>
    </w:p>
    <w:p>
      <w:pPr>
        <w:pStyle w:val="P14"/>
      </w:pPr>
      <w:bookmarkStart w:id="17" w:name="be_ärendeinformation01"/>
      <w:r>
        <w:t>Kommunstyrelsen beslutade 2020-12-07 § 337 att ge positivt planbesked för området och ge stadsbyggnadsavdelningen i uppgift att påbörja detaljplanearbetet. Samtidigt fattades beslut om att frångå den fördjupade översiktsplanen för Kiruna C, antagen 2014, och den kommunövergripande översiktsplanen, antagen 2018 samt att detaljplanen ska upprättas med utökat planförfarande.</w:t>
      </w:r>
    </w:p>
    <w:p>
      <w:pPr>
        <w:pStyle w:val="P14"/>
      </w:pPr>
      <w:r>
        <w:t>Som framgår av sidhuvudet i denna planbeskrivning så är ärendets uppgifter följande:</w:t>
      </w:r>
    </w:p>
    <w:p>
      <w:pPr>
        <w:pStyle w:val="P14"/>
      </w:pPr>
      <w:r>
        <w:t>Kommunens namn: Kiruna</w:t>
      </w:r>
    </w:p>
    <w:p>
      <w:pPr>
        <w:pStyle w:val="P14"/>
      </w:pPr>
      <w:r>
        <w:t>Detaljplanens namn: Detaljplan för del av Kiruna 1:1 och del av Kiruna 1:173, krematorium, begravningsplats</w:t>
      </w:r>
    </w:p>
    <w:p>
      <w:pPr>
        <w:pStyle w:val="P14"/>
      </w:pPr>
      <w:r>
        <w:t>Diarienummer: 2021–00002</w:t>
      </w:r>
    </w:p>
    <w:p>
      <w:pPr>
        <w:pStyle w:val="P14"/>
      </w:pPr>
      <w:r>
        <w:t xml:space="preserve">Datum för påbörjande: 2021-03-08 </w:t>
      </w:r>
    </w:p>
    <w:p>
      <w:pPr>
        <w:pStyle w:val="P14"/>
      </w:pPr>
      <w:r>
        <w:t xml:space="preserve">Laga kraftdatum: </w:t>
      </w:r>
      <w:r>
        <w:rPr>
          <w:rtl w:val="0"/>
          <w:lang w:val="sv-SE" w:bidi="sv-SE" w:eastAsia="sv-SE"/>
        </w:rPr>
        <w:t>2025-03-22</w:t>
      </w:r>
    </w:p>
    <w:p>
      <w:pPr>
        <w:pStyle w:val="P14"/>
      </w:pPr>
      <w:bookmarkEnd w:id="17"/>
    </w:p>
    <w:p>
      <w:pPr>
        <w:pStyle w:val="P13"/>
      </w:pPr>
      <w:bookmarkStart w:id="18" w:name="_Toc143176875"/>
      <w:r>
        <w:t>Motiv till detaljplanens regleringar</w:t>
      </w:r>
      <w:bookmarkEnd w:id="18"/>
    </w:p>
    <w:p>
      <w:pPr>
        <w:pStyle w:val="P15"/>
      </w:pPr>
      <w:bookmarkStart w:id="19" w:name="_Toc143176876"/>
      <w:r>
        <w:t>Motiv till reglering</w:t>
      </w:r>
      <w:bookmarkEnd w:id="19"/>
    </w:p>
    <w:p>
      <w:pPr>
        <w:pStyle w:val="P14"/>
      </w:pPr>
      <w:bookmarkStart w:id="20" w:name="mo_motivtillreglering01"/>
      <w:r>
        <w:t>På grund av den pågående stadsomvandlingen där delar av Kiruna centrum berörs av gruvans utbredning kommer nuvarande krematorium att rivas. Den nya placeringen blir inom planområdet. Samtidigt råder brist på gravplatser varför en ny begravningsplats behövs. Det är lämpligt att förlägga dessa två funktioner i samband med varandra då de hör ihop. Planområdet har bedömts lämplig för de två funktionerna liksom tillhörande verksamheter.</w:t>
      </w:r>
    </w:p>
    <w:tbl>
      <w:tblPr>
        <w:tblStyle w:val="T2"/>
        <w:tblW w:w="0" w:type="auto"/>
        <w:tblInd w:w="-5" w:type="dxa"/>
        <w:tblLook w:val="04A0"/>
      </w:tblPr>
      <w:tblGrid/>
      <w:tr>
        <w:tc>
          <w:tcPr>
            <w:tcW w:w="2523" w:type="dxa"/>
            <w:shd w:val="clear" w:color="auto" w:fill="D9D9D9" w:themeFill="background1" w:themeFillShade="D9"/>
          </w:tcPr>
          <w:p>
            <w:pPr>
              <w:pStyle w:val="P14"/>
            </w:pPr>
            <w:r>
              <w:t>Typ av bestämmelse</w:t>
            </w:r>
          </w:p>
        </w:tc>
        <w:tc>
          <w:tcPr>
            <w:tcW w:w="2405" w:type="dxa"/>
            <w:shd w:val="clear" w:color="auto" w:fill="D9D9D9" w:themeFill="background1" w:themeFillShade="D9"/>
          </w:tcPr>
          <w:p>
            <w:pPr>
              <w:pStyle w:val="P14"/>
            </w:pPr>
            <w:r>
              <w:t>Bestämmelse</w:t>
            </w:r>
          </w:p>
        </w:tc>
        <w:tc>
          <w:tcPr>
            <w:tcW w:w="4699" w:type="dxa"/>
            <w:shd w:val="clear" w:color="auto" w:fill="D9D9D9" w:themeFill="background1" w:themeFillShade="D9"/>
          </w:tcPr>
          <w:p>
            <w:pPr>
              <w:pStyle w:val="P14"/>
            </w:pPr>
            <w:r>
              <w:t>Motiv</w:t>
            </w:r>
          </w:p>
        </w:tc>
      </w:tr>
      <w:tr>
        <w:tc>
          <w:tcPr>
            <w:tcW w:w="2523" w:type="dxa"/>
          </w:tcPr>
          <w:p>
            <w:pPr>
              <w:pStyle w:val="P14"/>
            </w:pPr>
            <w:bookmarkStart w:id="21" w:name="_Hlk129845694" w:colFirst="0" w:colLast="2"/>
            <w:r>
              <w:t>Användning – Allmän plats</w:t>
            </w:r>
          </w:p>
        </w:tc>
        <w:tc>
          <w:tcPr>
            <w:tcW w:w="2405" w:type="dxa"/>
          </w:tcPr>
          <w:p>
            <w:pPr>
              <w:pStyle w:val="P14"/>
              <w:rPr>
                <w:vertAlign w:val="subscript"/>
              </w:rPr>
            </w:pPr>
            <w:r>
              <w:t>VÄG</w:t>
            </w:r>
          </w:p>
        </w:tc>
        <w:tc>
          <w:tcPr>
            <w:tcW w:w="4699" w:type="dxa"/>
          </w:tcPr>
          <w:p>
            <w:pPr>
              <w:pStyle w:val="P14"/>
            </w:pPr>
            <w:r>
              <w:t>Den befintliga enskilda vägen till området kommer att användas för åtkomst till det nya planområdet. Då planområdet och golfbanan kommer att vara huvudsakliga användare av vägen är det lämpligt att de har enskilt huvudmannaskapet.</w:t>
            </w:r>
          </w:p>
        </w:tc>
      </w:tr>
      <w:tr>
        <w:tc>
          <w:tcPr>
            <w:tcW w:w="2523" w:type="dxa"/>
          </w:tcPr>
          <w:p>
            <w:pPr>
              <w:pStyle w:val="P14"/>
            </w:pPr>
            <w:r>
              <w:t>Användning – Kvartersmark</w:t>
            </w:r>
          </w:p>
        </w:tc>
        <w:tc>
          <w:tcPr>
            <w:tcW w:w="2405" w:type="dxa"/>
          </w:tcPr>
          <w:p>
            <w:pPr>
              <w:pStyle w:val="P14"/>
            </w:pPr>
            <w:r>
              <w:rPr>
                <w:b w:val="1"/>
              </w:rPr>
              <w:t>M</w:t>
            </w:r>
            <w:r>
              <w:t xml:space="preserve"> - begravningsplats</w:t>
            </w:r>
          </w:p>
          <w:p>
            <w:pPr>
              <w:pStyle w:val="P14"/>
            </w:pPr>
          </w:p>
        </w:tc>
        <w:tc>
          <w:tcPr>
            <w:tcW w:w="4699" w:type="dxa"/>
          </w:tcPr>
          <w:p>
            <w:pPr>
              <w:pStyle w:val="P14"/>
            </w:pPr>
            <w:r>
              <w:t>Planområdets syfte är kunna användas för sitt ändamål som begravningsplats med tillhörande bebyggelse samt nytt krematorium.</w:t>
            </w:r>
          </w:p>
        </w:tc>
      </w:tr>
      <w:tr>
        <w:tc>
          <w:tcPr>
            <w:tcW w:w="2523" w:type="dxa"/>
          </w:tcPr>
          <w:p>
            <w:pPr>
              <w:pStyle w:val="P14"/>
            </w:pPr>
            <w:r>
              <w:t>Användning – Kvartersmark</w:t>
            </w:r>
          </w:p>
        </w:tc>
        <w:tc>
          <w:tcPr>
            <w:tcW w:w="2405" w:type="dxa"/>
          </w:tcPr>
          <w:p>
            <w:pPr>
              <w:pStyle w:val="P14"/>
            </w:pPr>
            <w:r>
              <w:rPr>
                <w:b w:val="1"/>
              </w:rPr>
              <w:t>E</w:t>
            </w:r>
            <w:r>
              <w:rPr>
                <w:b w:val="1"/>
                <w:vertAlign w:val="subscript"/>
              </w:rPr>
              <w:t>1 –</w:t>
            </w:r>
            <w:r>
              <w:t xml:space="preserve"> Tekniska anläggningar</w:t>
            </w:r>
          </w:p>
          <w:p>
            <w:pPr>
              <w:pStyle w:val="P14"/>
            </w:pPr>
          </w:p>
        </w:tc>
        <w:tc>
          <w:tcPr>
            <w:tcW w:w="4699" w:type="dxa"/>
          </w:tcPr>
          <w:p>
            <w:pPr>
              <w:pStyle w:val="P14"/>
            </w:pPr>
            <w:r>
              <w:t>För att området ska kunna användas till sina syften krävs tekniska anläggningar för el, optofiber och/ eller eventuella pumpstationer.</w:t>
            </w:r>
          </w:p>
        </w:tc>
      </w:tr>
      <w:tr>
        <w:tc>
          <w:tcPr>
            <w:tcW w:w="2523" w:type="dxa"/>
          </w:tcPr>
          <w:p>
            <w:pPr>
              <w:pStyle w:val="P14"/>
            </w:pPr>
            <w:r>
              <w:t>Användning - Kvartersmark</w:t>
            </w:r>
          </w:p>
        </w:tc>
        <w:tc>
          <w:tcPr>
            <w:tcW w:w="2405" w:type="dxa"/>
          </w:tcPr>
          <w:p>
            <w:pPr>
              <w:pStyle w:val="P14"/>
              <w:rPr>
                <w:b w:val="1"/>
              </w:rPr>
            </w:pPr>
            <w:r>
              <w:rPr>
                <w:b w:val="1"/>
              </w:rPr>
              <w:t>E</w:t>
            </w:r>
            <w:r>
              <w:rPr>
                <w:b w:val="1"/>
                <w:vertAlign w:val="subscript"/>
              </w:rPr>
              <w:t xml:space="preserve">2 </w:t>
            </w:r>
            <w:r>
              <w:rPr>
                <w:b w:val="1"/>
              </w:rPr>
              <w:t xml:space="preserve">– </w:t>
            </w:r>
            <w:r>
              <w:t>Dagvattenanläggning - Dagvattendammar får anläggas inom planområdet. Dagvattendike får överbyggas med broar.</w:t>
            </w:r>
          </w:p>
        </w:tc>
        <w:tc>
          <w:tcPr>
            <w:tcW w:w="4699" w:type="dxa"/>
          </w:tcPr>
          <w:p>
            <w:pPr>
              <w:pStyle w:val="P14"/>
            </w:pPr>
            <w:r>
              <w:t>Då ett antal dagvattendammar samt dagvattendike krävs för att klara kraven för dagvatten samt att utformning ska kunna genomföras behövs denna bestämmelse som förtydligande.</w:t>
            </w:r>
          </w:p>
        </w:tc>
      </w:tr>
      <w:tr>
        <w:tc>
          <w:tcPr>
            <w:tcW w:w="2523" w:type="dxa"/>
          </w:tcPr>
          <w:p>
            <w:pPr>
              <w:pStyle w:val="P14"/>
            </w:pPr>
            <w:r>
              <w:t>Egenskapsbestämmelse - kvartersmark</w:t>
            </w:r>
          </w:p>
        </w:tc>
        <w:tc>
          <w:tcPr>
            <w:tcW w:w="2405" w:type="dxa"/>
          </w:tcPr>
          <w:p>
            <w:pPr>
              <w:pStyle w:val="P14"/>
            </w:pPr>
            <w:r>
              <w:rPr>
                <w:b w:val="1"/>
              </w:rPr>
              <w:t>e</w:t>
            </w:r>
            <w:r>
              <w:rPr>
                <w:b w:val="1"/>
                <w:vertAlign w:val="subscript"/>
              </w:rPr>
              <w:t>1</w:t>
            </w:r>
            <w:r>
              <w:t xml:space="preserve"> – Största byggnadsarea är 2500, 0 m</w:t>
            </w:r>
            <w:r>
              <w:rPr>
                <w:vertAlign w:val="superscript"/>
              </w:rPr>
              <w:t>2</w:t>
            </w:r>
            <w:r>
              <w:t xml:space="preserve"> inom användningsområdet</w:t>
            </w:r>
          </w:p>
          <w:p>
            <w:pPr>
              <w:pStyle w:val="P14"/>
            </w:pPr>
          </w:p>
        </w:tc>
        <w:tc>
          <w:tcPr>
            <w:tcW w:w="4699" w:type="dxa"/>
          </w:tcPr>
          <w:p>
            <w:pPr>
              <w:pStyle w:val="P14"/>
            </w:pPr>
            <w:r>
              <w:t>För att bereda möjlighet för att uppföra krematorium, kapell, garage, redskapsskjul, tekniska anläggningar m m krävs en byggrätt. Den angivna byggrätten bedöms vara tillräckligt för de tillkommande byggnaderna.</w:t>
            </w:r>
          </w:p>
          <w:p>
            <w:pPr>
              <w:pStyle w:val="P14"/>
            </w:pPr>
          </w:p>
        </w:tc>
      </w:tr>
      <w:tr>
        <w:tc>
          <w:tcPr>
            <w:tcW w:w="2523" w:type="dxa"/>
          </w:tcPr>
          <w:p>
            <w:pPr>
              <w:pStyle w:val="P14"/>
            </w:pPr>
            <w:bookmarkEnd w:id="21"/>
            <w:r>
              <w:t>Egenskapsbestämmelse - kvartersmark</w:t>
            </w:r>
          </w:p>
        </w:tc>
        <w:tc>
          <w:tcPr>
            <w:tcW w:w="2405" w:type="dxa"/>
          </w:tcPr>
          <w:p>
            <w:pPr>
              <w:pStyle w:val="P14"/>
            </w:pPr>
            <w:r>
              <w:rPr>
                <w:b w:val="1"/>
              </w:rPr>
              <w:t>e</w:t>
            </w:r>
            <w:r>
              <w:rPr>
                <w:b w:val="1"/>
                <w:vertAlign w:val="subscript"/>
              </w:rPr>
              <w:t>1</w:t>
            </w:r>
            <w:r>
              <w:t xml:space="preserve"> – För tekniska anläggningar, t ex el, optofiber m m, får enskilda</w:t>
            </w:r>
          </w:p>
          <w:p>
            <w:pPr>
              <w:pStyle w:val="P14"/>
              <w:rPr>
                <w:b w:val="1"/>
              </w:rPr>
            </w:pPr>
            <w:r>
              <w:t>byggnaders byggnadsarea uppgå maximalt till 150 kvm</w:t>
            </w:r>
          </w:p>
        </w:tc>
        <w:tc>
          <w:tcPr>
            <w:tcW w:w="4699" w:type="dxa"/>
          </w:tcPr>
          <w:p>
            <w:pPr>
              <w:pStyle w:val="P14"/>
            </w:pPr>
            <w:r>
              <w:t>Byggrätten för tekniska anläggningar begränsas för att inte dominera övrig bebyggelse.</w:t>
            </w:r>
          </w:p>
        </w:tc>
      </w:tr>
      <w:tr>
        <w:tc>
          <w:tcPr>
            <w:tcW w:w="2523" w:type="dxa"/>
          </w:tcPr>
          <w:p>
            <w:pPr>
              <w:pStyle w:val="P14"/>
            </w:pPr>
            <w:r>
              <w:t>Egenskapsbestämmelse - kvartersmark</w:t>
            </w:r>
          </w:p>
        </w:tc>
        <w:tc>
          <w:tcPr>
            <w:tcW w:w="2405" w:type="dxa"/>
          </w:tcPr>
          <w:p>
            <w:pPr>
              <w:pStyle w:val="P14"/>
            </w:pPr>
            <w:r>
              <w:rPr>
                <w:b w:val="1"/>
              </w:rPr>
              <w:t>h</w:t>
            </w:r>
            <w:r>
              <w:rPr>
                <w:b w:val="1"/>
                <w:vertAlign w:val="subscript"/>
              </w:rPr>
              <w:t>1</w:t>
            </w:r>
            <w:r>
              <w:rPr>
                <w:b w:val="1"/>
              </w:rPr>
              <w:t xml:space="preserve"> 15,0 </w:t>
            </w:r>
            <w:r>
              <w:t>– Högsta totalhöjd är 15, 0 meter</w:t>
            </w:r>
          </w:p>
        </w:tc>
        <w:tc>
          <w:tcPr>
            <w:tcW w:w="4699" w:type="dxa"/>
          </w:tcPr>
          <w:p>
            <w:pPr>
              <w:pStyle w:val="P14"/>
            </w:pPr>
            <w:r>
              <w:t>Totalhöjden har begränsats för att inte tränga igenom den horisontella flyghinderhöjden.</w:t>
            </w:r>
          </w:p>
        </w:tc>
      </w:tr>
      <w:tr>
        <w:tc>
          <w:tcPr>
            <w:tcW w:w="2523" w:type="dxa"/>
          </w:tcPr>
          <w:p>
            <w:pPr>
              <w:pStyle w:val="P14"/>
            </w:pPr>
            <w:r>
              <w:t>Egenskapsbestämmelse - kvartersmark</w:t>
            </w:r>
          </w:p>
        </w:tc>
        <w:tc>
          <w:tcPr>
            <w:tcW w:w="2405" w:type="dxa"/>
          </w:tcPr>
          <w:p>
            <w:pPr>
              <w:pStyle w:val="P14"/>
              <w:rPr>
                <w:b w:val="1"/>
              </w:rPr>
            </w:pPr>
            <w:r>
              <w:rPr>
                <w:b w:val="1"/>
              </w:rPr>
              <w:t>h</w:t>
            </w:r>
            <w:r>
              <w:rPr>
                <w:b w:val="1"/>
                <w:vertAlign w:val="subscript"/>
              </w:rPr>
              <w:t>2</w:t>
            </w:r>
            <w:r>
              <w:rPr>
                <w:b w:val="1"/>
              </w:rPr>
              <w:t xml:space="preserve"> 4,0 </w:t>
            </w:r>
            <w:r>
              <w:t>– Högsta totalhöjd är 4, 0 meter</w:t>
            </w:r>
          </w:p>
        </w:tc>
        <w:tc>
          <w:tcPr>
            <w:tcW w:w="4699" w:type="dxa"/>
          </w:tcPr>
          <w:p>
            <w:pPr>
              <w:pStyle w:val="P14"/>
            </w:pPr>
            <w:r>
              <w:t>Totalhöjden för redskapsskjul och andra byggnader som krävs för verksamheten har begränsats för att inte dominera landskapsbilden.</w:t>
            </w:r>
          </w:p>
        </w:tc>
      </w:tr>
      <w:tr>
        <w:tc>
          <w:tcPr>
            <w:tcW w:w="2523" w:type="dxa"/>
          </w:tcPr>
          <w:p>
            <w:pPr>
              <w:pStyle w:val="P14"/>
            </w:pPr>
            <w:r>
              <w:t>Egenskapsbestämmelse - kvartersmark</w:t>
            </w:r>
          </w:p>
        </w:tc>
        <w:tc>
          <w:tcPr>
            <w:tcW w:w="2405" w:type="dxa"/>
          </w:tcPr>
          <w:p>
            <w:pPr>
              <w:pStyle w:val="P14"/>
              <w:rPr>
                <w:b w:val="1"/>
              </w:rPr>
            </w:pPr>
            <w:r>
              <w:rPr>
                <w:b w:val="1"/>
              </w:rPr>
              <w:t>h</w:t>
            </w:r>
            <w:r>
              <w:rPr>
                <w:b w:val="1"/>
                <w:vertAlign w:val="subscript"/>
              </w:rPr>
              <w:t>3</w:t>
            </w:r>
            <w:r>
              <w:rPr>
                <w:b w:val="1"/>
              </w:rPr>
              <w:t xml:space="preserve"> 4,0 </w:t>
            </w:r>
            <w:r>
              <w:t>– Högsta totalhöjd 4 meter för tekniska anläggningar</w:t>
            </w:r>
          </w:p>
        </w:tc>
        <w:tc>
          <w:tcPr>
            <w:tcW w:w="4699" w:type="dxa"/>
          </w:tcPr>
          <w:p>
            <w:pPr>
              <w:pStyle w:val="P14"/>
            </w:pPr>
            <w:r>
              <w:t>Totalhöjden för tekniska anläggningar har begränsats för att inte dominera landskapsbilden.</w:t>
            </w:r>
          </w:p>
        </w:tc>
      </w:tr>
      <w:tr>
        <w:tc>
          <w:tcPr>
            <w:tcW w:w="2523" w:type="dxa"/>
          </w:tcPr>
          <w:p>
            <w:pPr>
              <w:pStyle w:val="P14"/>
            </w:pPr>
            <w:r>
              <w:t>Egenskapsbestämmelse - kvartersmark</w:t>
            </w:r>
          </w:p>
        </w:tc>
        <w:tc>
          <w:tcPr>
            <w:tcW w:w="2405" w:type="dxa"/>
          </w:tcPr>
          <w:p>
            <w:pPr>
              <w:pStyle w:val="P14"/>
            </w:pPr>
            <w:r>
              <w:rPr>
                <w:b w:val="1"/>
              </w:rPr>
              <w:t>m</w:t>
            </w:r>
            <w:r>
              <w:rPr>
                <w:b w:val="1"/>
                <w:vertAlign w:val="subscript"/>
              </w:rPr>
              <w:t xml:space="preserve">1 </w:t>
            </w:r>
            <w:r>
              <w:rPr>
                <w:vertAlign w:val="subscript"/>
              </w:rPr>
              <w:t>–</w:t>
            </w:r>
            <w:r>
              <w:t xml:space="preserve"> Vall – skydd mot buller och transport av farligt gods. Vallens kanter får fasas för ökad bärighet.</w:t>
            </w:r>
          </w:p>
        </w:tc>
        <w:tc>
          <w:tcPr>
            <w:tcW w:w="4699" w:type="dxa"/>
          </w:tcPr>
          <w:p>
            <w:pPr>
              <w:pStyle w:val="P14"/>
            </w:pPr>
            <w:r>
              <w:t xml:space="preserve">Avser att skydda från buller och vid eventuell avkörning eller spridning vid transport av farligt gods på väg E10. </w:t>
            </w:r>
          </w:p>
        </w:tc>
      </w:tr>
      <w:tr>
        <w:tc>
          <w:tcPr>
            <w:tcW w:w="2523" w:type="dxa"/>
          </w:tcPr>
          <w:p>
            <w:pPr>
              <w:pStyle w:val="P14"/>
            </w:pPr>
            <w:r>
              <w:t>Egenskapsbestämmelse - kvartersmark</w:t>
            </w:r>
          </w:p>
        </w:tc>
        <w:tc>
          <w:tcPr>
            <w:tcW w:w="2405" w:type="dxa"/>
          </w:tcPr>
          <w:p>
            <w:pPr>
              <w:pStyle w:val="P14"/>
            </w:pPr>
            <w:r>
              <w:rPr>
                <w:b w:val="1"/>
              </w:rPr>
              <w:t xml:space="preserve">Kryssmark </w:t>
            </w:r>
            <w:r>
              <w:t>– marken får endast förses med mindre byggnader, t ex för redskapsskjul och stigportar</w:t>
            </w:r>
          </w:p>
        </w:tc>
        <w:tc>
          <w:tcPr>
            <w:tcW w:w="4699" w:type="dxa"/>
          </w:tcPr>
          <w:p>
            <w:pPr>
              <w:pStyle w:val="P14"/>
            </w:pPr>
            <w:r>
              <w:t xml:space="preserve">Används för att reglera byggnaderna till mindre byggnader som krävs för platsens användning eller för gestaltning. </w:t>
            </w:r>
          </w:p>
        </w:tc>
      </w:tr>
      <w:tr>
        <w:tc>
          <w:tcPr>
            <w:tcW w:w="2523" w:type="dxa"/>
          </w:tcPr>
          <w:p>
            <w:pPr>
              <w:pStyle w:val="P14"/>
            </w:pPr>
            <w:r>
              <w:t>Egenskapsbestämmelse - kvartersmark</w:t>
            </w:r>
          </w:p>
        </w:tc>
        <w:tc>
          <w:tcPr>
            <w:tcW w:w="2405" w:type="dxa"/>
          </w:tcPr>
          <w:p>
            <w:pPr>
              <w:pStyle w:val="P14"/>
            </w:pPr>
            <w:r>
              <w:rPr>
                <w:b w:val="1"/>
              </w:rPr>
              <w:t xml:space="preserve">Prickmark </w:t>
            </w:r>
            <w:r>
              <w:t>– marken får inte förses med byggnad.</w:t>
            </w:r>
          </w:p>
        </w:tc>
        <w:tc>
          <w:tcPr>
            <w:tcW w:w="4699" w:type="dxa"/>
          </w:tcPr>
          <w:p>
            <w:pPr>
              <w:pStyle w:val="P14"/>
            </w:pPr>
            <w:r>
              <w:t>Här är det inte lämpligt att uppföra byggnader för att inte inverka på flyghinderhöjden eller landskapsbilden samt som skydd av dagvattendiket.</w:t>
            </w:r>
          </w:p>
        </w:tc>
      </w:tr>
      <w:tr>
        <w:tc>
          <w:tcPr>
            <w:tcW w:w="2523" w:type="dxa"/>
          </w:tcPr>
          <w:p>
            <w:pPr>
              <w:pStyle w:val="P14"/>
            </w:pPr>
            <w:r>
              <w:t>Egenskapsbestämmelse - kvartersmark</w:t>
            </w:r>
          </w:p>
        </w:tc>
        <w:tc>
          <w:tcPr>
            <w:tcW w:w="2405" w:type="dxa"/>
          </w:tcPr>
          <w:p>
            <w:pPr>
              <w:pStyle w:val="P14"/>
            </w:pPr>
            <w:r>
              <w:rPr>
                <w:b w:val="1"/>
              </w:rPr>
              <w:t>u</w:t>
            </w:r>
            <w:r>
              <w:rPr>
                <w:b w:val="1"/>
                <w:vertAlign w:val="subscript"/>
              </w:rPr>
              <w:t xml:space="preserve">1 </w:t>
            </w:r>
            <w:r>
              <w:t>– Markreservat för underjordiska ledningar</w:t>
            </w:r>
          </w:p>
        </w:tc>
        <w:tc>
          <w:tcPr>
            <w:tcW w:w="4699" w:type="dxa"/>
          </w:tcPr>
          <w:p>
            <w:pPr>
              <w:pStyle w:val="P14"/>
            </w:pPr>
            <w:r>
              <w:t>Här finns befintliga ledningar. Trafikverket har en ledning som avvattnar E10. Ledningen är tryggad med en rättighet enligt vägplan. Ledningar kan vi behov tryggas med ledningsrätt eller avtal.</w:t>
            </w:r>
          </w:p>
        </w:tc>
      </w:tr>
      <w:tr>
        <w:tc>
          <w:tcPr>
            <w:tcW w:w="2523" w:type="dxa"/>
          </w:tcPr>
          <w:p>
            <w:pPr>
              <w:pStyle w:val="P14"/>
            </w:pPr>
            <w:r>
              <w:t>Egenskapsbestämmelse - kvartersmark</w:t>
            </w:r>
          </w:p>
        </w:tc>
        <w:tc>
          <w:tcPr>
            <w:tcW w:w="2405" w:type="dxa"/>
          </w:tcPr>
          <w:p>
            <w:pPr>
              <w:pStyle w:val="P14"/>
            </w:pPr>
            <w:r>
              <w:rPr>
                <w:b w:val="1"/>
              </w:rPr>
              <w:t>n</w:t>
            </w:r>
            <w:r>
              <w:rPr>
                <w:b w:val="1"/>
                <w:vertAlign w:val="subscript"/>
              </w:rPr>
              <w:t xml:space="preserve">1 </w:t>
            </w:r>
            <w:r>
              <w:t>– Trädet får endast fällas om det är sjukt eller utgör en säkerhetsrisk</w:t>
            </w:r>
          </w:p>
        </w:tc>
        <w:tc>
          <w:tcPr>
            <w:tcW w:w="4699" w:type="dxa"/>
          </w:tcPr>
          <w:p>
            <w:pPr>
              <w:pStyle w:val="P14"/>
            </w:pPr>
            <w:r>
              <w:t>Trädet har en bläckning och skyddas därför i detaljplanen.</w:t>
            </w:r>
          </w:p>
        </w:tc>
      </w:tr>
      <w:tr>
        <w:tc>
          <w:tcPr>
            <w:tcW w:w="2523" w:type="dxa"/>
          </w:tcPr>
          <w:p>
            <w:pPr>
              <w:pStyle w:val="P14"/>
            </w:pPr>
            <w:r>
              <w:t>Egenskapsbestämmelse - kvartersmark</w:t>
            </w:r>
          </w:p>
        </w:tc>
        <w:tc>
          <w:tcPr>
            <w:tcW w:w="2405" w:type="dxa"/>
          </w:tcPr>
          <w:p>
            <w:pPr>
              <w:pStyle w:val="P14"/>
            </w:pPr>
            <w:r>
              <w:rPr>
                <w:b w:val="1"/>
              </w:rPr>
              <w:t>n</w:t>
            </w:r>
            <w:r>
              <w:rPr>
                <w:b w:val="1"/>
                <w:vertAlign w:val="subscript"/>
              </w:rPr>
              <w:t>2</w:t>
            </w:r>
            <w:r>
              <w:rPr>
                <w:b w:val="1"/>
              </w:rPr>
              <w:t xml:space="preserve"> +468 </w:t>
            </w:r>
            <w:r>
              <w:t>– Markens höjd får inte vara högre än 468,0 meter över nollplanet</w:t>
            </w:r>
          </w:p>
        </w:tc>
        <w:tc>
          <w:tcPr>
            <w:tcW w:w="4699" w:type="dxa"/>
          </w:tcPr>
          <w:p>
            <w:pPr>
              <w:pStyle w:val="P14"/>
            </w:pPr>
            <w:r>
              <w:t>Markens högsta höjd har begränsats för att bebyggelsen inte ska påverka flyghinderhöjden.</w:t>
            </w:r>
          </w:p>
        </w:tc>
      </w:tr>
      <w:tr>
        <w:tc>
          <w:tcPr>
            <w:tcW w:w="2523" w:type="dxa"/>
          </w:tcPr>
          <w:p>
            <w:pPr>
              <w:pStyle w:val="P14"/>
            </w:pPr>
            <w:r>
              <w:t>Egenskapsbestämmelse - kvartersmark</w:t>
            </w:r>
          </w:p>
        </w:tc>
        <w:tc>
          <w:tcPr>
            <w:tcW w:w="2405" w:type="dxa"/>
          </w:tcPr>
          <w:p>
            <w:pPr>
              <w:pStyle w:val="P14"/>
            </w:pPr>
            <w:r>
              <w:rPr>
                <w:b w:val="1"/>
              </w:rPr>
              <w:t>+471,5</w:t>
            </w:r>
            <w:r>
              <w:t xml:space="preserve"> – Markens höjd över nollplanet ska vara 471, 5 meter</w:t>
            </w:r>
          </w:p>
        </w:tc>
        <w:tc>
          <w:tcPr>
            <w:tcW w:w="4699" w:type="dxa"/>
          </w:tcPr>
          <w:p>
            <w:pPr>
              <w:pStyle w:val="P14"/>
            </w:pPr>
            <w:r>
              <w:t>En fast marknivå har bestämts för vallen så att den uppnår tillräcklig höjd för att utgöra skydd mot buller och olyckor.</w:t>
            </w:r>
          </w:p>
        </w:tc>
      </w:tr>
      <w:tr>
        <w:tc>
          <w:tcPr>
            <w:tcW w:w="2523" w:type="dxa"/>
          </w:tcPr>
          <w:p>
            <w:pPr>
              <w:pStyle w:val="P14"/>
            </w:pPr>
            <w:r>
              <w:t>Egenskapsbestämmelse - kvartersmark</w:t>
            </w:r>
          </w:p>
        </w:tc>
        <w:tc>
          <w:tcPr>
            <w:tcW w:w="2405" w:type="dxa"/>
          </w:tcPr>
          <w:p>
            <w:pPr>
              <w:pStyle w:val="P14"/>
            </w:pPr>
            <w:bookmarkStart w:id="22" w:name="_Hlk188858116"/>
            <w:r>
              <w:rPr>
                <w:b w:val="1"/>
              </w:rPr>
              <w:t xml:space="preserve">a1 </w:t>
            </w:r>
            <w:r>
              <w:t>– Marklov krävs inte för schaktning och fyllning för anläggande av gravplatser</w:t>
            </w:r>
            <w:bookmarkEnd w:id="22"/>
          </w:p>
        </w:tc>
        <w:tc>
          <w:tcPr>
            <w:tcW w:w="4699" w:type="dxa"/>
          </w:tcPr>
          <w:p>
            <w:pPr>
              <w:pStyle w:val="P14"/>
            </w:pPr>
            <w:r>
              <w:t>För att inte behöva söka marklov för varje gravplats har bestämmelsen lagts in.</w:t>
            </w:r>
          </w:p>
        </w:tc>
      </w:tr>
      <w:tr>
        <w:tc>
          <w:tcPr>
            <w:tcW w:w="2523" w:type="dxa"/>
          </w:tcPr>
          <w:p>
            <w:pPr>
              <w:pStyle w:val="P14"/>
            </w:pPr>
            <w:r>
              <w:t>Egenskapsbestämmelse - kvartersmark</w:t>
            </w:r>
          </w:p>
        </w:tc>
        <w:tc>
          <w:tcPr>
            <w:tcW w:w="2405" w:type="dxa"/>
          </w:tcPr>
          <w:p>
            <w:pPr>
              <w:pStyle w:val="P14"/>
              <w:rPr>
                <w:b w:val="1"/>
              </w:rPr>
            </w:pPr>
            <w:bookmarkStart w:id="23" w:name="_Hlk188858273"/>
            <w:r>
              <w:rPr>
                <w:b w:val="1"/>
              </w:rPr>
              <w:t xml:space="preserve">a2 </w:t>
            </w:r>
            <w:r>
              <w:rPr>
                <w:bCs w:val="1"/>
              </w:rPr>
              <w:t>– Servitut för dagvattendike</w:t>
            </w:r>
            <w:bookmarkEnd w:id="23"/>
          </w:p>
        </w:tc>
        <w:tc>
          <w:tcPr>
            <w:tcW w:w="4699" w:type="dxa"/>
          </w:tcPr>
          <w:p>
            <w:pPr>
              <w:pStyle w:val="P14"/>
            </w:pPr>
            <w:r>
              <w:t>För att skydda dagvattendiket har möjlighet för servitut lagts in. Diket får överbyggas med broar och liknande.</w:t>
            </w:r>
          </w:p>
        </w:tc>
      </w:tr>
      <w:tr>
        <w:tc>
          <w:tcPr>
            <w:tcW w:w="2523" w:type="dxa"/>
          </w:tcPr>
          <w:p>
            <w:pPr>
              <w:pStyle w:val="P14"/>
            </w:pPr>
            <w:r>
              <w:t>Egenskapsbestämmelse – allmän plats</w:t>
            </w:r>
          </w:p>
        </w:tc>
        <w:tc>
          <w:tcPr>
            <w:tcW w:w="2405" w:type="dxa"/>
          </w:tcPr>
          <w:p>
            <w:pPr>
              <w:pStyle w:val="P14"/>
            </w:pPr>
            <w:r>
              <w:rPr>
                <w:b w:val="1"/>
              </w:rPr>
              <w:t>a</w:t>
            </w:r>
            <w:r>
              <w:rPr>
                <w:b w:val="1"/>
                <w:vertAlign w:val="subscript"/>
              </w:rPr>
              <w:t>3</w:t>
            </w:r>
            <w:r>
              <w:t xml:space="preserve"> – </w:t>
            </w:r>
            <w:bookmarkStart w:id="24" w:name="_Hlk188858401"/>
            <w:r>
              <w:t>Huvudmannaskapet är enskilt för den allmänna platsen</w:t>
            </w:r>
            <w:bookmarkEnd w:id="24"/>
          </w:p>
        </w:tc>
        <w:tc>
          <w:tcPr>
            <w:tcW w:w="4699" w:type="dxa"/>
          </w:tcPr>
          <w:p>
            <w:pPr>
              <w:pStyle w:val="P14"/>
            </w:pPr>
            <w:r>
              <w:t>Då i huvudsak pastoratet kommer att använda den befintliga vägen är det lämpligast att de är huvudman för den allmänna platsen.</w:t>
            </w:r>
          </w:p>
        </w:tc>
      </w:tr>
    </w:tbl>
    <w:p>
      <w:pPr>
        <w:pStyle w:val="P14"/>
      </w:pPr>
      <w:bookmarkEnd w:id="20"/>
    </w:p>
    <w:p>
      <w:pPr>
        <w:pStyle w:val="P13"/>
      </w:pPr>
      <w:bookmarkStart w:id="25" w:name="_Toc143176877"/>
      <w:r>
        <w:t>Genomförandefrågor</w:t>
      </w:r>
      <w:bookmarkEnd w:id="25"/>
    </w:p>
    <w:p>
      <w:pPr>
        <w:pStyle w:val="P14"/>
      </w:pPr>
      <w:r>
        <w:t>Information som handlar om hur detaljplanen ska genomföras ska sorteras till detta tema. I planbeskrivningen ska kommunen redovisa de organisatoriska, tekniska, ekonomiska och fastighetsrättsliga åtgärder som behövs för att planen ska kunna genomföras på ett samordnat och ändamålsenligt sätt. Det ska förutom en beskrivning av hur genomförandet ska gå till även framgå vilka konsekvenser som detaljplanens genomförande medför för de berörda fastighetsägarna och andra som berörs av planen.</w:t>
      </w:r>
    </w:p>
    <w:p>
      <w:pPr>
        <w:pStyle w:val="P15"/>
      </w:pPr>
      <w:bookmarkStart w:id="26" w:name="_Toc143176878"/>
      <w:r>
        <w:t>Mark- och utrymmesförvärv</w:t>
      </w:r>
      <w:bookmarkEnd w:id="26"/>
    </w:p>
    <w:p>
      <w:pPr>
        <w:pStyle w:val="P14"/>
      </w:pPr>
      <w:bookmarkStart w:id="27" w:name="_Hlk188858901"/>
      <w:bookmarkStart w:id="28" w:name="gf_markochutrymmesförvärv01"/>
      <w:r>
        <w:t xml:space="preserve">Planen berör statens fastigheter Kiruna 1:1 och Kiruna 1:173. Fastigheterna förvaltas av Statens Fastighetsverk (SFV). Kommunen har ansökt om och beviljats att få förvärva kvartersmarken inom planen.  </w:t>
      </w:r>
    </w:p>
    <w:p>
      <w:pPr>
        <w:pStyle w:val="P14"/>
      </w:pPr>
      <w:r>
        <w:t>Nästan hela planområdet ingår i ett större område som kommunen arrenderar av staten. När kommunen förvärvar marken inom planområdet upphör arrendet i den delen.</w:t>
      </w:r>
    </w:p>
    <w:p>
      <w:pPr>
        <w:pStyle w:val="P16"/>
      </w:pPr>
      <w:bookmarkEnd w:id="27"/>
      <w:bookmarkEnd w:id="28"/>
      <w:bookmarkStart w:id="29" w:name="_Toc143176879"/>
      <w:r>
        <w:t>Förändrad fastighetsindelning</w:t>
      </w:r>
      <w:bookmarkEnd w:id="29"/>
    </w:p>
    <w:p>
      <w:pPr>
        <w:pStyle w:val="P14"/>
      </w:pPr>
      <w:bookmarkStart w:id="30" w:name="gf_förändradfastighetsindelning01"/>
      <w:r>
        <w:t xml:space="preserve">Planen gör det möjligt att bilda en ny fastighet för krematorium och begravningsplats. Den nya fastigheten bildas av ca 7 ha från Kiruna 1:1 och ca 5 ha från Kiruna 1:173. Båda fastigheterna ägs av staten och förvaltas av Statens Fastighetsverk. Kiruna kommun har ansökt om att få förvärva marken inom planområdet.  Fastigheten för krematoriet och begravningsplats bildas i en lantmäteriförrättning genom avstyckning och fastighetsreglering. Ansökan om fastighetsbildning lämnas till lantmäteriet. </w:t>
      </w:r>
    </w:p>
    <w:p>
      <w:pPr>
        <w:pStyle w:val="P16"/>
      </w:pPr>
      <w:bookmarkEnd w:id="30"/>
      <w:bookmarkStart w:id="31" w:name="_Toc143176880"/>
      <w:r>
        <w:t>Rättigheter</w:t>
      </w:r>
      <w:bookmarkEnd w:id="31"/>
    </w:p>
    <w:p>
      <w:pPr>
        <w:pStyle w:val="P14"/>
      </w:pPr>
      <w:bookmarkStart w:id="32" w:name="gf_rättigheter01"/>
      <w:r>
        <w:t xml:space="preserve">Inom planområdet har Trafikverket med stöd av vägplan P 2019/13 en rättighet avseende ledning för avvattning av E10. Ett u-område har lagts ut som innebär att området endast kan nyttjas för underjordiska ledningar. Ledningen kan vid behov tryggas med ledningsrätt eller avtalsservitut. </w:t>
      </w:r>
    </w:p>
    <w:p>
      <w:pPr>
        <w:pStyle w:val="P14"/>
      </w:pPr>
      <w:r>
        <w:t>Ett litet område av planförslaget berör Vägplan P 2019/13. Vägplanen upphävs i den del som ligger inom detaljplaneförslaget när detaljplanen vinner laga kraft.</w:t>
      </w:r>
    </w:p>
    <w:p>
      <w:pPr>
        <w:pStyle w:val="P14"/>
      </w:pPr>
      <w:r>
        <w:t xml:space="preserve">Planområdet nås från Kurravaaravägen på en gammal befintlig väg. Vägen nyttjas i samförstånd. I samband med att den nya fastigheten bildas kan rätt att nyttja vägen tryggas genom att den inrättas som gemensamhetsanläggning för de fastigheter/anläggningar som har behov av vägen alternativt kan ett servitut bildas.  En gemensamhetsanläggning bildas i en lantmäteriförrättning. I förrättningen beslutas om vilka som ska delta i väganläggningen och hur stor del av anläggnings- och driftkostnader var och en ska betala. I förrättningen avgörs också om och i så fall hur stor ersättning som ska utgå till fastighetsägare och ägare av vägkroppen. </w:t>
      </w:r>
    </w:p>
    <w:p>
      <w:pPr>
        <w:pStyle w:val="P14"/>
      </w:pPr>
      <w:r>
        <w:t>Inom området har Gabna sameby renskötselrätt.</w:t>
      </w:r>
    </w:p>
    <w:p>
      <w:pPr>
        <w:pStyle w:val="P15"/>
      </w:pPr>
      <w:bookmarkEnd w:id="32"/>
      <w:bookmarkStart w:id="33" w:name="_Toc143176881"/>
      <w:r>
        <w:t>Tekniska frågor</w:t>
      </w:r>
      <w:bookmarkEnd w:id="33"/>
    </w:p>
    <w:p>
      <w:pPr>
        <w:pStyle w:val="P14"/>
      </w:pPr>
      <w:bookmarkStart w:id="34" w:name="gf_tekniskafrågor01"/>
      <w:r>
        <w:t xml:space="preserve">Kommunen kommer tillhandhålla en anslutningspunkt för vatten- och avlopp till den nya fastigheten. </w:t>
      </w:r>
      <w:bookmarkEnd w:id="34"/>
    </w:p>
    <w:p>
      <w:pPr>
        <w:pStyle w:val="P16"/>
      </w:pPr>
      <w:bookmarkStart w:id="35" w:name="_Toc143176882"/>
      <w:r>
        <w:t>Tekniska åtgärder</w:t>
      </w:r>
      <w:bookmarkEnd w:id="35"/>
    </w:p>
    <w:p>
      <w:pPr>
        <w:pStyle w:val="P14"/>
      </w:pPr>
      <w:bookmarkStart w:id="36" w:name="gf_tekniskaåtgärder01"/>
      <w:r>
        <w:t>Exploatören bör i ett tidigt skede samråda med Tekniska verken i Kiruna AB om lämplig placering av sophus eller liknade.</w:t>
      </w:r>
    </w:p>
    <w:p>
      <w:pPr>
        <w:pStyle w:val="P14"/>
      </w:pPr>
      <w:r>
        <w:t>Hämtningsfordons behov av att backa vid hämtning av avfall ska i första möjliga mån minimeras. Återvändsgator ska ha vändmöjlighet för hämtningsfordon, till exempel i form av vändplats eller trevägskorsning. Byggnader och andra anläggningar ska så långt det är praktiskt möjligt vara placerade på ett sådant sätt i förhållande till omgivande mark att transporter och liknade kan utföras med betryggande säkerhet mot ohälsa och olycksfall.</w:t>
      </w:r>
      <w:bookmarkEnd w:id="36"/>
      <w:r>
        <w:t xml:space="preserve">  </w:t>
      </w:r>
    </w:p>
    <w:p>
      <w:pPr>
        <w:pStyle w:val="P16"/>
      </w:pPr>
      <w:bookmarkStart w:id="37" w:name="_Toc143176883"/>
      <w:r>
        <w:t>Utbyggnad av vatten och avlopp</w:t>
      </w:r>
      <w:bookmarkEnd w:id="37"/>
    </w:p>
    <w:p>
      <w:pPr>
        <w:pStyle w:val="P14"/>
      </w:pPr>
      <w:bookmarkStart w:id="38" w:name="gf_utbyggnadvattenochavlopp01"/>
      <w:r>
        <w:t xml:space="preserve">Området ska anslutas till det kommunala vatten- och avloppsnätet. </w:t>
      </w:r>
      <w:bookmarkStart w:id="39" w:name="_Hlk143596269"/>
      <w:r>
        <w:t>Vid dimensionering måste hänsyn tas till att tillräcklig brandvattenförsörjningen uppnås.</w:t>
      </w:r>
    </w:p>
    <w:p>
      <w:pPr>
        <w:pStyle w:val="P15"/>
      </w:pPr>
      <w:bookmarkEnd w:id="38"/>
      <w:bookmarkEnd w:id="39"/>
      <w:bookmarkStart w:id="40" w:name="_Toc143176884"/>
      <w:r>
        <w:t>Ekonomiska frågor</w:t>
      </w:r>
      <w:bookmarkEnd w:id="40"/>
    </w:p>
    <w:p>
      <w:pPr>
        <w:pStyle w:val="P16"/>
      </w:pPr>
      <w:bookmarkStart w:id="41" w:name="_Toc143176885"/>
      <w:r>
        <w:t>Planavgift</w:t>
      </w:r>
      <w:bookmarkEnd w:id="41"/>
    </w:p>
    <w:p>
      <w:pPr>
        <w:pStyle w:val="P14"/>
      </w:pPr>
      <w:bookmarkStart w:id="42" w:name="gf_planavgift01"/>
      <w:r>
        <w:t>Detaljplanen bekostas helt av exploatören och planavgift kommer inte att tas ut.</w:t>
      </w:r>
    </w:p>
    <w:p>
      <w:pPr>
        <w:pStyle w:val="P16"/>
      </w:pPr>
      <w:bookmarkEnd w:id="42"/>
      <w:bookmarkStart w:id="43" w:name="_Toc143176886"/>
      <w:r>
        <w:t>Gemensamhetsanläggningar</w:t>
      </w:r>
      <w:bookmarkEnd w:id="43"/>
    </w:p>
    <w:p>
      <w:pPr>
        <w:pStyle w:val="P14"/>
      </w:pPr>
      <w:bookmarkStart w:id="44" w:name="gf_gemensamhetsanläggningar01"/>
      <w:r>
        <w:t xml:space="preserve">Planområdet nås via en befintlig enskild väg som även nyttjas av besökare till golfbanan. Även Trafikverket och Kiruna kommun nyttjar vägen vid behov. Vägen nyttjas i samförstånd men kan vid behov inrättas som gemensamhetsanläggning. Detta sker i en förrättning enligt Anläggningslagen. I förrättningen tilldelas alla fastigheter/anläggningar som har behov av vägen ett andelstal som reglerar hur stor del av kostnaderna för underhåll m m som varje fastighet/anläggning ska betala. Andelstalet bestäms efter hur mycket trafik varje deltagande fastighet/anläggning alstrar och hur lång sträcka av vägen som används. Ansökan om att bilda gemensamhetsanläggning lämnas in till lantmäteriet.  </w:t>
      </w:r>
      <w:bookmarkEnd w:id="44"/>
    </w:p>
    <w:p>
      <w:pPr>
        <w:pStyle w:val="P16"/>
      </w:pPr>
      <w:bookmarkStart w:id="45" w:name="_Toc143176887"/>
      <w:r>
        <w:t>Drift allmän plats</w:t>
      </w:r>
      <w:bookmarkEnd w:id="45"/>
    </w:p>
    <w:p>
      <w:pPr>
        <w:pStyle w:val="P14"/>
      </w:pPr>
      <w:bookmarkStart w:id="46" w:name="gf_driftallmänplats01"/>
      <w:r>
        <w:t>Tillfartsvägen till planområdet är den enda allmänna platsen inom detaljplanen. Driften av vägen ansvarar de fastigheter och anläggningar för, som har behov av vägen, se under 4.4.2 Gemensamhetsanläggningar.</w:t>
      </w:r>
      <w:bookmarkEnd w:id="46"/>
    </w:p>
    <w:p>
      <w:pPr>
        <w:pStyle w:val="P16"/>
      </w:pPr>
      <w:bookmarkStart w:id="47" w:name="_Toc143176888"/>
      <w:r>
        <w:t>Drift vatten och avlopp</w:t>
      </w:r>
      <w:bookmarkEnd w:id="47"/>
    </w:p>
    <w:p>
      <w:pPr>
        <w:pStyle w:val="P14"/>
      </w:pPr>
      <w:bookmarkStart w:id="48" w:name="gf_driftvattenochavlopp01"/>
      <w:r>
        <w:t>Exploatören står för alla kostnader för drift av vatten och avlopp inom kvartersmarken.</w:t>
      </w:r>
    </w:p>
    <w:p>
      <w:pPr>
        <w:pStyle w:val="P15"/>
      </w:pPr>
      <w:bookmarkEnd w:id="48"/>
      <w:bookmarkStart w:id="49" w:name="_Toc143176889"/>
      <w:r>
        <w:t>Organisatoriska frågor</w:t>
      </w:r>
      <w:bookmarkEnd w:id="49"/>
    </w:p>
    <w:p>
      <w:pPr>
        <w:pStyle w:val="P14"/>
      </w:pPr>
      <w:r>
        <w:t xml:space="preserve">Kiruna kommun har ansökt hos Statens Fastighetsverk (SFV) om att förvärva kvartersmarken inom detaljplanen. Ansökan har enligt uppgift från SFV tillstyrkts av remissinstanserna och skickats in till regeringen för prövning. Kommunens avsikt är att överlåta kvartersmarken till Kiruna Pastorat. Ansökan om att bilda den nya fastigheten lämnas in till lantmäteriet av Kiruna Pastorat och biträds av Kiruna kommun. </w:t>
      </w:r>
    </w:p>
    <w:p>
      <w:pPr>
        <w:pStyle w:val="P14"/>
      </w:pPr>
      <w:r>
        <w:t>För att planen skall kunna genomföras krävs att befintlig bågskyttebanan flyttas. Ett avtal har träffats mellan Kiruna Pastorat och Bågskytteföreningen om flytten. I avtalet åtar sig Kiruna Pastorat alla kostnader för flytten. Kommunen arbetar med att ta fram ett område dit bågskyttebanan kan flyttas. Marken kommer inte att överlåtas till Kiruna Pastorat innan det är klart med ett nytt område för bågskyttebanan och flytten av banan påbörjats.</w:t>
      </w:r>
    </w:p>
    <w:p>
      <w:pPr>
        <w:pStyle w:val="P14"/>
      </w:pPr>
      <w:r>
        <w:t xml:space="preserve">Det är av stor vikt att stor omsorg läggs på områdets gestaltning för att området ska bli ett rofyllt och trivsamt område. Ett gestaltningsprogram har på uppdrag av Kiruna Pastorat tagits fram för att säkerställa att målet nås. Kiruna Pastorat ansvarar för att gestaltningsprogrammet följs. </w:t>
      </w:r>
    </w:p>
    <w:p>
      <w:pPr>
        <w:pStyle w:val="P14"/>
      </w:pPr>
      <w:r>
        <w:t xml:space="preserve">För att skydda området från buller från E10 skall en bullervall anläggas. Kiruna Pastorat bekostar och ansvarar för att vallen anläggs. </w:t>
      </w:r>
    </w:p>
    <w:p>
      <w:pPr>
        <w:pStyle w:val="P14"/>
      </w:pPr>
      <w:bookmarkStart w:id="50" w:name="_Hlk130978090"/>
      <w:r>
        <w:t xml:space="preserve">Marken kommer att överlåtas när nytt område för bågskyttebanan är klart och banans flytt påbörjats, när bygglov beviljats för krematoriet och markens iordningsställande enligt gestaltningsprogrammet påbörjats. </w:t>
      </w:r>
    </w:p>
    <w:p>
      <w:pPr>
        <w:pStyle w:val="P14"/>
      </w:pPr>
      <w:r>
        <w:t xml:space="preserve">Ambitionen är att det nya krematoriet ska vara klart senast 2027 när det nuvarande måste avvecklas p g a gruvans påverkan på marken. </w:t>
      </w:r>
    </w:p>
    <w:p>
      <w:pPr>
        <w:pStyle w:val="P16"/>
      </w:pPr>
      <w:bookmarkEnd w:id="50"/>
      <w:bookmarkStart w:id="51" w:name="_Toc143176890"/>
      <w:r>
        <w:t>Markanvisning</w:t>
      </w:r>
      <w:bookmarkEnd w:id="51"/>
    </w:p>
    <w:p>
      <w:pPr>
        <w:pStyle w:val="P14"/>
      </w:pPr>
      <w:bookmarkStart w:id="52" w:name="gf_markanvisning01"/>
      <w:r>
        <w:t>Marken ägs av staten och kommunen har ansökt om att få förvärva marken. Avsikten är att överlåta marken till Kiruna Pastorat. Marken kommer att överlåtas när nytt område för bågskyttebanan är klart, när bygglov beviljats för bl a krematoriet och markens iordningsställande enligt gestaltningsprogrammet påbörjats. Ett markanvisningsavtal kan komma att upprättas i ett senare skede om det bedöms nödvändigt. Villkoren framgår av avsnitt 4.4 Organisatoriska frågor.</w:t>
      </w:r>
    </w:p>
    <w:p>
      <w:pPr>
        <w:pStyle w:val="P15"/>
      </w:pPr>
      <w:bookmarkEnd w:id="52"/>
      <w:bookmarkStart w:id="53" w:name="_Toc143176891"/>
      <w:r>
        <w:t>Prövning enligt annan lagstiftning</w:t>
      </w:r>
      <w:bookmarkEnd w:id="53"/>
    </w:p>
    <w:p>
      <w:pPr>
        <w:pStyle w:val="P14"/>
      </w:pPr>
      <w:bookmarkStart w:id="54" w:name="gf_prövningenlannanlagstiftning01"/>
      <w:r>
        <w:t xml:space="preserve">När det gäller miljöpåverkan från det tillkommande krematoriet, bland annat avseende buller och utsläpp till luft, kommer det att prövas och regleras i kommande miljöprövning enligt 9 kap MB. </w:t>
      </w:r>
      <w:bookmarkEnd w:id="54"/>
    </w:p>
    <w:p>
      <w:pPr>
        <w:pStyle w:val="P15"/>
      </w:pPr>
      <w:bookmarkStart w:id="55" w:name="_Toc143176892"/>
      <w:r>
        <w:t>Upplysningar</w:t>
      </w:r>
      <w:bookmarkEnd w:id="55"/>
    </w:p>
    <w:p>
      <w:pPr>
        <w:pStyle w:val="P14"/>
      </w:pPr>
      <w:bookmarkStart w:id="56" w:name="gf_upplysningar01"/>
      <w:r>
        <w:t xml:space="preserve">Gestaltningsprogrammet är ett viktigt underlag i bygglovs- och marklovsprövningen. Kiruna Pastorat ansöker om bygglov och marklov och ansvarar för att gestaltningsprogrammet följs. </w:t>
      </w:r>
    </w:p>
    <w:p>
      <w:pPr>
        <w:pStyle w:val="P14"/>
      </w:pPr>
      <w:r>
        <w:t xml:space="preserve">Tekniska Verken i Kiruna AB (TVAB) har ansökt om nytt miljötillstånd för bl a avfallsanläggningen som gränsar till planområdet. De luktproblem som funnits från hanteringen av hushållssopor bedömer TVAB kommer försvinna när hanteringen flyttar inomhus. Kommunen har begärt att den miljökonsekvensbeskrivning som skall tas fram i miljöprövningen ska omfatta riskerna för störning av planområdet med buller och lukt från verksamheten och ev åtgärder för att minska problemen.  </w:t>
      </w:r>
      <w:bookmarkEnd w:id="56"/>
    </w:p>
    <w:p>
      <w:pPr>
        <w:pStyle w:val="P15"/>
      </w:pPr>
      <w:bookmarkStart w:id="57" w:name="_Toc143176893"/>
      <w:r>
        <w:t>Annat</w:t>
      </w:r>
      <w:bookmarkEnd w:id="57"/>
    </w:p>
    <w:p>
      <w:pPr>
        <w:pStyle w:val="P14"/>
      </w:pPr>
      <w:bookmarkStart w:id="58" w:name="gf_annat01"/>
      <w:r>
        <w:t>Bågskyttebanan ska flyttas från nuvarande lokalisering inom det föreslagna planområdet till en ny plats. Alternativa placeringar har tagits fram och samråds i dagsläget med bågskytteklubben.</w:t>
      </w:r>
      <w:bookmarkEnd w:id="58"/>
      <w:r>
        <w:br w:type="textWrapping"/>
      </w:r>
    </w:p>
    <w:p>
      <w:pPr>
        <w:pStyle w:val="P13"/>
      </w:pPr>
      <w:bookmarkStart w:id="59" w:name="_Toc143176894"/>
      <w:r>
        <w:t>Planeringsunderlag</w:t>
      </w:r>
      <w:bookmarkEnd w:id="59"/>
    </w:p>
    <w:p>
      <w:pPr>
        <w:pStyle w:val="P14"/>
      </w:pPr>
      <w:r>
        <w:t>I planbeskrivningen ska kommunen redovisa en sammanställning av de planeringsunderlag som legat till grund för detaljplanens omfattning och utformning. I praktiken är detta en referenslista över de underlag som använts vid framtagandet av detaljplanen. Varje planeringsunderlag bör listas med namn, datum och lagringsplats. Lagringsplatsen kan antingen vara ett fysiskt arkiv, digitalt arkiv eller en åtkomstplats på internet. För framtida användning av planeringsunderlaget i till exempel en närliggande detaljplan eller om uppgifterna i utredningen av någon anledning behöver refereras är det viktigt att angiven lagringsplats förväntas vara stabil.</w:t>
      </w:r>
    </w:p>
    <w:p>
      <w:pPr>
        <w:pStyle w:val="P15"/>
      </w:pPr>
      <w:bookmarkStart w:id="60" w:name="_Toc143176895"/>
      <w:r>
        <w:t>Kommunala</w:t>
      </w:r>
      <w:bookmarkEnd w:id="60"/>
    </w:p>
    <w:p>
      <w:pPr>
        <w:pStyle w:val="P16"/>
      </w:pPr>
      <w:bookmarkStart w:id="61" w:name="_Toc143176896"/>
      <w:r>
        <w:t>Grundkarta</w:t>
      </w:r>
      <w:bookmarkEnd w:id="61"/>
    </w:p>
    <w:p>
      <w:pPr>
        <w:pStyle w:val="P14"/>
      </w:pPr>
      <w:bookmarkStart w:id="62" w:name="pu_grundkarta01"/>
      <w:r>
        <w:t>Till planen har grundkarta upprättats av Metria 2021-05-25. Inga förändringar har skett i området sedan dess varför datat i kartan anses vara aktuellt. Grundkartan är upprättad i Sweref 99 20 15 i plan och RH 2000 i höjd.</w:t>
      </w:r>
    </w:p>
    <w:p>
      <w:pPr>
        <w:pStyle w:val="P16"/>
      </w:pPr>
      <w:bookmarkEnd w:id="62"/>
      <w:bookmarkStart w:id="63" w:name="_Toc143176897"/>
      <w:r>
        <w:t>Översiktsplan</w:t>
      </w:r>
      <w:bookmarkEnd w:id="63"/>
    </w:p>
    <w:p>
      <w:pPr>
        <w:pStyle w:val="P14"/>
      </w:pPr>
      <w:bookmarkStart w:id="64" w:name="pu_översiktsplan01"/>
      <w:r>
        <w:t>För planområdet gäller så väl Översiktsplan för Kiruna kommun 2018 som Fördjupad översiktsplan för Kiruna centralort 2014.</w:t>
      </w:r>
    </w:p>
    <w:p>
      <w:pPr>
        <w:pStyle w:val="P16"/>
      </w:pPr>
      <w:bookmarkEnd w:id="64"/>
      <w:bookmarkStart w:id="65" w:name="_Toc143176898"/>
      <w:r>
        <w:t>Miljökonsekvensbeskrivning</w:t>
      </w:r>
      <w:bookmarkEnd w:id="65"/>
    </w:p>
    <w:p>
      <w:pPr>
        <w:pStyle w:val="P14"/>
      </w:pPr>
      <w:bookmarkStart w:id="66" w:name="pu_miljökonsekvensbeskrivning01"/>
      <w:bookmarkStart w:id="67" w:name="pu_miljökonsekvensbeskrivning02"/>
      <w:r>
        <w:t xml:space="preserve">Miljökonsekvensbeskrivning Kiruna skogskyrkogård, Miljökonsekvensbeskrivning tillhörande detaljplan för del av Kiruna 1:1 och del av Kiruna 1:173, krematorium och begravningsplats 2022-04-28 har upprättats av AFRY. </w:t>
      </w:r>
    </w:p>
    <w:p>
      <w:pPr>
        <w:pStyle w:val="P14"/>
      </w:pPr>
      <w:r>
        <w:t>Miljökonsekvensbeskrivningen har uppdaterats 2023-05-02.</w:t>
      </w:r>
    </w:p>
    <w:p>
      <w:pPr>
        <w:pStyle w:val="P16"/>
      </w:pPr>
      <w:bookmarkEnd w:id="66"/>
      <w:bookmarkEnd w:id="67"/>
      <w:bookmarkStart w:id="68" w:name="_Toc143176899"/>
      <w:r>
        <w:t>Särskilt beslut om betydande miljöpåverkan</w:t>
      </w:r>
      <w:bookmarkEnd w:id="68"/>
    </w:p>
    <w:p>
      <w:pPr>
        <w:pStyle w:val="P14"/>
      </w:pPr>
      <w:bookmarkStart w:id="69" w:name="_Hlk128999597"/>
      <w:bookmarkStart w:id="70" w:name="pu_särskiltbeslutombetydandemiljöpåver01"/>
      <w:r>
        <w:t>Kommunstyrelsen i Kiruna kommun fattade 2022-05-23, §178, beslut om att en miljökonsekvensbeskrivning ska upprättas.</w:t>
      </w:r>
    </w:p>
    <w:p>
      <w:pPr>
        <w:pStyle w:val="P15"/>
      </w:pPr>
      <w:bookmarkEnd w:id="69"/>
      <w:bookmarkEnd w:id="70"/>
      <w:bookmarkStart w:id="71" w:name="_Toc143176900"/>
      <w:r>
        <w:t>Utredningar</w:t>
      </w:r>
      <w:bookmarkEnd w:id="71"/>
    </w:p>
    <w:p>
      <w:pPr>
        <w:pStyle w:val="P16"/>
      </w:pPr>
      <w:bookmarkStart w:id="72" w:name="_Toc143176901"/>
      <w:r>
        <w:t>Dagvattenutredning, hydrologisk utredning</w:t>
      </w:r>
      <w:bookmarkEnd w:id="72"/>
    </w:p>
    <w:p>
      <w:pPr>
        <w:pStyle w:val="P14"/>
      </w:pPr>
      <w:bookmarkStart w:id="73" w:name="pu_dagvattenutredning01"/>
      <w:r>
        <w:t>Dagvatten - och hydrogeologisk utredning, ny begravningsplats Kiruna, Slutversion, 2021-09-17 har upprättats av Tyréns.</w:t>
      </w:r>
      <w:bookmarkEnd w:id="73"/>
      <w:r>
        <w:br w:type="textWrapping"/>
      </w:r>
    </w:p>
    <w:p>
      <w:pPr>
        <w:rPr>
          <w:rFonts w:ascii="Lucida Sans" w:hAnsi="Lucida Sans"/>
          <w:b w:val="1"/>
          <w:sz w:val="22"/>
          <w:szCs w:val="22"/>
        </w:rPr>
      </w:pPr>
      <w:bookmarkStart w:id="74" w:name="_Toc143176902"/>
      <w:r>
        <w:br w:type="page"/>
      </w:r>
    </w:p>
    <w:p>
      <w:pPr>
        <w:pStyle w:val="P16"/>
      </w:pPr>
      <w:r>
        <w:t>Naturinventering</w:t>
      </w:r>
      <w:bookmarkEnd w:id="74"/>
    </w:p>
    <w:p>
      <w:pPr>
        <w:pStyle w:val="P14"/>
      </w:pPr>
      <w:bookmarkStart w:id="75" w:name="pu_naturinventering01"/>
      <w:r>
        <w:t>Naturvärdesinventering, Kiruna, 2021-08-16, har upprättats av AFRY. Till utredning hör Bilaga 1, Kartbilaga samt shapefil med skyddsvärda träd som punkobjekt.</w:t>
      </w:r>
      <w:bookmarkEnd w:id="75"/>
      <w:r>
        <w:br w:type="textWrapping"/>
      </w:r>
    </w:p>
    <w:p>
      <w:pPr>
        <w:pStyle w:val="P16"/>
      </w:pPr>
      <w:bookmarkStart w:id="76" w:name="_Toc143176903"/>
      <w:r>
        <w:t>Geoteknisk och markteknisk utredning</w:t>
      </w:r>
      <w:bookmarkEnd w:id="76"/>
    </w:p>
    <w:p>
      <w:pPr>
        <w:pStyle w:val="P14"/>
      </w:pPr>
      <w:bookmarkStart w:id="77" w:name="pu_geotekniskutredning01"/>
      <w:bookmarkStart w:id="78" w:name="pu_markmiljöutredning01"/>
      <w:r>
        <w:t>MUR (marktekniskundersökningsrapport/geoteknik), Ny kyrkogård, Kiruna, 2021-09-17, har tagits fram av Tyréns. Reviderad 2022-11-04.</w:t>
      </w:r>
    </w:p>
    <w:p>
      <w:pPr>
        <w:pStyle w:val="P14"/>
      </w:pPr>
      <w:r>
        <w:t>PM Geo, Ny gravplats, Kiruna, 2021-09-17, har tagits fram av Tyréns. Reviderad 2022-11-04.</w:t>
      </w:r>
    </w:p>
    <w:p>
      <w:pPr>
        <w:pStyle w:val="P14"/>
      </w:pPr>
      <w:r>
        <w:t xml:space="preserve">Markradarundersökning Kiruna inklusive bilagor, 2022-11-15, Tyréns. </w:t>
      </w:r>
      <w:bookmarkEnd w:id="77"/>
      <w:bookmarkEnd w:id="78"/>
      <w:r>
        <w:br w:type="textWrapping"/>
      </w:r>
    </w:p>
    <w:p>
      <w:pPr>
        <w:pStyle w:val="P16"/>
      </w:pPr>
      <w:bookmarkStart w:id="79" w:name="_Toc143176904"/>
      <w:r>
        <w:t>Bullerutredning</w:t>
      </w:r>
      <w:bookmarkEnd w:id="79"/>
    </w:p>
    <w:p>
      <w:pPr>
        <w:pStyle w:val="P14"/>
      </w:pPr>
      <w:bookmarkStart w:id="80" w:name="pu_bullerutredning01"/>
      <w:r>
        <w:t>Två separata bullerutredningar har tagits fram:</w:t>
      </w:r>
    </w:p>
    <w:p>
      <w:pPr>
        <w:pStyle w:val="P14"/>
      </w:pPr>
      <w:r>
        <w:t>Bullerutredning för detaljplan för ny begravningsplats, Kiruna kommun, 2022-04-07, Ensucon, för internt och externt buller.</w:t>
      </w:r>
    </w:p>
    <w:p>
      <w:pPr>
        <w:pStyle w:val="P14"/>
      </w:pPr>
      <w:r>
        <w:t>Vägtrafikbuller – Kiruna nya begravningsplats, Kiruna kommun, rapportnummer 2022:203, Trivector, med fokus på vägtrafik- och snöskoterbuller.</w:t>
      </w:r>
      <w:bookmarkEnd w:id="80"/>
      <w:r>
        <w:br w:type="textWrapping"/>
      </w:r>
    </w:p>
    <w:p>
      <w:pPr>
        <w:pStyle w:val="P16"/>
      </w:pPr>
      <w:bookmarkStart w:id="81" w:name="_Toc143176905"/>
      <w:r>
        <w:t>Barnkonsekvensanalys</w:t>
      </w:r>
      <w:bookmarkEnd w:id="81"/>
    </w:p>
    <w:p>
      <w:pPr>
        <w:pStyle w:val="P14"/>
      </w:pPr>
      <w:bookmarkStart w:id="82" w:name="pu_barnkonsekvensanalys01"/>
      <w:r>
        <w:t>Barnkonsekvensanalys, Kyrkogård, Kiruna Pastorat, 2022-04-03.</w:t>
      </w:r>
      <w:bookmarkEnd w:id="82"/>
      <w:r>
        <w:br w:type="textWrapping"/>
      </w:r>
    </w:p>
    <w:p>
      <w:pPr>
        <w:pStyle w:val="P16"/>
      </w:pPr>
      <w:bookmarkStart w:id="83" w:name="_Toc143176906"/>
      <w:r>
        <w:t>Arkeologisk utredning</w:t>
      </w:r>
      <w:bookmarkEnd w:id="83"/>
    </w:p>
    <w:p>
      <w:pPr>
        <w:pStyle w:val="P14"/>
      </w:pPr>
      <w:bookmarkStart w:id="84" w:name="pu_arkeologiskutredning01"/>
      <w:r>
        <w:t xml:space="preserve">En arkeologisk utredning togs fram i samband med utredning av dragning av ny järnväg 2005. </w:t>
      </w:r>
      <w:bookmarkEnd w:id="84"/>
      <w:r>
        <w:t>Denna utredning har använts i detaljplanen: RAPPORT KIRUNAPROJEKTET, Ny järnväg, Kiruna, Arkeologisk utredning, etapp 1, Jukkasjärvi socken, Norrbottens län, Lappland, April 2006, NORRBOTTENS MUSEUM, Dnr 371-2005</w:t>
        <w:br w:type="textWrapping"/>
      </w:r>
    </w:p>
    <w:p>
      <w:pPr>
        <w:pStyle w:val="P15"/>
      </w:pPr>
      <w:bookmarkStart w:id="85" w:name="_Toc143176907"/>
      <w:r>
        <w:t>Regionala</w:t>
      </w:r>
      <w:bookmarkEnd w:id="85"/>
    </w:p>
    <w:p>
      <w:pPr>
        <w:pStyle w:val="P14"/>
      </w:pPr>
      <w:r>
        <w:t>Följande regionala underlag har använts i detaljplanen:</w:t>
      </w:r>
    </w:p>
    <w:p>
      <w:pPr>
        <w:pStyle w:val="P14"/>
      </w:pPr>
      <w:bookmarkStart w:id="86" w:name="pu_rapport01"/>
      <w:r>
        <w:t xml:space="preserve">Snö i framtida klimat Rapport för våra sju nordligaste län. Länsstyrelserna i Norrbottens, Västerbottens, Västernorrlands, Jämtlands, Dalarnas, Gävleborgs och Värmlands län. </w:t>
      </w:r>
      <w:bookmarkEnd w:id="86"/>
      <w:r>
        <w:t xml:space="preserve"> </w:t>
      </w:r>
    </w:p>
    <w:p>
      <w:pPr>
        <w:pStyle w:val="P14"/>
      </w:pPr>
      <w:bookmarkStart w:id="87" w:name="pu_riktlinjer01"/>
      <w:r>
        <w:t>Riktlinjer för fysisk planering, Skyddsavstånd till transportleder för farligt gods i Norrbottens och Västerbottens län, Diarienummer: Länsstyrelsen Norrbotten 408-4808-2019.</w:t>
      </w:r>
    </w:p>
    <w:p>
      <w:pPr>
        <w:pStyle w:val="P15"/>
      </w:pPr>
      <w:bookmarkEnd w:id="87"/>
      <w:bookmarkStart w:id="88" w:name="_Toc143176908"/>
      <w:r>
        <w:t>Annat</w:t>
      </w:r>
      <w:bookmarkEnd w:id="88"/>
    </w:p>
    <w:p>
      <w:pPr>
        <w:pStyle w:val="P14"/>
        <w:numPr>
          <w:ilvl w:val="0"/>
          <w:numId w:val="22"/>
        </w:numPr>
        <w:rPr>
          <w:rStyle w:val="C2"/>
          <w:color w:val="auto"/>
          <w:u w:val="none"/>
        </w:rPr>
      </w:pPr>
      <w:r>
        <w:t xml:space="preserve">Fornsök, Riksantikvarieämbetet: </w:t>
      </w:r>
      <w:hyperlink xmlns:r="http://schemas.openxmlformats.org/officeDocument/2006/relationships" r:id="R2">
        <w:r>
          <w:rPr>
            <w:rStyle w:val="C2"/>
          </w:rPr>
          <w:t>Fornsök (raa.se)</w:t>
        </w:r>
      </w:hyperlink>
    </w:p>
    <w:p>
      <w:pPr>
        <w:pStyle w:val="P14"/>
        <w:numPr>
          <w:ilvl w:val="0"/>
          <w:numId w:val="22"/>
        </w:numPr>
      </w:pPr>
      <w:r>
        <w:t>Gestaltningsprogram Kiruna skogskyrkogård, Outer space arkitekter 2022</w:t>
      </w:r>
    </w:p>
    <w:p>
      <w:pPr>
        <w:pStyle w:val="P14"/>
        <w:numPr>
          <w:ilvl w:val="0"/>
          <w:numId w:val="22"/>
        </w:numPr>
      </w:pPr>
      <w:r>
        <w:t>Kartunderlag i intern karttjänst, hämtade från respektive myndighet till exempel riksintressen.</w:t>
        <w:br w:type="textWrapping"/>
      </w:r>
    </w:p>
    <w:p>
      <w:pPr>
        <w:pStyle w:val="P13"/>
      </w:pPr>
      <w:bookmarkStart w:id="89" w:name="_Toc143176909"/>
      <w:r>
        <w:t>Planeringsförutsättningar</w:t>
      </w:r>
      <w:bookmarkEnd w:id="89"/>
    </w:p>
    <w:p>
      <w:pPr>
        <w:pStyle w:val="P15"/>
      </w:pPr>
      <w:bookmarkStart w:id="90" w:name="_Toc143176910"/>
      <w:r>
        <w:t>Kommunala</w:t>
      </w:r>
      <w:bookmarkEnd w:id="90"/>
    </w:p>
    <w:p>
      <w:pPr>
        <w:pStyle w:val="P14"/>
      </w:pPr>
      <w:r>
        <w:t>Till de kommunala planeringsförutsättningarna hör ställningstaganden i kommunala planeringsunderlag och beslut.</w:t>
      </w:r>
    </w:p>
    <w:p>
      <w:pPr>
        <w:pStyle w:val="P16"/>
      </w:pPr>
      <w:bookmarkStart w:id="91" w:name="_Toc143176911"/>
      <w:r>
        <w:t>Planbesked</w:t>
      </w:r>
      <w:bookmarkEnd w:id="91"/>
    </w:p>
    <w:p>
      <w:pPr>
        <w:pStyle w:val="P14"/>
      </w:pPr>
      <w:bookmarkStart w:id="92" w:name="pf_förhandsbesked01"/>
      <w:r>
        <w:t>Kommunstyrelsen i Kiruna kommun fattade 2022-05-23, §178, beslut om att ge ett positivt planbesked för utvecklingsområdet.</w:t>
      </w:r>
    </w:p>
    <w:p>
      <w:pPr>
        <w:pStyle w:val="P16"/>
      </w:pPr>
      <w:bookmarkEnd w:id="92"/>
      <w:bookmarkStart w:id="93" w:name="_Toc143176912"/>
      <w:r>
        <w:t>Översiktsplan</w:t>
      </w:r>
      <w:bookmarkEnd w:id="93"/>
    </w:p>
    <w:p>
      <w:pPr>
        <w:pStyle w:val="P14"/>
      </w:pPr>
      <w:bookmarkStart w:id="94" w:name="pf_översiktsplan01"/>
      <w:r>
        <w:t xml:space="preserve">I den kommunövergripande översiktsplanen, antagen 2018, är ett område direkt väster om det nu föreslagna området, utlagt som ett utredningsområde för nytt krematorium. </w:t>
      </w:r>
    </w:p>
    <w:p>
      <w:pPr>
        <w:pStyle w:val="P14"/>
      </w:pPr>
      <w:r>
        <w:t xml:space="preserve">I den fördjupade översiktsplanen för Kiruna C 2014 är området utlagt för idrott (golfbana, bågskytte, ridanläggning) samt tidigare buffertzon för ny väg E10. </w:t>
      </w:r>
    </w:p>
    <w:p>
      <w:pPr>
        <w:pStyle w:val="P14"/>
      </w:pPr>
      <w:r>
        <w:t>Buffertzonen är inte längre aktuell då väg E10 redan byggts.</w:t>
      </w:r>
    </w:p>
    <w:p>
      <w:pPr>
        <w:pStyle w:val="P14"/>
      </w:pPr>
      <w:r>
        <w:t xml:space="preserve">I övrigt är användningen av området, enligt ”Fördjupad översiktsplan Kiruna centralort 2014”, tänkt för idrott (golfbana, bågskytte, ridanläggning). Golfbanan har sin utvecklingsinriktning österut och påverkas inte. Bågskyttebanan kommer att flyttas till annan plats, dels för att inte påverka den nya begravningsplatsen, dels för att inte påverkas av den samma. Ridanläggningen ser ut att kunna vara kvar på nuvarande plats. I det fall det blir aktuellt att omlokalisera ridanläggningen i framtiden finns förslag på ny placering väster om Kurravaaravägen/norr om E10. </w:t>
      </w:r>
    </w:p>
    <w:p>
      <w:pPr>
        <w:pStyle w:val="P14"/>
      </w:pPr>
      <w:r>
        <w:t>Placeringen av nytt krematorium, ny begravningsplats, kolumbarium och minneslund sydost om nuvarande avfallsanläggning/återvinningscentral uppfyller samtliga förutsättningar.</w:t>
      </w:r>
    </w:p>
    <w:p>
      <w:pPr>
        <w:pStyle w:val="P14"/>
      </w:pPr>
      <w:r>
        <w:t>Kommunstyrelsen i Kiruna kommun fattade 2022-05-23, §178, beslut om att frångå Fördjupad översiktsplan för Kiruna centralort 2014.</w:t>
      </w:r>
    </w:p>
    <w:p>
      <w:pPr>
        <w:pStyle w:val="P14"/>
      </w:pPr>
      <w:bookmarkEnd w:id="94"/>
    </w:p>
    <w:p>
      <w:pPr>
        <w:pStyle w:val="P15"/>
      </w:pPr>
      <w:bookmarkStart w:id="95" w:name="_Toc143176913"/>
      <w:r>
        <w:t>Riksintressen</w:t>
      </w:r>
      <w:bookmarkEnd w:id="95"/>
    </w:p>
    <w:p>
      <w:pPr>
        <w:pStyle w:val="P16"/>
      </w:pPr>
      <w:bookmarkStart w:id="96" w:name="_Toc143176914"/>
      <w:r>
        <w:t>Rennäring</w:t>
      </w:r>
      <w:bookmarkEnd w:id="96"/>
    </w:p>
    <w:p>
      <w:pPr>
        <w:pStyle w:val="P30"/>
      </w:pPr>
      <w:r>
        <w:rPr>
          <w:noProof w:val="1"/>
          <w:sz w:val="20"/>
          <w:szCs w:val="20"/>
          <w:lang w:eastAsia="sv-SE"/>
        </w:rPr>
        <mc:AlternateContent>
          <mc:Choice Requires="wps">
            <w:drawing>
              <wp:anchor xmlns:wp="http://schemas.openxmlformats.org/drawingml/2006/wordprocessingDrawing" distT="45720" distB="45720" distL="114300" distR="114300" simplePos="0" relativeHeight="10" behindDoc="0" locked="0" layoutInCell="1" allowOverlap="1">
                <wp:simplePos x="0" y="0"/>
                <wp:positionH relativeFrom="margin">
                  <wp:posOffset>3051175</wp:posOffset>
                </wp:positionH>
                <wp:positionV relativeFrom="paragraph">
                  <wp:posOffset>1497965</wp:posOffset>
                </wp:positionV>
                <wp:extent cx="2695575" cy="895350"/>
                <wp:effectExtent l="0" t="0" r="0" b="0"/>
                <wp:wrapNone/>
                <wp:docPr id="25" name="Textruta 2"/>
                <wp:cNvGraphicFramePr/>
                <a:graphic xmlns:a="http://schemas.openxmlformats.org/drawingml/2006/main">
                  <a:graphicData uri="http://schemas.microsoft.com/office/word/2010/wordprocessingShape">
                    <wps:wsp>
                      <wps:cNvSpPr txBox="1">
                        <a:spLocks noChangeArrowheads="1"/>
                      </wps:cNvSpPr>
                      <wps:spPr bwMode="auto">
                        <a:xfrm>
                          <a:off x="0" y="0"/>
                          <a:ext cx="2695575" cy="89535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4"/>
                              <w:rPr>
                                <w:i w:val="1"/>
                                <w:iCs w:val="1"/>
                              </w:rPr>
                            </w:pPr>
                            <w:r>
                              <w:rPr>
                                <w:i w:val="1"/>
                                <w:iCs w:val="1"/>
                              </w:rPr>
                              <w:t>Figur 4, Den röda ringen visar planområdets ungefärliga läge. Den bruna rastreringen visar riksintresseområdet.</w:t>
                            </w:r>
                          </w:p>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6" style="position:absolute;width:212.25pt;height:70.5pt;z-index:10;mso-wrap-distance-left:9pt;mso-wrap-distance-top:3.6pt;mso-wrap-distance-right:9pt;mso-wrap-distance-bottom:3.6pt;margin-left:240.25pt;margin-top:117.95pt;mso-position-horizontal:absolute;mso-position-horizontal-relative:margin;mso-position-vertical:absolute;mso-position-vertical-relative:text" o:allowincell="t" filled="f" strokeweight="0.75pt" stroked="f">
                <v:textbox inset="3mm,1mm,3mm,1mm">
                  <w:txbxContent>
                    <w:p>
                      <w:pPr>
                        <w:pStyle w:val="P14"/>
                        <w:rPr>
                          <w:i w:val="1"/>
                          <w:iCs w:val="1"/>
                        </w:rPr>
                      </w:pPr>
                      <w:r>
                        <w:rPr>
                          <w:i w:val="1"/>
                          <w:iCs w:val="1"/>
                        </w:rPr>
                        <w:t>Figur 4, Den röda ringen visar planområdets ungefärliga läge. Den bruna rastreringen visar riksintresseområdet.</w:t>
                      </w:r>
                    </w:p>
                    <w:p/>
                  </w:txbxContent>
                </v:textbox>
              </v:shape>
            </w:pict>
          </mc:Fallback>
        </mc:AlternateContent>
      </w:r>
      <w:r>
        <w:rPr>
          <w:noProof w:val="1"/>
          <w:lang w:eastAsia="sv-SE"/>
        </w:rPr>
        <w:drawing>
          <wp:anchor xmlns:wp="http://schemas.openxmlformats.org/drawingml/2006/wordprocessingDrawing" distT="0" distB="0" distL="114300" distR="114300" simplePos="0" relativeHeight="11" behindDoc="0" locked="0" layoutInCell="1" allowOverlap="1">
            <wp:simplePos x="0" y="0"/>
            <wp:positionH relativeFrom="column">
              <wp:posOffset>60960</wp:posOffset>
            </wp:positionH>
            <wp:positionV relativeFrom="paragraph">
              <wp:posOffset>574040</wp:posOffset>
            </wp:positionV>
            <wp:extent cx="2657475" cy="1844040"/>
            <wp:effectExtent l="19050" t="19050" r="28575" b="22860"/>
            <wp:wrapTopAndBottom/>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dpi="0">
                    <a:blip xmlns:r="http://schemas.openxmlformats.org/officeDocument/2006/relationships" r:embed="Relimage6"/>
                    <a:srcRect/>
                    <a:stretch>
                      <a:fillRect/>
                    </a:stretch>
                  </pic:blipFill>
                  <pic:spPr>
                    <a:xfrm>
                      <a:off x="0" y="0"/>
                      <a:ext cx="2657475" cy="1844040"/>
                    </a:xfrm>
                    <a:prstGeom prst="rect"/>
                    <a:ln>
                      <a:solidFill>
                        <a:schemeClr val="tx1"/>
                      </a:solidFill>
                    </a:ln>
                  </pic:spPr>
                </pic:pic>
              </a:graphicData>
            </a:graphic>
          </wp:anchor>
        </w:drawing>
      </w:r>
      <w:bookmarkStart w:id="97" w:name="pf_rennäring01"/>
      <w:r>
        <w:t>Riksintresse för rennäringen, 3 kap 5§ miljöbalken, angränsar till planområdet. Intresset berörs inte av detaljplanen.</w:t>
      </w:r>
    </w:p>
    <w:p>
      <w:pPr>
        <w:pStyle w:val="P14"/>
      </w:pPr>
      <w:bookmarkEnd w:id="97"/>
    </w:p>
    <w:p>
      <w:pPr>
        <w:pStyle w:val="P16"/>
      </w:pPr>
      <w:bookmarkStart w:id="98" w:name="_Toc143176915"/>
      <w:r>
        <w:t>Kulturmiljövård</w:t>
      </w:r>
      <w:bookmarkEnd w:id="98"/>
    </w:p>
    <w:p>
      <w:pPr>
        <w:pStyle w:val="P30"/>
        <w:rPr>
          <w:rFonts w:ascii="Georgia" w:hAnsi="Georgia"/>
          <w:sz w:val="22"/>
          <w:szCs w:val="20"/>
        </w:rPr>
      </w:pPr>
      <w:bookmarkStart w:id="99" w:name="pf_kulturmiljövård01"/>
      <w:r>
        <w:rPr>
          <w:rFonts w:ascii="Georgia" w:hAnsi="Georgia"/>
          <w:sz w:val="22"/>
          <w:szCs w:val="20"/>
        </w:rPr>
        <w:t>Hela Kiruna centrum inklusive planområdet ligger inom riksintresse för kulturmiljövården för sin stadsmiljö och sitt industrilandskap, enligt miljöbalken 3 kap. 6§. Detaljplanen bedöms påverka riksintresset något negativt då det ligger utanför stadsmiljöerna och inte i industrilandskapet.</w:t>
      </w:r>
    </w:p>
    <w:p>
      <w:pPr>
        <w:pStyle w:val="P14"/>
      </w:pPr>
      <w:bookmarkEnd w:id="99"/>
    </w:p>
    <w:p>
      <w:pPr>
        <w:pStyle w:val="P16"/>
        <w:numPr>
          <w:ilvl w:val="0"/>
          <w:numId w:val="0"/>
        </w:numPr>
        <w:ind w:firstLine="0" w:left="0"/>
      </w:pPr>
      <w:bookmarkStart w:id="100" w:name="_Toc143176916"/>
      <w:r>
        <w:rPr>
          <w:noProof w:val="1"/>
          <w:lang w:eastAsia="sv-SE"/>
        </w:rPr>
        <mc:AlternateContent>
          <mc:Choice Requires="wps">
            <w:drawing>
              <wp:anchor xmlns:wp="http://schemas.openxmlformats.org/drawingml/2006/wordprocessingDrawing" distT="45720" distB="45720" distL="114300" distR="114300" simplePos="0" relativeHeight="12" behindDoc="0" locked="0" layoutInCell="1" allowOverlap="1">
                <wp:simplePos x="0" y="0"/>
                <wp:positionH relativeFrom="column">
                  <wp:posOffset>3168015</wp:posOffset>
                </wp:positionH>
                <wp:positionV relativeFrom="paragraph">
                  <wp:posOffset>1300480</wp:posOffset>
                </wp:positionV>
                <wp:extent cx="2647950" cy="1404620"/>
                <wp:effectExtent l="0" t="0" r="0" b="0"/>
                <wp:wrapNone/>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264795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0"/>
                              <w:rPr>
                                <w:rFonts w:ascii="Georgia" w:hAnsi="Georgia"/>
                                <w:i w:val="1"/>
                                <w:iCs w:val="1"/>
                                <w:sz w:val="22"/>
                                <w:szCs w:val="20"/>
                              </w:rPr>
                            </w:pPr>
                            <w:r>
                              <w:rPr>
                                <w:rFonts w:ascii="Georgia" w:hAnsi="Georgia"/>
                                <w:i w:val="1"/>
                                <w:iCs w:val="1"/>
                                <w:sz w:val="22"/>
                                <w:szCs w:val="20"/>
                              </w:rPr>
                              <w:t xml:space="preserve">Figur 5, Den röda ringen visar planområdets ungefärliga läge. Det gula visar riksintresseområdet. </w:t>
                            </w:r>
                          </w:p>
                          <w:p/>
                        </w:txbxContent>
                      </wps:txbx>
                      <wps:bodyPr rot="0" vert="horz" wrap="square" lIns="91440" tIns="45720" rIns="91440" bIns="45720" anchor="t" anchorCtr="0">
                        <a:spAutoFit/>
                      </wps:bodyPr>
                    </wps:wsp>
                  </a:graphicData>
                </a:graphic>
                <wp14:sizeRelV relativeFrom="margin">
                  <wp14:pctHeight>20000</wp14:pctHeight>
                </wp14:sizeRelV>
              </wp:anchor>
            </w:drawing>
          </mc:Choice>
          <mc:Fallback>
            <w:pict>
              <v:shape xmlns:o="urn:schemas-microsoft-com:office:office" type="#_x0000_t202" id="Textruta 2" o:spid="_x0000_s1037" style="position:absolute;width:208.5pt;height:110.6pt;z-index:12;mso-wrap-distance-left:9pt;mso-wrap-distance-top:3.6pt;mso-wrap-distance-right:9pt;mso-wrap-distance-bottom:3.6pt;margin-left:249.45pt;margin-top:102.4pt;mso-position-horizontal:absolute;mso-position-horizontal-relative:text;mso-position-vertical:absolute;mso-position-vertical-relative:text;mso-height-relative:margin;mso-height-percent:200" o:allowincell="t" filled="f" strokeweight="0.75pt" stroked="f">
                <v:textbox style="mso-fit-shape-to-text:t" inset="3mm,1mm,3mm,1mm">
                  <w:txbxContent>
                    <w:p>
                      <w:pPr>
                        <w:pStyle w:val="P30"/>
                        <w:rPr>
                          <w:rFonts w:ascii="Georgia" w:hAnsi="Georgia"/>
                          <w:i w:val="1"/>
                          <w:iCs w:val="1"/>
                          <w:sz w:val="22"/>
                          <w:szCs w:val="20"/>
                        </w:rPr>
                      </w:pPr>
                      <w:r>
                        <w:rPr>
                          <w:rFonts w:ascii="Georgia" w:hAnsi="Georgia"/>
                          <w:i w:val="1"/>
                          <w:iCs w:val="1"/>
                          <w:sz w:val="22"/>
                          <w:szCs w:val="20"/>
                        </w:rPr>
                        <w:t xml:space="preserve">Figur 5, Den röda ringen visar planområdets ungefärliga läge. Det gula visar riksintresseområdet. </w:t>
                      </w:r>
                    </w:p>
                    <w:p/>
                  </w:txbxContent>
                </v:textbox>
              </v:shape>
            </w:pict>
          </mc:Fallback>
        </mc:AlternateContent>
      </w:r>
      <w:r>
        <w:rPr>
          <w:noProof w:val="1"/>
          <w:lang w:eastAsia="sv-SE"/>
        </w:rPr>
        <w:drawing>
          <wp:anchor xmlns:wp="http://schemas.openxmlformats.org/drawingml/2006/wordprocessingDrawing" distT="0" distB="0" distL="114300" distR="114300" simplePos="0" relativeHeight="13" behindDoc="0" locked="0" layoutInCell="1" allowOverlap="1">
            <wp:simplePos x="0" y="0"/>
            <wp:positionH relativeFrom="column">
              <wp:posOffset>22860</wp:posOffset>
            </wp:positionH>
            <wp:positionV relativeFrom="paragraph">
              <wp:posOffset>17145</wp:posOffset>
            </wp:positionV>
            <wp:extent cx="2390775" cy="2098040"/>
            <wp:effectExtent l="19050" t="19050" r="28575" b="16510"/>
            <wp:wrapTopAndBottom/>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dpi="0">
                    <a:blip xmlns:r="http://schemas.openxmlformats.org/officeDocument/2006/relationships" r:embed="Relimage7"/>
                    <a:srcRect/>
                    <a:stretch>
                      <a:fillRect/>
                    </a:stretch>
                  </pic:blipFill>
                  <pic:spPr>
                    <a:xfrm>
                      <a:off x="0" y="0"/>
                      <a:ext cx="2390775" cy="2098040"/>
                    </a:xfrm>
                    <a:prstGeom prst="rect"/>
                    <a:ln>
                      <a:solidFill>
                        <a:schemeClr val="tx1"/>
                      </a:solidFill>
                    </a:ln>
                  </pic:spPr>
                </pic:pic>
              </a:graphicData>
            </a:graphic>
          </wp:anchor>
        </w:drawing>
      </w:r>
      <w:bookmarkEnd w:id="100"/>
    </w:p>
    <w:p>
      <w:pPr>
        <w:pStyle w:val="P14"/>
      </w:pPr>
    </w:p>
    <w:p>
      <w:pPr>
        <w:pStyle w:val="P16"/>
      </w:pPr>
      <w:bookmarkStart w:id="101" w:name="_Toc143176917"/>
      <w:r>
        <w:t>Fyndigheter av ämnen och material</w:t>
      </w:r>
      <w:bookmarkEnd w:id="101"/>
    </w:p>
    <w:p>
      <w:pPr>
        <w:pStyle w:val="P30"/>
        <w:rPr>
          <w:rFonts w:ascii="Georgia" w:hAnsi="Georgia"/>
          <w:sz w:val="22"/>
          <w:szCs w:val="20"/>
        </w:rPr>
      </w:pPr>
      <w:bookmarkStart w:id="102" w:name="_Hlk100208990"/>
      <w:bookmarkStart w:id="103" w:name="pf_fyndigheteravämnenochmaterial01"/>
      <w:r>
        <w:rPr>
          <w:rFonts w:ascii="Georgia" w:hAnsi="Georgia"/>
          <w:sz w:val="22"/>
          <w:szCs w:val="20"/>
        </w:rPr>
        <w:t xml:space="preserve">Området omfattas av riksintresse för värdefulla ämnen och material, 3 kap 7 § miljöbalken. Riksintresset bedöms inte påverkas negativt. </w:t>
      </w:r>
    </w:p>
    <w:p>
      <w:pPr>
        <w:pStyle w:val="P30"/>
        <w:rPr>
          <w:rFonts w:ascii="Georgia" w:hAnsi="Georgia"/>
          <w:sz w:val="22"/>
          <w:szCs w:val="20"/>
        </w:rPr>
      </w:pPr>
      <w:r>
        <w:rPr>
          <w:rFonts w:ascii="Georgia" w:hAnsi="Georgia"/>
          <w:noProof w:val="1"/>
          <w:sz w:val="22"/>
          <w:szCs w:val="20"/>
        </w:rPr>
        <mc:AlternateContent>
          <mc:Choice Requires="wps">
            <w:drawing>
              <wp:anchor xmlns:wp="http://schemas.openxmlformats.org/drawingml/2006/wordprocessingDrawing" distT="45720" distB="45720" distL="114300" distR="114300" simplePos="0" relativeHeight="14" behindDoc="0" locked="0" layoutInCell="1" allowOverlap="1">
                <wp:simplePos x="0" y="0"/>
                <wp:positionH relativeFrom="margin">
                  <wp:posOffset>2880360</wp:posOffset>
                </wp:positionH>
                <wp:positionV relativeFrom="paragraph">
                  <wp:posOffset>1790065</wp:posOffset>
                </wp:positionV>
                <wp:extent cx="2360930" cy="1404620"/>
                <wp:effectExtent l="0" t="0" r="0" b="0"/>
                <wp:wrapTopAndBottom/>
                <wp:docPr id="14"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4"/>
                              <w:rPr>
                                <w:i w:val="1"/>
                                <w:iCs w:val="1"/>
                              </w:rPr>
                            </w:pPr>
                            <w:r>
                              <w:rPr>
                                <w:i w:val="1"/>
                                <w:iCs w:val="1"/>
                              </w:rPr>
                              <w:t>Figur 6, Den röda ringen visar planområdets ungefärliga läge. Det gula visar riksintresseområdet.</w:t>
                            </w:r>
                          </w:p>
                          <w:p>
                            <w:pPr>
                              <w:rPr>
                                <w:i w:val="1"/>
                                <w:bCs w:val="1"/>
                                <w:iCs w:val="1"/>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38" style="position:absolute;width:185.9pt;height:110.6pt;z-index:14;mso-wrap-distance-left:9pt;mso-wrap-distance-top:3.6pt;mso-wrap-distance-right:9pt;mso-wrap-distance-bottom:3.6pt;margin-left:226.8pt;margin-top:140.95pt;mso-position-horizontal:absolute;mso-position-horizontal-relative:margin;mso-position-vertical:absolute;mso-position-vertical-relative:text;mso-width-relative:margin;mso-width-percent:400;mso-height-relative:margin;mso-height-percent:200" o:allowincell="t" filled="f" strokeweight="0.75pt" stroked="f">
                <v:textbox style="mso-fit-shape-to-text:t" inset="3mm,1mm,3mm,1mm">
                  <w:txbxContent>
                    <w:p>
                      <w:pPr>
                        <w:pStyle w:val="P14"/>
                        <w:rPr>
                          <w:i w:val="1"/>
                          <w:iCs w:val="1"/>
                        </w:rPr>
                      </w:pPr>
                      <w:r>
                        <w:rPr>
                          <w:i w:val="1"/>
                          <w:iCs w:val="1"/>
                        </w:rPr>
                        <w:t>Figur 6, Den röda ringen visar planområdets ungefärliga läge. Det gula visar riksintresseområdet.</w:t>
                      </w:r>
                    </w:p>
                    <w:p>
                      <w:pPr>
                        <w:rPr>
                          <w:i w:val="1"/>
                          <w:bCs w:val="1"/>
                          <w:iCs w:val="1"/>
                        </w:rPr>
                      </w:pPr>
                    </w:p>
                  </w:txbxContent>
                </v:textbox>
                <w10:wrap type="topAndBottom"/>
              </v:shape>
            </w:pict>
          </mc:Fallback>
        </mc:AlternateContent>
      </w:r>
      <w:r>
        <w:rPr>
          <w:rFonts w:ascii="Georgia" w:hAnsi="Georgia"/>
          <w:noProof w:val="1"/>
          <w:sz w:val="22"/>
          <w:szCs w:val="20"/>
        </w:rPr>
        <w:drawing>
          <wp:anchor xmlns:wp="http://schemas.openxmlformats.org/drawingml/2006/wordprocessingDrawing" distT="0" distB="0" distL="114300" distR="114300" simplePos="0" relativeHeight="15" behindDoc="0" locked="0" layoutInCell="1" allowOverlap="1">
            <wp:simplePos x="0" y="0"/>
            <wp:positionH relativeFrom="margin">
              <wp:posOffset>47625</wp:posOffset>
            </wp:positionH>
            <wp:positionV relativeFrom="paragraph">
              <wp:posOffset>1317625</wp:posOffset>
            </wp:positionV>
            <wp:extent cx="2662555" cy="2509520"/>
            <wp:effectExtent l="19050" t="19050" r="23495" b="24130"/>
            <wp:wrapTopAndBottom/>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8"/>
                    <pic:cNvPicPr/>
                  </pic:nvPicPr>
                  <pic:blipFill dpi="0">
                    <a:blip xmlns:r="http://schemas.openxmlformats.org/officeDocument/2006/relationships" r:embed="Relimage8"/>
                    <a:srcRect/>
                    <a:stretch>
                      <a:fillRect/>
                    </a:stretch>
                  </pic:blipFill>
                  <pic:spPr>
                    <a:xfrm>
                      <a:off x="0" y="0"/>
                      <a:ext cx="2662555" cy="2509520"/>
                    </a:xfrm>
                    <a:prstGeom prst="rect"/>
                    <a:ln>
                      <a:solidFill>
                        <a:schemeClr val="tx1"/>
                      </a:solidFill>
                    </a:ln>
                  </pic:spPr>
                </pic:pic>
              </a:graphicData>
            </a:graphic>
          </wp:anchor>
        </w:drawing>
      </w:r>
      <w:r>
        <w:rPr>
          <w:rFonts w:ascii="Georgia" w:hAnsi="Georgia"/>
          <w:sz w:val="22"/>
          <w:szCs w:val="20"/>
        </w:rPr>
        <w:t>Enligt Miljöbalken 3 kap. 1§ ska mark- och vattenområden användas för det eller de ändamål de är mest lämpade för med hänsyn till beskaffenhet och läge samt föreliggande behov. Kommunen har gjort bedömningen att markområdet är mest lämpat för att användas till den föreslagna detaljplaneläggningen då platsen läge, markens beskaffenhet och framförallt föreliggande behov är starkt prioriterat. Krematoriebyggnaden med tillhörande begravningsplats är förvisso inte av riksintresse men har ett stort allmänintresse. Placeringen, med dess närhet till nya Kiruna centrum, har också ett mycket högt värde.</w:t>
      </w:r>
    </w:p>
    <w:p>
      <w:pPr>
        <w:pStyle w:val="P14"/>
      </w:pPr>
      <w:bookmarkEnd w:id="102"/>
      <w:bookmarkEnd w:id="103"/>
    </w:p>
    <w:p>
      <w:pPr>
        <w:rPr>
          <w:rFonts w:ascii="Lucida Sans" w:hAnsi="Lucida Sans"/>
          <w:b w:val="1"/>
          <w:sz w:val="22"/>
          <w:szCs w:val="22"/>
        </w:rPr>
      </w:pPr>
      <w:bookmarkStart w:id="104" w:name="_Toc143176918"/>
      <w:r>
        <w:br w:type="page"/>
      </w:r>
    </w:p>
    <w:p>
      <w:pPr>
        <w:pStyle w:val="P16"/>
      </w:pPr>
      <w:r>
        <w:t>Trafikkommunikation</w:t>
      </w:r>
      <w:bookmarkEnd w:id="104"/>
    </w:p>
    <w:p>
      <w:pPr>
        <w:pStyle w:val="P14"/>
      </w:pPr>
      <w:bookmarkStart w:id="105" w:name="pf_trafikkommunikation01"/>
      <w:r>
        <w:t>Planområdet angränsar till riksintresse för trafikkommunikation, väg E10. Detaljplanen berör inte vägområdet.</w:t>
      </w:r>
      <w:bookmarkEnd w:id="105"/>
      <w:r>
        <w:br w:type="textWrapping"/>
      </w:r>
    </w:p>
    <w:p>
      <w:pPr>
        <w:pStyle w:val="P16"/>
      </w:pPr>
      <w:bookmarkStart w:id="106" w:name="_Toc143176919"/>
      <w:r>
        <w:t>Totalförsvar</w:t>
      </w:r>
      <w:bookmarkEnd w:id="106"/>
    </w:p>
    <w:p>
      <w:pPr>
        <w:pStyle w:val="P30"/>
        <w:spacing w:lineRule="exact" w:line="300" w:after="160" w:beforeAutospacing="0" w:afterAutospacing="0"/>
        <w:rPr>
          <w:rFonts w:ascii="Georgia" w:hAnsi="Georgia"/>
          <w:sz w:val="22"/>
          <w:szCs w:val="20"/>
        </w:rPr>
      </w:pPr>
      <w:bookmarkStart w:id="107" w:name="pf_totalförsvar01"/>
      <w:r>
        <w:rPr>
          <w:rFonts w:ascii="Georgia" w:hAnsi="Georgia"/>
          <w:sz w:val="22"/>
          <w:szCs w:val="20"/>
        </w:rPr>
        <w:t xml:space="preserve">Området omfattas av </w:t>
      </w:r>
      <w:bookmarkStart w:id="108" w:name="_Hlk77327008"/>
      <w:r>
        <w:rPr>
          <w:rFonts w:ascii="Georgia" w:hAnsi="Georgia"/>
          <w:sz w:val="22"/>
          <w:szCs w:val="20"/>
        </w:rPr>
        <w:t>riksintresse för totalförsvaret</w:t>
      </w:r>
      <w:bookmarkEnd w:id="108"/>
      <w:r>
        <w:rPr>
          <w:rFonts w:ascii="Georgia" w:hAnsi="Georgia"/>
          <w:sz w:val="22"/>
          <w:szCs w:val="20"/>
        </w:rPr>
        <w:t>, 3 kap 9 § miljöbalken. Planområdet ligger helt under område med särskilt behov av hindersfrihet samt berörs i en liten del av övrigt påverkansområde. Ett påverkansområde är ett område utanför riksintresseområdet inom vilket en planerad åtgärd riskerar att påverka möjligheten att nyttja det som riksintresset avser att skydda. Påverkansområdets fysiska utbredning från exempelvis ett skjutfält eller en flygplats varierar beroende på verksamhetens art. För vissa fasta anläggningar som omfattas av försvarssekretess redovisas ett påverkansområde, ”övrigt påverkansområde”, där riksintressets exakta läge och funktion inte framgår. Det illustrerar även område där den verksamhet som bedrivs inom riksintresset kan påverka omgivningen. Det är därför också viktigt att ta hänsyn till detta vid planläggningen.</w:t>
      </w:r>
    </w:p>
    <w:p>
      <w:pPr>
        <w:pStyle w:val="P14"/>
      </w:pPr>
      <w:bookmarkEnd w:id="107"/>
    </w:p>
    <w:p>
      <w:pPr>
        <w:pStyle w:val="P14"/>
      </w:pPr>
      <w:r>
        <w:rPr>
          <w:noProof w:val="1"/>
          <w:lang w:eastAsia="sv-SE"/>
        </w:rPr>
        <w:drawing>
          <wp:anchor xmlns:wp="http://schemas.openxmlformats.org/drawingml/2006/wordprocessingDrawing" distT="0" distB="0" distL="114300" distR="114300" simplePos="0" relativeHeight="16" behindDoc="0" locked="0" layoutInCell="1" allowOverlap="1">
            <wp:simplePos x="0" y="0"/>
            <wp:positionH relativeFrom="margin">
              <wp:align>left</wp:align>
            </wp:positionH>
            <wp:positionV relativeFrom="paragraph">
              <wp:posOffset>86360</wp:posOffset>
            </wp:positionV>
            <wp:extent cx="2152650" cy="2062480"/>
            <wp:effectExtent l="19050" t="19050" r="19050" b="13970"/>
            <wp:wrapTopAndBottom/>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pic:cNvPicPr/>
                  </pic:nvPicPr>
                  <pic:blipFill dpi="0">
                    <a:blip xmlns:r="http://schemas.openxmlformats.org/officeDocument/2006/relationships" r:embed="Relimage9"/>
                    <a:srcRect/>
                    <a:stretch>
                      <a:fillRect/>
                    </a:stretch>
                  </pic:blipFill>
                  <pic:spPr>
                    <a:xfrm>
                      <a:off x="0" y="0"/>
                      <a:ext cx="2152650" cy="2062480"/>
                    </a:xfrm>
                    <a:prstGeom prst="rect"/>
                    <a:ln>
                      <a:solidFill>
                        <a:schemeClr val="tx1"/>
                      </a:solidFill>
                    </a:ln>
                  </pic:spPr>
                </pic:pic>
              </a:graphicData>
            </a:graphic>
          </wp:anchor>
        </w:drawing>
      </w:r>
      <w:r>
        <w:rPr>
          <w:noProof w:val="1"/>
          <w:sz w:val="20"/>
          <w:lang w:eastAsia="sv-SE"/>
        </w:rPr>
        <mc:AlternateContent>
          <mc:Choice Requires="wps">
            <w:drawing>
              <wp:anchor xmlns:wp="http://schemas.openxmlformats.org/drawingml/2006/wordprocessingDrawing" distT="45720" distB="45720" distL="114300" distR="114300" simplePos="0" relativeHeight="17" behindDoc="0" locked="0" layoutInCell="1" allowOverlap="1">
                <wp:simplePos x="0" y="0"/>
                <wp:positionH relativeFrom="margin">
                  <wp:posOffset>2396490</wp:posOffset>
                </wp:positionH>
                <wp:positionV relativeFrom="paragraph">
                  <wp:posOffset>1300480</wp:posOffset>
                </wp:positionV>
                <wp:extent cx="3114675" cy="847725"/>
                <wp:effectExtent l="0" t="0" r="0" b="0"/>
                <wp:wrapSquare wrapText="bothSides"/>
                <wp:docPr id="23" name="Textruta 2"/>
                <wp:cNvGraphicFramePr/>
                <a:graphic xmlns:a="http://schemas.openxmlformats.org/drawingml/2006/main">
                  <a:graphicData uri="http://schemas.microsoft.com/office/word/2010/wordprocessingShape">
                    <wps:wsp>
                      <wps:cNvSpPr txBox="1">
                        <a:spLocks noChangeArrowheads="1"/>
                      </wps:cNvSpPr>
                      <wps:spPr bwMode="auto">
                        <a:xfrm>
                          <a:off x="0" y="0"/>
                          <a:ext cx="3114675" cy="847725"/>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0"/>
                              <w:rPr>
                                <w:rFonts w:ascii="Georgia" w:hAnsi="Georgia"/>
                                <w:i w:val="1"/>
                                <w:iCs w:val="1"/>
                                <w:sz w:val="22"/>
                                <w:szCs w:val="22"/>
                              </w:rPr>
                            </w:pPr>
                            <w:r>
                              <w:rPr>
                                <w:rStyle w:val="C16"/>
                                <w:rFonts w:ascii="Georgia" w:hAnsi="Georgia"/>
                                <w:i w:val="1"/>
                                <w:iCs w:val="1"/>
                                <w:sz w:val="22"/>
                                <w:szCs w:val="22"/>
                              </w:rPr>
                              <w:t>Figur 7, Bilden redovisar översiktligt totalförsvarets intressen i området. Planområdet ungefärligt markerat med en gul</w:t>
                            </w:r>
                            <w:r>
                              <w:rPr>
                                <w:rFonts w:ascii="Georgia" w:hAnsi="Georgia"/>
                                <w:i w:val="1"/>
                                <w:iCs w:val="1"/>
                                <w:sz w:val="22"/>
                                <w:szCs w:val="22"/>
                              </w:rPr>
                              <w:t xml:space="preserve"> prick.</w:t>
                            </w:r>
                          </w:p>
                          <w:p/>
                        </w:txbxContent>
                      </wps:txbx>
                      <wps:bodyPr rot="0" vert="horz" wrap="square" lIns="91440" tIns="45720" rIns="91440" bIns="45720" anchor="t" anchorCtr="0">
                        <a:noAutofit/>
                      </wps:bodyPr>
                    </wps:wsp>
                  </a:graphicData>
                </a:graphic>
              </wp:anchor>
            </w:drawing>
          </mc:Choice>
          <mc:Fallback>
            <w:pict>
              <v:shape xmlns:o="urn:schemas-microsoft-com:office:office" type="#_x0000_t202" id="Textruta 2" o:spid="_x0000_s1039" style="position:absolute;width:245.25pt;height:66.75pt;z-index:17;mso-wrap-distance-left:9pt;mso-wrap-distance-top:3.6pt;mso-wrap-distance-right:9pt;mso-wrap-distance-bottom:3.6pt;margin-left:188.7pt;margin-top:102.4pt;mso-position-horizontal:absolute;mso-position-horizontal-relative:margin;mso-position-vertical:absolute;mso-position-vertical-relative:text" o:allowincell="t" filled="f" strokeweight="0.75pt" stroked="f">
                <v:textbox inset="3mm,1mm,3mm,1mm">
                  <w:txbxContent>
                    <w:p>
                      <w:pPr>
                        <w:pStyle w:val="P30"/>
                        <w:rPr>
                          <w:rFonts w:ascii="Georgia" w:hAnsi="Georgia"/>
                          <w:i w:val="1"/>
                          <w:iCs w:val="1"/>
                          <w:sz w:val="22"/>
                          <w:szCs w:val="22"/>
                        </w:rPr>
                      </w:pPr>
                      <w:r>
                        <w:rPr>
                          <w:rStyle w:val="C16"/>
                          <w:rFonts w:ascii="Georgia" w:hAnsi="Georgia"/>
                          <w:i w:val="1"/>
                          <w:iCs w:val="1"/>
                          <w:sz w:val="22"/>
                          <w:szCs w:val="22"/>
                        </w:rPr>
                        <w:t>Figur 7, Bilden redovisar översiktligt totalförsvarets intressen i området. Planområdet ungefärligt markerat med en gul</w:t>
                      </w:r>
                      <w:r>
                        <w:rPr>
                          <w:rFonts w:ascii="Georgia" w:hAnsi="Georgia"/>
                          <w:i w:val="1"/>
                          <w:iCs w:val="1"/>
                          <w:sz w:val="22"/>
                          <w:szCs w:val="22"/>
                        </w:rPr>
                        <w:t xml:space="preserve"> prick.</w:t>
                      </w:r>
                    </w:p>
                    <w:p/>
                  </w:txbxContent>
                </v:textbox>
                <w10:wrap type="square"/>
              </v:shape>
            </w:pict>
          </mc:Fallback>
        </mc:AlternateContent>
      </w:r>
      <w:r>
        <w:rPr>
          <w:noProof w:val="1"/>
          <w:lang w:eastAsia="sv-SE"/>
        </w:rPr>
        <mc:AlternateContent>
          <mc:Choice Requires="wpg">
            <w:drawing>
              <wp:anchor xmlns:wp="http://schemas.openxmlformats.org/drawingml/2006/wordprocessingDrawing" distT="0" distB="0" distL="114300" distR="114300" simplePos="0" relativeHeight="18" behindDoc="0" locked="0" layoutInCell="1" allowOverlap="1">
                <wp:simplePos x="0" y="0"/>
                <wp:positionH relativeFrom="column">
                  <wp:posOffset>2358390</wp:posOffset>
                </wp:positionH>
                <wp:positionV relativeFrom="paragraph">
                  <wp:posOffset>108585</wp:posOffset>
                </wp:positionV>
                <wp:extent cx="2747010" cy="600075"/>
                <wp:effectExtent l="0" t="0" r="0" b="9525"/>
                <wp:wrapNone/>
                <wp:docPr id="22" name="Grupp 22"/>
                <wp:cNvGraphicFramePr/>
                <a:graphic xmlns:a="http://schemas.openxmlformats.org/drawingml/2006/main">
                  <a:graphicData uri="http://schemas.microsoft.com/office/word/2010/wordprocessingGroup">
                    <wpg:wgp>
                      <wpg:cNvGrpSpPr/>
                      <wpg:grpSpPr>
                        <a:xfrm>
                          <a:off x="0" y="0"/>
                          <a:ext cx="2747010" cy="600075"/>
                          <a:chOff x="0" y="0"/>
                          <a:chExt cx="1962150" cy="428625"/>
                        </a:xfrm>
                      </wpg:grpSpPr>
                      <wpg:grpSp>
                        <wpg:cNvPr id="20" name="Grupp 20"/>
                        <wpg:cNvGrpSpPr/>
                        <wpg:grpSpPr>
                          <a:xfrm>
                            <a:off x="0" y="19050"/>
                            <a:ext cx="1905000" cy="409575"/>
                            <a:chOff x="0" y="0"/>
                            <a:chExt cx="1905000" cy="409575"/>
                          </a:xfrm>
                        </wpg:grpSpPr>
                        <pic:pic xmlns:pic="http://schemas.openxmlformats.org/drawingml/2006/picture">
                          <pic:nvPicPr>
                            <pic:cNvPr id="18" name="Bildobjekt 18"/>
                            <pic:cNvPicPr>
                              <a:picLocks noChangeAspect="1"/>
                            </pic:cNvPicPr>
                          </pic:nvPicPr>
                          <pic:blipFill dpi="0">
                            <a:blip xmlns:r="http://schemas.openxmlformats.org/officeDocument/2006/relationships" r:embed="Relimage10"/>
                            <a:srcRect/>
                            <a:stretch>
                              <a:fillRect/>
                            </a:stretch>
                          </pic:blipFill>
                          <pic:spPr>
                            <a:xfrm>
                              <a:off x="28575" y="0"/>
                              <a:ext cx="1876425" cy="314325"/>
                            </a:xfrm>
                            <a:prstGeom prst="rect"/>
                          </pic:spPr>
                        </pic:pic>
                        <pic:pic xmlns:pic="http://schemas.openxmlformats.org/drawingml/2006/picture">
                          <pic:nvPicPr>
                            <pic:cNvPr id="19" name="Bildobjekt 19"/>
                            <pic:cNvPicPr>
                              <a:picLocks noChangeAspect="1"/>
                            </pic:cNvPicPr>
                          </pic:nvPicPr>
                          <pic:blipFill dpi="0">
                            <a:blip xmlns:r="http://schemas.openxmlformats.org/officeDocument/2006/relationships" r:embed="Relimage11"/>
                            <a:srcRect b="27778"/>
                            <a:stretch>
                              <a:fillRect/>
                            </a:stretch>
                          </pic:blipFill>
                          <pic:spPr bwMode="auto">
                            <a:xfrm>
                              <a:off x="0" y="285750"/>
                              <a:ext cx="1343025" cy="123825"/>
                            </a:xfrm>
                            <a:prstGeom prst="rect"/>
                            <a:ln>
                              <a:noFill/>
                            </a:ln>
                          </pic:spPr>
                        </pic:pic>
                      </wpg:grpSp>
                      <pic:pic xmlns:pic="http://schemas.openxmlformats.org/drawingml/2006/picture">
                        <pic:nvPicPr>
                          <pic:cNvPr id="21" name="Bildobjekt 21"/>
                          <pic:cNvPicPr>
                            <a:picLocks noChangeAspect="1"/>
                          </pic:cNvPicPr>
                        </pic:nvPicPr>
                        <pic:blipFill dpi="0">
                          <a:blip xmlns:r="http://schemas.openxmlformats.org/officeDocument/2006/relationships" r:embed="Relimage12"/>
                          <a:srcRect/>
                          <a:stretch>
                            <a:fillRect/>
                          </a:stretch>
                        </pic:blipFill>
                        <pic:spPr>
                          <a:xfrm>
                            <a:off x="9525" y="0"/>
                            <a:ext cx="1952625" cy="171450"/>
                          </a:xfrm>
                          <a:prstGeom prst="rect"/>
                        </pic:spPr>
                      </pic:pic>
                    </wpg:wgp>
                  </a:graphicData>
                </a:graphic>
              </wp:anchor>
            </w:drawing>
          </mc:Choice>
          <mc:Fallback>
            <w:pict>
              <v:group xmlns:o="urn:schemas-microsoft-com:office:office" id="Grupp 22" style="position:absolute;width:216.3pt;height:47.25pt;z-index:18;mso-wrap-distance-left:9pt;mso-wrap-distance-top:0pt;mso-wrap-distance-right:9pt;mso-wrap-distance-bottom:0pt;margin-left:185.7pt;margin-top:8.55pt;mso-position-horizontal:absolute;mso-position-horizontal-relative:text;mso-position-vertical:absolute;mso-position-vertical-relative:text" coordorigin="0,0" coordsize="1962150,428625" o:allowincell="t">
                <v:group id="Grupp 20" style="position:absolute;top:19050;width:1905000;height:409575" coordorigin="0,0" coordsize="1905000,409575" o:allowincell="t">
                  <v:shape id="Bildobjekt 18" o:spid="_x0000_s1042" type="#_x0000_t75" style="position:absolute;left:28575;width:1876425;height:314325" o:preferrelative="t" stroked="f" o:allowincell="t">
                    <v:imagedata src="Relimage10" o:title=""/>
                    <o:lock aspectratio="t"/>
                  </v:shape>
                  <v:shape id="Bildobjekt 19" o:spid="_x0000_s1043" type="#_x0000_t75" style="position:absolute;top:285750;width:1343025;height:123825" o:preferrelative="t" stroked="f" o:allowincell="t">
                    <v:imagedata src="Relimage11" o:title="" croptop="0f" cropbottom="18205f" cropleft="0f" cropright="0f"/>
                    <o:lock aspectratio="t"/>
                  </v:shape>
                </v:group>
                <v:shape id="Bildobjekt 21" o:spid="_x0000_s1044" type="#_x0000_t75" style="position:absolute;left:9525;width:1952625;height:171450" o:preferrelative="t" stroked="f" o:allowincell="t">
                  <v:imagedata src="Relimage12" o:title=""/>
                  <o:lock aspectratio="t"/>
                </v:shape>
              </v:group>
            </w:pict>
          </mc:Fallback>
        </mc:AlternateContent>
      </w:r>
      <w:r>
        <w:rPr>
          <w:noProof w:val="1"/>
          <w:sz w:val="20"/>
          <w:lang w:eastAsia="sv-SE"/>
        </w:rPr>
        <mc:AlternateContent>
          <mc:Choice Requires="wps">
            <w:drawing>
              <wp:anchor xmlns:wp="http://schemas.openxmlformats.org/drawingml/2006/wordprocessingDrawing" distT="0" distB="0" distL="114300" distR="114300" simplePos="0" relativeHeight="19" behindDoc="0" locked="0" layoutInCell="1" allowOverlap="1">
                <wp:simplePos x="0" y="0"/>
                <wp:positionH relativeFrom="column">
                  <wp:posOffset>1310640</wp:posOffset>
                </wp:positionH>
                <wp:positionV relativeFrom="paragraph">
                  <wp:posOffset>1356360</wp:posOffset>
                </wp:positionV>
                <wp:extent cx="45085" cy="45085"/>
                <wp:effectExtent l="19050" t="19050" r="12065" b="12065"/>
                <wp:wrapNone/>
                <wp:docPr id="24" name="Ellips 24"/>
                <wp:cNvGraphicFramePr/>
                <a:graphic xmlns:a="http://schemas.openxmlformats.org/drawingml/2006/main">
                  <a:graphicData uri="http://schemas.microsoft.com/office/word/2010/wordprocessingShape">
                    <wps:wsp>
                      <wps:cNvSpPr/>
                      <wps:spPr>
                        <a:xfrm>
                          <a:off x="0" y="0"/>
                          <a:ext cx="45720" cy="45720"/>
                        </a:xfrm>
                        <a:prstGeom prst="ellipse"/>
                        <a:solidFill>
                          <a:srgbClr val="FFFF00"/>
                        </a:solid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oval xmlns:o="urn:schemas-microsoft-com:office:office" id="Ellips 24" o:spid="_x0000_s1045" style="position:absolute;width:3.55pt;height:3.55pt;z-index:19;mso-wrap-distance-left:9pt;mso-wrap-distance-top:0pt;mso-wrap-distance-right:9pt;mso-wrap-distance-bottom:0pt;margin-left:103.2pt;margin-top:106.8pt;mso-position-horizontal:absolute;mso-position-horizontal-relative:text;mso-position-vertical:absolute;mso-position-vertical-relative:text;v-text-anchor:middle" o:allowincell="t" fillcolor="#FFFF00" strokecolor="#FFFF00" strokeweight="2.25pt" stroked="t">
                <v:textbox inset="3mm,1mm,3mm,1mm">
                  <w:txbxContent>
                    <w:p/>
                  </w:txbxContent>
                </v:textbox>
              </v:oval>
            </w:pict>
          </mc:Fallback>
        </mc:AlternateContent>
      </w:r>
      <w:r>
        <w:rPr>
          <w:noProof w:val="1"/>
        </w:rPr>
        <w:t xml:space="preserve"> </w:t>
      </w:r>
    </w:p>
    <w:p>
      <w:pPr>
        <w:pStyle w:val="P14"/>
      </w:pPr>
    </w:p>
    <w:p>
      <w:pPr>
        <w:pStyle w:val="P15"/>
      </w:pPr>
      <w:bookmarkStart w:id="109" w:name="_Toc143176920"/>
      <w:r>
        <w:t>Miljökvalitetsnormer</w:t>
      </w:r>
      <w:bookmarkEnd w:id="109"/>
    </w:p>
    <w:p>
      <w:pPr>
        <w:pStyle w:val="P16"/>
      </w:pPr>
      <w:bookmarkStart w:id="110" w:name="_Toc143176921"/>
      <w:r>
        <w:t>Luft</w:t>
      </w:r>
      <w:bookmarkEnd w:id="110"/>
    </w:p>
    <w:p>
      <w:pPr>
        <w:pStyle w:val="P14"/>
      </w:pPr>
      <w:bookmarkStart w:id="111" w:name="pf_luft01"/>
      <w:r>
        <w:t xml:space="preserve">Ren luft är en förutsättning för god hälsa. Luftföroreningar påverkar människor där utsläppen sker och kan orsaka förkortad livslängd och hjärt- och kärlsjukdomar. Barn är särskilt utsatta för luftföroreningar. Föroreningarna kan transporteras över långa avstånd och påverka mark och vatten genom övergödning och försurning. De orsakar även växtskador, korrosion, nedsmutsning och klimatförändringar. De luftföroreningar som är skadligast för hälsan är inandningsbara partiklar, marknära ozon och vissa kolväten. </w:t>
      </w:r>
    </w:p>
    <w:p>
      <w:pPr>
        <w:pStyle w:val="P14"/>
      </w:pPr>
      <w:r>
        <w:t xml:space="preserve">Luftkvaliteten i Norrbotten är generellt sett mycket god. Länsstyrelsen i Norrbotten bedömer att miljökvalitetsmålet </w:t>
      </w:r>
      <w:r>
        <w:rPr>
          <w:i w:val="1"/>
          <w:iCs w:val="1"/>
        </w:rPr>
        <w:t xml:space="preserve">Frisk Luft </w:t>
      </w:r>
      <w:r>
        <w:t xml:space="preserve">är nära att nås i länet som helhet. Åtta av miljömålets totalt tio preciseringar uppnåddes år 2020. De preciseringar som inte uppnåddes var marknära ozon och PM10. 41 Där PM10 står för inandningsbara partiklar. </w:t>
      </w:r>
    </w:p>
    <w:p>
      <w:pPr>
        <w:pStyle w:val="P14"/>
      </w:pPr>
      <w:r>
        <w:t xml:space="preserve">Mätning av luftkvaliteten i Kiruna genomfördes år 2015/2016 som en del av den luftkvalitetsövervakning som samordnas av Urbannätverket42. Resultatet av mätningen som utfördes vid Centralskolan i Kiruna uppvisade generellt låga dygnsmedelvärden av NO2 (29 μg/m3) och inga överskridanden förelåg av vare sig miljökvalitetsnormer (MKN) eller utvärderingströsklarna för dygnsmedelvärden. Avseende PM10 uppvisades halter långt under MKN som årsmedelvärde (13 μg/m3). </w:t>
      </w:r>
    </w:p>
    <w:p>
      <w:pPr>
        <w:pStyle w:val="P14"/>
      </w:pPr>
      <w:r>
        <w:t xml:space="preserve">För Kiruna kommun är det enbart marknära ozon och bensapyren som bedöms överskrida miljömålet. Förekomsten av marknära ozon och förorenande luftmassor med ozonbildande ämnen i kommunen härrör huvudsakligen från utsläpp i andra länder. Möjligheterna för kommunen att reducera halterna av marknära ozon saknas därmed. Förekomsten av bensapyren orsakas främst av lokal vedeldning där halterna under kalla vinterdagar riskerar att bli höga även inom mindre orter. Det har emellertid inte gjorts några mätningar av bensapyren i utomhusluften i Norrbotten sedan 2012/2013. Vid detta tillfälle överskreds haltnivåerna miljömålet i Kiruna.44 </w:t>
      </w:r>
    </w:p>
    <w:p>
      <w:pPr>
        <w:pStyle w:val="P14"/>
      </w:pPr>
      <w:r>
        <w:t>Idag består planområdet till huvudsak av skog, vilket sannolikt inte innebär några källor till luftföroreningar.</w:t>
      </w:r>
    </w:p>
    <w:p>
      <w:pPr>
        <w:pStyle w:val="P14"/>
      </w:pPr>
      <w:r>
        <w:t>Miljökvalitetsnormer för luft och andra riktlinjer Luftkvalitetsförordningen (SFS 2010:477) anger kraven för luftkvalitet i utomhusluft. Förordningen anger miljökvalitetsnormer (MKN) för kvävedioxid och kväveoxider, svaveldioxid, kolmonoxid, ozon, bensen, partiklar (PM10 och PM2,5), bens(a)pyren, arsenik, kadmium, nickel och bly. Vid planering, planläggning och tillståndsprövning ska myndigheter och kommuner följa gällande miljökvalitetsnormer enligt 5 kap. 3 § miljöbalken. MKN är utfärdade av regeringen och får inte överskridas, se figur 8.</w:t>
      </w:r>
    </w:p>
    <w:p>
      <w:pPr>
        <w:pStyle w:val="P14"/>
      </w:pPr>
      <w:r>
        <w:t xml:space="preserve">De i detaljplanen föreslagna luftåtgärderna berör miljömålet ”Frisk Luft”. </w:t>
      </w:r>
    </w:p>
    <w:p>
      <w:pPr>
        <w:pStyle w:val="P14"/>
      </w:pPr>
      <w:r>
        <w:rPr>
          <w:noProof w:val="1"/>
        </w:rPr>
        <w:drawing>
          <wp:anchor xmlns:wp="http://schemas.openxmlformats.org/drawingml/2006/wordprocessingDrawing" distT="0" distB="0" distL="114300" distR="114300" simplePos="0" relativeHeight="20" behindDoc="0" locked="0" layoutInCell="1" allowOverlap="1">
            <wp:simplePos x="0" y="0"/>
            <wp:positionH relativeFrom="margin">
              <wp:align>right</wp:align>
            </wp:positionH>
            <wp:positionV relativeFrom="paragraph">
              <wp:posOffset>888365</wp:posOffset>
            </wp:positionV>
            <wp:extent cx="6116320" cy="2266315"/>
            <wp:effectExtent l="0" t="0" r="0" b="635"/>
            <wp:wrapTopAndBottom/>
            <wp:docPr id="6" name="Bildobjekt 6"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En bild som visar bord&#10;&#10;Automatiskt genererad beskrivning"/>
                    <pic:cNvPicPr/>
                  </pic:nvPicPr>
                  <pic:blipFill dpi="0">
                    <a:blip xmlns:r="http://schemas.openxmlformats.org/officeDocument/2006/relationships" r:embed="Relimage13"/>
                    <a:srcRect/>
                    <a:stretch>
                      <a:fillRect/>
                    </a:stretch>
                  </pic:blipFill>
                  <pic:spPr>
                    <a:xfrm>
                      <a:off x="0" y="0"/>
                      <a:ext cx="6116320" cy="2266315"/>
                    </a:xfrm>
                    <a:prstGeom prst="rect"/>
                  </pic:spPr>
                </pic:pic>
              </a:graphicData>
            </a:graphic>
          </wp:anchor>
        </w:drawing>
      </w:r>
      <w:r>
        <w:t xml:space="preserve">Miljömålet anges som riktvärden vilka syftar till att luften ska vara så ren att människors hälsa samt djur, växter och kulturvärden inte skadas. Miljömålet är till skillnad mot miljökvalitetsnormerna inte juridiskt bindande, men ska beaktas i samband med prövningen av miljöfarlig verksamhet i det här fallet krematorieverksamheten. </w:t>
      </w:r>
    </w:p>
    <w:p>
      <w:pPr>
        <w:pStyle w:val="P14"/>
        <w:rPr>
          <w:i w:val="1"/>
          <w:iCs w:val="1"/>
        </w:rPr>
      </w:pPr>
      <w:r>
        <w:rPr>
          <w:i w:val="1"/>
          <w:iCs w:val="1"/>
        </w:rPr>
        <w:t xml:space="preserve">Figur 8.  Miljökvalitetsnormer för luftkvalitet redovisat för de ämnen/partiklar som bedöms påverkas av planförslaget.</w:t>
      </w:r>
    </w:p>
    <w:p>
      <w:pPr>
        <w:pStyle w:val="P14"/>
      </w:pPr>
      <w:r>
        <w:t xml:space="preserve">Årsmedelvärden är satta för att skydda mot långtidsexponering och ska tillämpas för utomhusluft där människor direkt eller indirekt exponeras under längre perioder. </w:t>
      </w:r>
    </w:p>
    <w:p>
      <w:pPr>
        <w:pStyle w:val="P14"/>
      </w:pPr>
      <w:r>
        <w:t xml:space="preserve">Dygns- och timmedelvärden är satta för att ge skydd mot korttidsexponering av föroreningarna och tillämpas, utöver platserna där människor vistas under längre perioder, även där människor vistas under kortare tid. </w:t>
      </w:r>
    </w:p>
    <w:p>
      <w:pPr>
        <w:pStyle w:val="P14"/>
      </w:pPr>
      <w:r>
        <w:t>Samtliga miljökvalitetsnormer ovan gäller för omgivningsluft utomhus men det finns undantag för bland annat arbetsplatser. Enligt Naturvårdsverkets tolkning ska miljökvalitetsnormerna även, den mån det är möjligt, tillämpas på arbetsplatser dit allmänheten har tillträde.</w:t>
      </w:r>
    </w:p>
    <w:p>
      <w:pPr>
        <w:pStyle w:val="P14"/>
      </w:pPr>
      <w:r>
        <w:t xml:space="preserve">Påverkan på luftkvaliteten kommer att uppstå i planområdet med omnejd till följd av kremeringsverksamhet och en ökning av fordonstrafik. </w:t>
      </w:r>
    </w:p>
    <w:p>
      <w:pPr>
        <w:pStyle w:val="P14"/>
      </w:pPr>
      <w:r>
        <w:t xml:space="preserve">De luftföroreningar som riskerar att släppas ut under kremationsprocessen och ge förhöjda haltnivåer i omgivningen bedöms vara partiklar (PM10), kväveoxider (NO2), kolmonoxid (CO), kvicksilver (Hg). </w:t>
      </w:r>
    </w:p>
    <w:p>
      <w:pPr>
        <w:pStyle w:val="P14"/>
      </w:pPr>
      <w:r>
        <w:t>Utsläpp till luft förekommer främst från förbränningen i samband med kremering. Krematorieugnarna är vanligtvis uppvärmda med stödbränsle i form av olja eller gas. Utsläpp från krematorier berörs av förbränningsteknik samt om anläggningen är försedd med rökgasrening. Utsläpp av kvicksilver (Hg) kan också förekomma under kremeringsprocessen men förväntas att minska i framtiden i takt med en minskad användning av amalgamtandfyllningar. En ökning av fordonstrafik på närliggande gator och vägar i samband med exploatering av planområdet bidrar till ett ökat utsläpp av partiklar (PM10) samt kväveoxider och därmed en försämrad luftkvalité.</w:t>
      </w:r>
    </w:p>
    <w:p>
      <w:pPr>
        <w:pStyle w:val="P16"/>
      </w:pPr>
      <w:bookmarkEnd w:id="111"/>
      <w:bookmarkStart w:id="112" w:name="_Toc143176922"/>
      <w:r>
        <w:t>Vatten</w:t>
      </w:r>
      <w:bookmarkEnd w:id="112"/>
    </w:p>
    <w:p>
      <w:pPr>
        <w:pStyle w:val="P14"/>
      </w:pPr>
      <w:bookmarkStart w:id="113" w:name="pf_vatten01"/>
      <w:r>
        <w:t>EU:s ramdirektiv för vatten (eller vattendirektivet) (2000/60/EG) och dotterdirektivet om miljökvalitetsnormer (2008/105/EG), definierar de svenska (och europeiska) målen för förvaltning av alla former av vatten. Målen har införlivats i svensk lagstiftning genom 5 kap. i miljöbalken, förordningen (2004:660) om förvaltning av kvaliteten på vattenmiljön och förordningen (2017:868) med länsstyrelseinstruktion.</w:t>
      </w:r>
    </w:p>
    <w:p>
      <w:pPr>
        <w:pStyle w:val="P14"/>
      </w:pPr>
      <w:r>
        <w:t>Sveriges ytvatten är idag indelade i geografiska delområden som kallas vattenförekomster och fem vattendelegationer har tagit beslut om kvalitetskrav (miljökvalitetsnormer) för ekologisk status och kemisk ytvattenstatus för vattenförekomsterna inom respektive distrikt. Aktuell status i förekomsterna bedöms och uppdateras fortlöpande av myndigheterna.</w:t>
      </w:r>
    </w:p>
    <w:p>
      <w:pPr>
        <w:pStyle w:val="P14"/>
      </w:pPr>
      <w:r>
        <w:t>Syftet med miljökvalitetsnormerna (MKN) är att tillståndet i våra vatten inte ska försämras och att alla vatten ska uppnå en bestämd miljökvalitet. Grundregeln är att MKN ska fastställas till ”god status”, och att normen ska uppnås innan aktuell förvaltningscykel är slut (för närvarande år 2021). Beroende på vattenförekomstens nuvarande status kan vattendelegationerna fastställa kvalitetskrav på en nivå som är lägre än god status alternativt att tiden för när god status ska vara uppnådd skjuts fram.</w:t>
      </w:r>
    </w:p>
    <w:p>
      <w:pPr>
        <w:pStyle w:val="P14"/>
      </w:pPr>
      <w:r>
        <w:t>God ekologisk status innebär att ytvattnets växt- och djurliv, vattnets flöden och förekomst av vandringshinder för fisk, struktur på bottnar och stränder, samt de fysikalisk-kemiska förhållandena i vattnet inte får uppvisa mer än små avvikelser från vad som betraktas som naturliga förhållanden för den typen av vatten i det området. Ekologisk status har följande klassningar: hög, god, måttlig, otillfredsställande och dålig.</w:t>
      </w:r>
    </w:p>
    <w:p>
      <w:pPr>
        <w:pStyle w:val="P14"/>
      </w:pPr>
      <w:r>
        <w:t xml:space="preserve">God kemisk status innebär att en vattenförekomst inte får ha högre halter av förorenande eller giftiga ämnen än vad miljökvalitetsnormen anger. De ämnen som ingår i klassificeringen av ytvatten är de 45 prioriterade ämnen som EU har satt upp gemensamma gränsvärden för (Direktivet 2013/39/EU). </w:t>
      </w:r>
    </w:p>
    <w:p>
      <w:pPr>
        <w:pStyle w:val="P14"/>
      </w:pPr>
      <w:r>
        <w:t>Gränsvärden för kvicksilver och polybromerade difenyletrar (PBDE) överskrids i alla Sveriges ytvattenförekomster pga. atmosfärisk deposition. Detta medför att samtliga ytvatten i Sverige klassificeras till ”Uppnår ej god kemisk status med avseende på kvicksilver och PBDE”.</w:t>
      </w:r>
    </w:p>
    <w:p>
      <w:pPr>
        <w:pStyle w:val="P14"/>
        <w:rPr>
          <w:i w:val="1"/>
          <w:iCs w:val="1"/>
        </w:rPr>
      </w:pPr>
      <w:r>
        <w:t xml:space="preserve">De i detaljplanen föreslagna dagvattenåtgärderna berör miljömålen; </w:t>
      </w:r>
      <w:r>
        <w:rPr>
          <w:i w:val="1"/>
          <w:iCs w:val="1"/>
        </w:rPr>
        <w:t>Ingen övergödning</w:t>
      </w:r>
      <w:r>
        <w:t xml:space="preserve">, </w:t>
      </w:r>
      <w:r>
        <w:rPr>
          <w:i w:val="1"/>
          <w:iCs w:val="1"/>
        </w:rPr>
        <w:t xml:space="preserve">Levande sjöar och vattendrag </w:t>
      </w:r>
      <w:r>
        <w:t xml:space="preserve">samt </w:t>
      </w:r>
      <w:r>
        <w:rPr>
          <w:i w:val="1"/>
          <w:iCs w:val="1"/>
        </w:rPr>
        <w:t>Myllrande våtmarker.</w:t>
      </w:r>
    </w:p>
    <w:p>
      <w:pPr>
        <w:pStyle w:val="P14"/>
      </w:pPr>
      <w:r>
        <w:t xml:space="preserve">Enligt styrdokumentet ”Grundförutsättningar för dagvattenhantering i Nya Kiruna C” för dagvattenhantering inom nya Kiruna centrum ska skador orsakat av dagvatten förebyggas, ytlig avrinning ska eftersträvas och dagvattnet ska i största möjliga mån infiltreras eller fördröjas inom planområdet. </w:t>
      </w:r>
    </w:p>
    <w:p>
      <w:pPr>
        <w:pStyle w:val="P14"/>
      </w:pPr>
      <w:r>
        <w:t>Primär recipient för det dagvatten som avleds från planområdet är sjön Tuollujärvi. Sjön Tuollujärvi är dock inte klassad i VattenInformations System Sverige (VISS) varför huvudrecipienten är bäcken Tuollujoki som utgår från sjön Tuollujärvi som sin tur ingår i Torneälvens huvudavrinningsområde och delavrinningsområdet ”</w:t>
      </w:r>
      <w:r>
        <w:rPr>
          <w:i w:val="1"/>
          <w:iCs w:val="1"/>
        </w:rPr>
        <w:t>Mynnar i Luossajoki</w:t>
      </w:r>
      <w:r>
        <w:t xml:space="preserve">”. </w:t>
      </w:r>
    </w:p>
    <w:p>
      <w:pPr>
        <w:pStyle w:val="P14"/>
      </w:pPr>
      <w:r>
        <w:t xml:space="preserve">Tuollujoki uppnår god ekologisk status. Vattendraget är dock inte klassificerad avseende särskilt förorenande ämnen (SFÄ) och ej heller med avseende på övriga fysikaliska och kemiska ekologiska kvalitetsfaktorer. Vattendraget uppnår ej god kemisk status på grund av de nationella överskridningarna av bromerade difenyletrar, kvicksilver samt kvicksilverföroreningar. Vattenförekomsten är ej klassificerad med avseende på de prioriterade ämnena. </w:t>
      </w:r>
    </w:p>
    <w:p>
      <w:pPr>
        <w:pStyle w:val="P14"/>
      </w:pPr>
      <w:r>
        <w:t xml:space="preserve">I syfte att utvärdera planförslagets eventuella påverkan på MKN för Tuollujoki har uppskattningar av föroreningsmängder före respektive efter exploatering genomförts. För befintlig markanvändning har antagits att hela planområdet utgörs av naturmark. För kommande markanvändning har schablonhalter för parkområden, takytor och parkering använts. Resultatet av denna beräkning redovisas i figur 9. </w:t>
      </w:r>
    </w:p>
    <w:p>
      <w:pPr>
        <w:pStyle w:val="P14"/>
      </w:pPr>
      <w:r>
        <w:rPr>
          <w:noProof w:val="1"/>
        </w:rPr>
        <w:drawing>
          <wp:anchor xmlns:wp="http://schemas.openxmlformats.org/drawingml/2006/wordprocessingDrawing" distT="0" distB="0" distL="114300" distR="114300" simplePos="0" relativeHeight="21" behindDoc="0" locked="0" layoutInCell="1" allowOverlap="1">
            <wp:simplePos x="0" y="0"/>
            <wp:positionH relativeFrom="margin">
              <wp:align>right</wp:align>
            </wp:positionH>
            <wp:positionV relativeFrom="paragraph">
              <wp:posOffset>669290</wp:posOffset>
            </wp:positionV>
            <wp:extent cx="6116320" cy="2548255"/>
            <wp:effectExtent l="0" t="0" r="0" b="4445"/>
            <wp:wrapTopAndBottom/>
            <wp:docPr id="7" name="Bildobjekt 7"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En bild som visar bord&#10;&#10;Automatiskt genererad beskrivning"/>
                    <pic:cNvPicPr/>
                  </pic:nvPicPr>
                  <pic:blipFill dpi="0">
                    <a:blip xmlns:r="http://schemas.openxmlformats.org/officeDocument/2006/relationships" r:embed="Relimage14"/>
                    <a:srcRect/>
                    <a:stretch>
                      <a:fillRect/>
                    </a:stretch>
                  </pic:blipFill>
                  <pic:spPr>
                    <a:xfrm>
                      <a:off x="0" y="0"/>
                      <a:ext cx="6116320" cy="2548255"/>
                    </a:xfrm>
                    <a:prstGeom prst="rect"/>
                  </pic:spPr>
                </pic:pic>
              </a:graphicData>
            </a:graphic>
          </wp:anchor>
        </w:drawing>
      </w:r>
      <w:r>
        <w:t>Den planerade exploateringen av området kommer medföra att föroreningshalterna från området kommer öka. De största procentuella ökningarna står fosfor och kvicksilver för.</w:t>
      </w:r>
    </w:p>
    <w:p>
      <w:pPr>
        <w:pStyle w:val="P14"/>
        <w:rPr>
          <w:i w:val="1"/>
          <w:iCs w:val="1"/>
        </w:rPr>
      </w:pPr>
      <w:r>
        <w:rPr>
          <w:i w:val="1"/>
          <w:iCs w:val="1"/>
        </w:rPr>
        <w:t>Figur 9. Föroreningsmängder före respektive efter exploatering samt ökning i antal kg och procent. Tabellen är hämtad från dagvattenutredning, Tyréns 2021.</w:t>
      </w:r>
    </w:p>
    <w:p>
      <w:pPr>
        <w:pStyle w:val="P14"/>
      </w:pPr>
      <w:r>
        <w:t xml:space="preserve">I syfte att fastslå om ökningen kan riskera en försämring av miljökvalitetsnormen för vatten i Tuollujoki har tillskottet (i μg/l) till recipient beräknats. Vid beräkning har flödet i vattendraget angivits som ett årsmedelvärde för perioden 1981–2010. Tillskottet av ämnen angivna i figur 9 har sedan jämförts med riktvärden för särskilt förorenande ämnen i inlandsytvatten och gränsvärden för kemisk ytvattenstatus. </w:t>
      </w:r>
    </w:p>
    <w:p>
      <w:pPr>
        <w:pStyle w:val="P14"/>
      </w:pPr>
      <w:r>
        <w:t>Resultatet sammanfattas i figur 10. Den planerade exploateringen kommer inte medföra att gränsvärden enligt Havs- och vattenmyndighetens gränsvärden29 överskrids. Det ska dock påpekas att det saknas jämförelsevärden för fosfor och kväve i ytvatten. PAH16 understiger gränsvärdet marginellt.</w:t>
      </w:r>
    </w:p>
    <w:p>
      <w:pPr>
        <w:pStyle w:val="P14"/>
        <w:rPr>
          <w:i w:val="1"/>
          <w:iCs w:val="1"/>
        </w:rPr>
      </w:pPr>
      <w:r>
        <w:rPr>
          <w:i w:val="1"/>
          <w:iCs w:val="1"/>
          <w:noProof w:val="1"/>
        </w:rPr>
        <w:drawing>
          <wp:anchor xmlns:wp="http://schemas.openxmlformats.org/drawingml/2006/wordprocessingDrawing" distT="0" distB="0" distL="114300" distR="114300" simplePos="0" relativeHeight="22" behindDoc="0" locked="0" layoutInCell="1" allowOverlap="1">
            <wp:simplePos x="0" y="0"/>
            <wp:positionH relativeFrom="column">
              <wp:posOffset>-43815</wp:posOffset>
            </wp:positionH>
            <wp:positionV relativeFrom="paragraph">
              <wp:posOffset>0</wp:posOffset>
            </wp:positionV>
            <wp:extent cx="6116320" cy="3179445"/>
            <wp:effectExtent l="19050" t="19050" r="17780" b="20955"/>
            <wp:wrapTopAndBottom/>
            <wp:docPr id="8" name="Bildobjekt 8"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bord&#10;&#10;Automatiskt genererad beskrivning"/>
                    <pic:cNvPicPr/>
                  </pic:nvPicPr>
                  <pic:blipFill dpi="0">
                    <a:blip xmlns:r="http://schemas.openxmlformats.org/officeDocument/2006/relationships" r:embed="Relimage15"/>
                    <a:srcRect/>
                    <a:stretch>
                      <a:fillRect/>
                    </a:stretch>
                  </pic:blipFill>
                  <pic:spPr>
                    <a:xfrm>
                      <a:off x="0" y="0"/>
                      <a:ext cx="6116320" cy="3179445"/>
                    </a:xfrm>
                    <a:prstGeom prst="rect"/>
                    <a:ln>
                      <a:solidFill>
                        <a:schemeClr val="tx1"/>
                      </a:solidFill>
                    </a:ln>
                  </pic:spPr>
                </pic:pic>
              </a:graphicData>
            </a:graphic>
          </wp:anchor>
        </w:drawing>
      </w:r>
      <w:r>
        <w:rPr>
          <w:i w:val="1"/>
          <w:iCs w:val="1"/>
        </w:rPr>
        <w:t>Figur 10. Tillskottet i recipienten Tuollujoki med jämförelse mot rikt- och gränsvärden för särskilt förorenade ämnen i inlandsytvatten samt gränsvärden för kemisk ytvattenstatus (HVMFS, 2019). Tabell hämtad från dagvattenutredning, Tyréns 2021.</w:t>
      </w:r>
    </w:p>
    <w:p>
      <w:pPr>
        <w:pStyle w:val="P14"/>
      </w:pPr>
      <w:r>
        <w:t xml:space="preserve">Beräkningsresultatet visar att föroreningsbelastningen är avsevärt lägre än angivna riktvärden för samtliga jämförda ämnen. Planerad exploatering bedöms därför inte försämra miljökvalitetsnormen för vatten i Tuollujoki. </w:t>
      </w:r>
    </w:p>
    <w:p>
      <w:pPr>
        <w:pStyle w:val="P14"/>
      </w:pPr>
      <w:r>
        <w:t>För att kunna fördröja 240 m</w:t>
      </w:r>
      <w:r>
        <w:rPr>
          <w:vertAlign w:val="superscript"/>
        </w:rPr>
        <w:t>3</w:t>
      </w:r>
      <w:r>
        <w:t xml:space="preserve"> vatten rekommenderas att det anläggs torra fördröjningsdammar dit dagvattnet från parkeringsytor, tak och grönområden avleds och fördröjs innan det släpps till befintligt dagvattendike. Gravområdena som huvudsakligen utgörs av park- och grönområden avvattnas genom avledning till nedsänkta gångstråk som leder vattnet ytligt till fördröjningsdammarna och vidare till dagvattendiket alternativt norrut mot myrområdet. Utloppet från torrdammen stryps så utflödet motsvarar befintligt flöde (58 l/s) från området. </w:t>
      </w:r>
    </w:p>
    <w:p>
      <w:pPr>
        <w:pStyle w:val="P14"/>
      </w:pPr>
      <w:r>
        <w:t>Sammanfattningsvis bedöms den föreslagna dagvattenhanteringen vara i linje med styrdokumentet för dagvattenhantering i nya Kiruna centrum och innebär en säker avledning av dagvatten från planområdet vid både normalregn och skyfall.</w:t>
        <w:br w:type="textWrapping"/>
      </w:r>
      <w:bookmarkEnd w:id="113"/>
    </w:p>
    <w:p>
      <w:pPr>
        <w:pStyle w:val="P15"/>
      </w:pPr>
      <w:bookmarkStart w:id="114" w:name="_Toc143176923"/>
      <w:r>
        <w:t>Mellankommunala intressen</w:t>
      </w:r>
      <w:bookmarkEnd w:id="114"/>
    </w:p>
    <w:p>
      <w:pPr>
        <w:pStyle w:val="P14"/>
      </w:pPr>
      <w:bookmarkStart w:id="115" w:name="pf_mellankommunalaintressen01"/>
      <w:r>
        <w:t xml:space="preserve">Väg E 10 är en del av det europeiska sammanbindande vägnätet. För den del av E10 som ligger i direkt anslutning till planområdet finns en vägplan: </w:t>
      </w:r>
    </w:p>
    <w:p>
      <w:pPr>
        <w:pStyle w:val="P14"/>
      </w:pPr>
      <w:r>
        <w:rPr>
          <w:rStyle w:val="C16"/>
        </w:rPr>
        <w:t>Planområdet berör i södra delen den vägplan som upprättats för den nya delen av väg E10.</w:t>
      </w:r>
      <w:r>
        <w:t xml:space="preserve"> </w:t>
      </w:r>
      <w:bookmarkEnd w:id="115"/>
    </w:p>
    <w:p>
      <w:pPr>
        <w:rPr>
          <w:rFonts w:ascii="Georgia" w:hAnsi="Georgia"/>
          <w:i w:val="1"/>
          <w:iCs w:val="1"/>
          <w:sz w:val="22"/>
          <w:szCs w:val="22"/>
        </w:rPr>
      </w:pPr>
    </w:p>
    <w:p>
      <w:pPr>
        <w:rPr>
          <w:rFonts w:ascii="Georgia" w:hAnsi="Georgia"/>
          <w:i w:val="1"/>
          <w:iCs w:val="1"/>
          <w:sz w:val="22"/>
          <w:szCs w:val="22"/>
        </w:rPr>
      </w:pPr>
    </w:p>
    <w:p>
      <w:pPr>
        <w:rPr>
          <w:rFonts w:ascii="Georgia" w:hAnsi="Georgia"/>
          <w:i w:val="1"/>
          <w:iCs w:val="1"/>
          <w:sz w:val="22"/>
          <w:szCs w:val="22"/>
        </w:rPr>
      </w:pPr>
    </w:p>
    <w:p>
      <w:pPr>
        <w:rPr>
          <w:rFonts w:ascii="Georgia" w:hAnsi="Georgia"/>
          <w:i w:val="1"/>
          <w:iCs w:val="1"/>
          <w:sz w:val="22"/>
          <w:szCs w:val="22"/>
        </w:rPr>
      </w:pPr>
    </w:p>
    <w:p>
      <w:pPr>
        <w:rPr>
          <w:rFonts w:ascii="Georgia" w:hAnsi="Georgia"/>
          <w:i w:val="1"/>
          <w:iCs w:val="1"/>
          <w:sz w:val="22"/>
          <w:szCs w:val="22"/>
        </w:rPr>
      </w:pPr>
    </w:p>
    <w:p>
      <w:pPr>
        <w:rPr>
          <w:rFonts w:ascii="Georgia" w:hAnsi="Georgia"/>
          <w:i w:val="1"/>
          <w:iCs w:val="1"/>
          <w:sz w:val="22"/>
          <w:szCs w:val="22"/>
        </w:rPr>
      </w:pPr>
      <w:r>
        <w:rPr>
          <w:rFonts w:ascii="Georgia" w:hAnsi="Georgia"/>
          <w:i w:val="1"/>
          <w:iCs w:val="1"/>
          <w:noProof w:val="1"/>
          <w:sz w:val="22"/>
          <w:szCs w:val="22"/>
        </w:rPr>
        <w:drawing>
          <wp:inline xmlns:wp="http://schemas.openxmlformats.org/drawingml/2006/wordprocessingDrawing" distT="0" distB="0" distL="0" distR="0">
            <wp:extent cx="5395595" cy="3200400"/>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6"/>
                    <a:srcRect/>
                    <a:stretch>
                      <a:fillRect/>
                    </a:stretch>
                  </pic:blipFill>
                  <pic:spPr bwMode="auto">
                    <a:xfrm>
                      <a:off x="0" y="0"/>
                      <a:ext cx="5395595" cy="3200400"/>
                    </a:xfrm>
                    <a:prstGeom prst="rect"/>
                    <a:noFill/>
                  </pic:spPr>
                </pic:pic>
              </a:graphicData>
            </a:graphic>
          </wp:inline>
        </w:drawing>
      </w:r>
    </w:p>
    <w:p>
      <w:pPr>
        <w:rPr>
          <w:rFonts w:ascii="Georgia" w:hAnsi="Georgia"/>
          <w:b w:val="1"/>
          <w:i w:val="1"/>
          <w:bCs w:val="1"/>
          <w:iCs w:val="1"/>
          <w:sz w:val="22"/>
          <w:szCs w:val="22"/>
        </w:rPr>
      </w:pPr>
      <w:r>
        <w:rPr>
          <w:rFonts w:ascii="Georgia" w:hAnsi="Georgia"/>
          <w:i w:val="1"/>
          <w:iCs w:val="1"/>
          <w:sz w:val="22"/>
          <w:szCs w:val="22"/>
        </w:rPr>
        <w:t xml:space="preserve">Figur 11, Utsnitt ur Översiktskarta för alla vägplaner för Kirunaprojektet. Planområdet ungefärligt markerat med lila. De övriga linjerna visar vägplaner även om dessa är återgivna med olika färgsättningar.  Källa: Trafikverket</w:t>
      </w:r>
    </w:p>
    <w:p>
      <w:pPr>
        <w:pStyle w:val="P14"/>
      </w:pPr>
    </w:p>
    <w:p>
      <w:pPr>
        <w:pStyle w:val="P15"/>
      </w:pPr>
      <w:bookmarkStart w:id="116" w:name="_Toc143176924"/>
      <w:r>
        <w:t>Miljö</w:t>
      </w:r>
      <w:bookmarkEnd w:id="116"/>
    </w:p>
    <w:p>
      <w:pPr>
        <w:pStyle w:val="P16"/>
      </w:pPr>
      <w:bookmarkStart w:id="117" w:name="_Toc143176925"/>
      <w:r>
        <w:t>Dagvatten och hydrologiska förhållanden</w:t>
      </w:r>
      <w:bookmarkEnd w:id="117"/>
    </w:p>
    <w:p>
      <w:pPr>
        <w:pStyle w:val="P16"/>
      </w:pPr>
      <w:bookmarkStart w:id="118" w:name="_Toc143176926"/>
      <w:r>
        <w:t>Generella riktlinjer för planering av dagvatten</w:t>
      </w:r>
      <w:bookmarkEnd w:id="118"/>
    </w:p>
    <w:p>
      <w:pPr>
        <w:spacing w:lineRule="exact" w:line="300" w:after="160" w:beforeAutospacing="0" w:afterAutospacing="0"/>
        <w:rPr>
          <w:rFonts w:ascii="Georgia" w:hAnsi="Georgia" w:cs="Lucida Grande"/>
          <w:sz w:val="22"/>
          <w:szCs w:val="22"/>
        </w:rPr>
      </w:pPr>
      <w:bookmarkStart w:id="119" w:name="pf_förslagtilldagvattenhantering01"/>
      <w:r>
        <w:rPr>
          <w:rFonts w:ascii="Georgia" w:hAnsi="Georgia" w:cs="Lucida Grande"/>
          <w:sz w:val="22"/>
          <w:szCs w:val="22"/>
        </w:rPr>
        <w:t xml:space="preserve">Aktuellt område bedöms ligga inom vad som betecknas som ”tät bostadsbebyggelse” vilket innebär att VA-huvudmannens eventuella dagvattenledningssystem ska dimensioneras för minst 20 års återkomsttid för trycklinje i marknivå och minst 5 års återkomsttid för fylld ledning (Svenskt Vatten, 2016a). Vidare ansvarar kommunen för marköversvämning med skador på byggnader vid regn med en återkomsttid på &gt;100 år (Svenskt Vatten, 2016a). </w:t>
      </w:r>
    </w:p>
    <w:p>
      <w:pPr>
        <w:spacing w:lineRule="exact" w:line="300" w:after="160" w:beforeAutospacing="0" w:afterAutospacing="0"/>
        <w:rPr>
          <w:rFonts w:ascii="Georgia" w:hAnsi="Georgia" w:cs="Lucida Grande"/>
          <w:sz w:val="22"/>
          <w:szCs w:val="22"/>
        </w:rPr>
      </w:pPr>
      <w:r>
        <w:rPr>
          <w:rFonts w:ascii="Georgia" w:hAnsi="Georgia" w:cs="Lucida Grande"/>
          <w:sz w:val="22"/>
          <w:szCs w:val="22"/>
        </w:rPr>
        <w:t xml:space="preserve">Vid beräkning av flöden har en klimatfaktor om 1,25 använts för att ta hänsyn till förväntad ökning av framtida nederbörd (Svenskt Vatten, 2016a). </w:t>
      </w:r>
    </w:p>
    <w:p>
      <w:pPr>
        <w:pStyle w:val="P16"/>
      </w:pPr>
      <w:bookmarkEnd w:id="119"/>
      <w:bookmarkStart w:id="120" w:name="_Toc143176927"/>
      <w:r>
        <w:t>Kommunala riktlinjer</w:t>
      </w:r>
      <w:bookmarkEnd w:id="120"/>
    </w:p>
    <w:p>
      <w:pPr>
        <w:spacing w:lineRule="exact" w:line="300" w:after="160" w:beforeAutospacing="0" w:afterAutospacing="0"/>
        <w:rPr>
          <w:rFonts w:ascii="Georgia" w:hAnsi="Georgia" w:cs="Lucida Grande"/>
          <w:sz w:val="22"/>
          <w:szCs w:val="22"/>
        </w:rPr>
      </w:pPr>
      <w:bookmarkStart w:id="121" w:name="pf_kommunalariktlinjer01"/>
      <w:r>
        <w:rPr>
          <w:rFonts w:ascii="Georgia" w:hAnsi="Georgia" w:cs="Lucida Grande"/>
          <w:sz w:val="22"/>
          <w:szCs w:val="22"/>
        </w:rPr>
        <w:t xml:space="preserve">Styrdokumentet ”Grundförutsättningar för dagvattenhantering i Nya Kiruna C (Kiruna kommun, 2016)” tillämpas så långt det går även för områden utanför Nya Kiruna C. Detta innebär att följande punkter ska beaktas i samband med dagvattenhantering inom planområdet: </w:t>
      </w:r>
    </w:p>
    <w:p>
      <w:pPr>
        <w:numPr>
          <w:ilvl w:val="0"/>
          <w:numId w:val="26"/>
        </w:numPr>
        <w:rPr>
          <w:rFonts w:ascii="Georgia" w:hAnsi="Georgia"/>
          <w:sz w:val="22"/>
          <w:szCs w:val="22"/>
        </w:rPr>
      </w:pPr>
      <w:r>
        <w:rPr>
          <w:rFonts w:ascii="Georgia" w:hAnsi="Georgia"/>
          <w:sz w:val="22"/>
          <w:szCs w:val="22"/>
        </w:rPr>
        <w:t>Infiltration av dagvatten ska alltid eftersträvas</w:t>
        <w:br w:type="textWrapping"/>
        <w:t xml:space="preserve"> </w:t>
      </w:r>
    </w:p>
    <w:p>
      <w:pPr>
        <w:numPr>
          <w:ilvl w:val="0"/>
          <w:numId w:val="26"/>
        </w:numPr>
        <w:rPr>
          <w:rFonts w:ascii="Georgia" w:hAnsi="Georgia"/>
          <w:sz w:val="22"/>
          <w:szCs w:val="22"/>
        </w:rPr>
      </w:pPr>
      <w:r>
        <w:rPr>
          <w:rFonts w:ascii="Georgia" w:hAnsi="Georgia"/>
          <w:sz w:val="22"/>
          <w:szCs w:val="22"/>
        </w:rPr>
        <w:t xml:space="preserve">Dagvatten renas och fördröjas så nära källan som möjligt </w:t>
        <w:br w:type="textWrapping"/>
      </w:r>
    </w:p>
    <w:p>
      <w:pPr>
        <w:numPr>
          <w:ilvl w:val="0"/>
          <w:numId w:val="26"/>
        </w:numPr>
        <w:rPr>
          <w:rFonts w:ascii="Georgia" w:hAnsi="Georgia"/>
          <w:sz w:val="22"/>
          <w:szCs w:val="22"/>
        </w:rPr>
      </w:pPr>
      <w:r>
        <w:rPr>
          <w:rFonts w:ascii="Georgia" w:hAnsi="Georgia"/>
          <w:sz w:val="22"/>
          <w:szCs w:val="22"/>
        </w:rPr>
        <w:t xml:space="preserve">Skador orsakat av dagvatten förebyggs </w:t>
        <w:br w:type="textWrapping"/>
      </w:r>
    </w:p>
    <w:p>
      <w:pPr>
        <w:numPr>
          <w:ilvl w:val="0"/>
          <w:numId w:val="26"/>
        </w:numPr>
        <w:rPr>
          <w:rFonts w:ascii="Georgia" w:hAnsi="Georgia"/>
          <w:sz w:val="22"/>
          <w:szCs w:val="22"/>
        </w:rPr>
      </w:pPr>
      <w:r>
        <w:rPr>
          <w:rFonts w:ascii="Georgia" w:hAnsi="Georgia"/>
          <w:sz w:val="22"/>
          <w:szCs w:val="22"/>
        </w:rPr>
        <w:t xml:space="preserve">Naturligt flöde (ytlig avrinning) eftersträvas </w:t>
        <w:br w:type="textWrapping"/>
      </w:r>
    </w:p>
    <w:p>
      <w:pPr>
        <w:numPr>
          <w:ilvl w:val="0"/>
          <w:numId w:val="26"/>
        </w:numPr>
        <w:rPr>
          <w:rFonts w:ascii="Georgia" w:hAnsi="Georgia"/>
          <w:sz w:val="22"/>
          <w:szCs w:val="22"/>
        </w:rPr>
      </w:pPr>
      <w:r>
        <w:rPr>
          <w:rFonts w:ascii="Georgia" w:hAnsi="Georgia"/>
          <w:sz w:val="22"/>
          <w:szCs w:val="22"/>
        </w:rPr>
        <w:t xml:space="preserve">Dagvatten ska ses som en resurs </w:t>
        <w:br w:type="textWrapping"/>
      </w:r>
    </w:p>
    <w:p>
      <w:pPr>
        <w:numPr>
          <w:ilvl w:val="0"/>
          <w:numId w:val="26"/>
        </w:numPr>
        <w:rPr>
          <w:rFonts w:ascii="Georgia" w:hAnsi="Georgia"/>
          <w:sz w:val="22"/>
          <w:szCs w:val="22"/>
        </w:rPr>
      </w:pPr>
      <w:r>
        <w:rPr>
          <w:rFonts w:ascii="Georgia" w:hAnsi="Georgia"/>
          <w:sz w:val="22"/>
          <w:szCs w:val="22"/>
        </w:rPr>
        <w:t xml:space="preserve">Dagvattenhanteringen ska vara långsiktig och hållbar </w:t>
      </w:r>
    </w:p>
    <w:p>
      <w:pPr>
        <w:rPr>
          <w:rFonts w:ascii="Georgia" w:hAnsi="Georgia"/>
          <w:sz w:val="22"/>
          <w:szCs w:val="22"/>
        </w:rPr>
      </w:pPr>
    </w:p>
    <w:p>
      <w:pPr>
        <w:spacing w:lineRule="exact" w:line="300" w:after="16" w:beforeAutospacing="0" w:afterAutospacing="0"/>
        <w:rPr>
          <w:rFonts w:ascii="Georgia" w:hAnsi="Georgia"/>
          <w:bCs w:val="1"/>
          <w:sz w:val="22"/>
          <w:szCs w:val="22"/>
        </w:rPr>
      </w:pPr>
      <w:r>
        <w:rPr>
          <w:rFonts w:ascii="Georgia" w:hAnsi="Georgia"/>
          <w:bCs w:val="1"/>
          <w:sz w:val="22"/>
          <w:szCs w:val="22"/>
        </w:rPr>
        <w:t xml:space="preserve">Kommunala dagvattenledningar finns inte anlagda till området. Dag/dränvattnet behöver omhändertas enskilt på den egna fastigheten och får inte anslutas till spillvattennätet. Det krävs kontinuerlig skötsel av dagvattenanläggningar och det är fastighetsägaren som ansvarar för drift och underhåll av dagvattensystemet inne på fastigheten. </w:t>
      </w:r>
    </w:p>
    <w:p>
      <w:pPr>
        <w:spacing w:lineRule="exact" w:line="300" w:after="16" w:beforeAutospacing="0" w:afterAutospacing="0"/>
        <w:rPr>
          <w:rFonts w:ascii="Georgia" w:hAnsi="Georgia"/>
          <w:bCs w:val="1"/>
          <w:sz w:val="22"/>
          <w:szCs w:val="22"/>
        </w:rPr>
      </w:pPr>
    </w:p>
    <w:p>
      <w:pPr>
        <w:spacing w:lineRule="exact" w:line="300" w:after="16" w:beforeAutospacing="0" w:afterAutospacing="0"/>
        <w:rPr>
          <w:rFonts w:ascii="Georgia" w:hAnsi="Georgia"/>
          <w:bCs w:val="1"/>
          <w:sz w:val="22"/>
          <w:szCs w:val="22"/>
        </w:rPr>
      </w:pPr>
      <w:r>
        <w:rPr>
          <w:rFonts w:ascii="Georgia" w:hAnsi="Georgia"/>
          <w:bCs w:val="1"/>
          <w:sz w:val="22"/>
          <w:szCs w:val="22"/>
        </w:rPr>
        <w:t xml:space="preserve">Dräneringsvattnet från planområdet bör inte ledas till det kommunala spillvattennätet utan omhändertas med en lokal reningsanläggning. </w:t>
      </w:r>
      <w:bookmarkEnd w:id="121"/>
    </w:p>
    <w:p>
      <w:pPr>
        <w:rPr>
          <w:rFonts w:ascii="Georgia" w:hAnsi="Georgia"/>
          <w:sz w:val="22"/>
          <w:szCs w:val="22"/>
        </w:rPr>
      </w:pPr>
      <w:r>
        <w:rPr>
          <w:rFonts w:ascii="Georgia" w:hAnsi="Georgia"/>
          <w:sz w:val="22"/>
          <w:szCs w:val="22"/>
        </w:rPr>
        <w:br w:type="textWrapping"/>
      </w:r>
    </w:p>
    <w:p>
      <w:pPr>
        <w:pStyle w:val="P16"/>
      </w:pPr>
      <w:bookmarkStart w:id="122" w:name="_Toc143176928"/>
      <w:r>
        <w:t>Hydrologiska förhållanden</w:t>
      </w:r>
      <w:bookmarkEnd w:id="122"/>
    </w:p>
    <w:p>
      <w:pPr>
        <w:spacing w:lineRule="exact" w:line="300" w:after="160" w:beforeAutospacing="0" w:afterAutospacing="0"/>
        <w:rPr>
          <w:rFonts w:ascii="Georgia" w:hAnsi="Georgia"/>
          <w:sz w:val="22"/>
          <w:szCs w:val="22"/>
        </w:rPr>
      </w:pPr>
      <w:bookmarkStart w:id="123" w:name="pf_hydrologiskaförhållande01"/>
      <w:r>
        <w:rPr>
          <w:rFonts w:ascii="Georgia" w:hAnsi="Georgia"/>
          <w:sz w:val="22"/>
          <w:szCs w:val="22"/>
        </w:rPr>
        <w:t>Huvuddelen av planområdet utgörs av morän vilket har en medelhög genomsläpplighet (SGU, 2021) som motsvarar en hydraulisk konduktivitet om 10–7 – 10-9 m/s (SGU, 2018).</w:t>
      </w:r>
    </w:p>
    <w:p>
      <w:pPr>
        <w:spacing w:lineRule="exact" w:line="300" w:after="160" w:beforeAutospacing="0" w:afterAutospacing="0"/>
        <w:rPr>
          <w:rFonts w:ascii="Georgia" w:hAnsi="Georgia"/>
          <w:sz w:val="22"/>
          <w:szCs w:val="22"/>
        </w:rPr>
      </w:pPr>
      <w:r>
        <w:rPr>
          <w:rFonts w:ascii="Georgia" w:hAnsi="Georgia"/>
          <w:sz w:val="22"/>
          <w:szCs w:val="22"/>
        </w:rPr>
        <w:t>Det finns inga skyddade områden enligt miljöbalken eller kända brunnar inom, i närhet till eller nedströms planområdet (SGU, 2021). Närmaste grundvattenförekomst ligger ca 8 km öster om planområdet (VISS, 2021).</w:t>
      </w:r>
    </w:p>
    <w:p>
      <w:pPr>
        <w:spacing w:lineRule="exact" w:line="300" w:after="160" w:beforeAutospacing="0" w:afterAutospacing="0"/>
        <w:rPr>
          <w:rFonts w:ascii="Georgia" w:hAnsi="Georgia"/>
          <w:sz w:val="22"/>
          <w:szCs w:val="22"/>
        </w:rPr>
      </w:pPr>
      <w:r>
        <w:rPr>
          <w:rFonts w:ascii="Georgia" w:hAnsi="Georgia"/>
          <w:sz w:val="22"/>
          <w:szCs w:val="22"/>
        </w:rPr>
        <w:t>Inom aktuellt planområde har tre grundvattenrör installerats i samband med den geotekniska undersökningen (Tyréns, 2021). Grundvattennivåer har uppmätts vid ett tillfälle, där grundvattenröret i områdets norra del (21T10GW) visade på en grundvattennivå motsvarande 2,2 m under befintlig markyta (</w:t>
      </w:r>
      <w:bookmarkStart w:id="124" w:name="_Hlk98313645"/>
      <w:r>
        <w:rPr>
          <w:rFonts w:ascii="Georgia" w:hAnsi="Georgia"/>
          <w:sz w:val="22"/>
          <w:szCs w:val="22"/>
        </w:rPr>
        <w:t xml:space="preserve">Figur </w:t>
      </w:r>
      <w:bookmarkEnd w:id="124"/>
      <w:r>
        <w:rPr>
          <w:rFonts w:ascii="Georgia" w:hAnsi="Georgia"/>
          <w:sz w:val="22"/>
          <w:szCs w:val="22"/>
        </w:rPr>
        <w:t xml:space="preserve">14). I områdets sydvästra del (21T20GW) uppmättes en grundvattennivå motsvarande 3,0 m under befintlig markyta (Figur 14). Grundvattenröret som installerades i områdets sydöstra del (21T14GW) var torrt vid genomförd mätning, där rörets spetsnivå motsvarar ett djup om 3,2 m under befintlig markyta (Figur 14). </w:t>
      </w:r>
    </w:p>
    <w:p>
      <w:pPr>
        <w:rPr>
          <w:rFonts w:ascii="Georgia" w:hAnsi="Georgia"/>
          <w:sz w:val="22"/>
          <w:szCs w:val="22"/>
        </w:rPr>
      </w:pPr>
    </w:p>
    <w:p>
      <w:pPr>
        <w:rPr>
          <w:rFonts w:ascii="Georgia" w:hAnsi="Georgia"/>
          <w:sz w:val="22"/>
          <w:szCs w:val="22"/>
        </w:rPr>
      </w:pPr>
      <w:r>
        <w:rPr>
          <w:rFonts w:ascii="Georgia" w:hAnsi="Georgia"/>
          <w:noProof w:val="1"/>
          <w:sz w:val="22"/>
          <w:szCs w:val="22"/>
          <w:lang w:eastAsia="sv-SE"/>
        </w:rPr>
        <w:drawing>
          <wp:inline xmlns:wp="http://schemas.openxmlformats.org/drawingml/2006/wordprocessingDrawing" distT="0" distB="0" distL="0" distR="0">
            <wp:extent cx="4620260" cy="1343025"/>
            <wp:effectExtent l="0" t="0" r="8890" b="9525"/>
            <wp:docPr id="30" name="Bildobjekt 30"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descr="En bild som visar bord&#10;&#10;Automatiskt genererad beskrivning"/>
                    <pic:cNvPicPr/>
                  </pic:nvPicPr>
                  <pic:blipFill dpi="0">
                    <a:blip xmlns:r="http://schemas.openxmlformats.org/officeDocument/2006/relationships" r:embed="Relimage17"/>
                    <a:srcRect/>
                    <a:stretch>
                      <a:fillRect/>
                    </a:stretch>
                  </pic:blipFill>
                  <pic:spPr>
                    <a:xfrm>
                      <a:off x="0" y="0"/>
                      <a:ext cx="4620270" cy="1343212"/>
                    </a:xfrm>
                    <a:prstGeom prst="rect"/>
                  </pic:spPr>
                </pic:pic>
              </a:graphicData>
            </a:graphic>
          </wp:inline>
        </w:drawing>
      </w:r>
    </w:p>
    <w:p>
      <w:pPr>
        <w:rPr>
          <w:rFonts w:ascii="Georgia" w:hAnsi="Georgia"/>
          <w:sz w:val="22"/>
          <w:szCs w:val="22"/>
        </w:rPr>
      </w:pPr>
      <w:r>
        <w:rPr>
          <w:rFonts w:ascii="Georgia" w:hAnsi="Georgia"/>
          <w:i w:val="1"/>
          <w:iCs w:val="1"/>
          <w:sz w:val="22"/>
          <w:szCs w:val="22"/>
        </w:rPr>
        <w:t>Figur 12,</w:t>
      </w:r>
      <w:r>
        <w:rPr>
          <w:rFonts w:ascii="Georgia" w:hAnsi="Georgia"/>
          <w:sz w:val="22"/>
          <w:szCs w:val="22"/>
        </w:rPr>
        <w:t xml:space="preserve"> </w:t>
      </w:r>
      <w:r>
        <w:rPr>
          <w:rFonts w:ascii="Georgia" w:hAnsi="Georgia"/>
          <w:i w:val="1"/>
          <w:iCs w:val="1"/>
          <w:sz w:val="22"/>
          <w:szCs w:val="22"/>
        </w:rPr>
        <w:t>Tabellen visar uppmätt grundvattennivå vid vissa undersökningspunkter.</w:t>
      </w:r>
    </w:p>
    <w:p>
      <w:pPr>
        <w:rPr>
          <w:rFonts w:ascii="Georgia" w:hAnsi="Georgia"/>
          <w:sz w:val="22"/>
          <w:szCs w:val="22"/>
        </w:rPr>
      </w:pPr>
    </w:p>
    <w:p>
      <w:pPr>
        <w:spacing w:lineRule="exact" w:line="300" w:after="160" w:beforeAutospacing="0" w:afterAutospacing="0"/>
        <w:rPr>
          <w:rFonts w:ascii="Georgia" w:hAnsi="Georgia"/>
          <w:sz w:val="22"/>
          <w:szCs w:val="22"/>
        </w:rPr>
      </w:pPr>
      <w:r>
        <w:rPr>
          <w:rFonts w:ascii="Georgia" w:hAnsi="Georgia"/>
          <w:sz w:val="22"/>
          <w:szCs w:val="22"/>
        </w:rPr>
        <w:t>Vid den geotekniska undersökningen grävdes också ett antal provgropar. Samtliga provgropar var torra frånsett provgrop 4 (PG4) (Tyréns, 2021). En mindre vattenansamling kunde noteras i provgropens botten vid 3,5 m (+456,5) under befintlig markyta (Tyréns, 2021). Det kan ej uteslutas att grundvattennivåerna i läge för provgroparna är belägna inom utfört grävdjup. Vid täta moränsammansättningar med låg genomsläpplighet kan det krävas att provgroparna lämnas öppna en längre tid innan grundvattnet runnit in i gropen och nivån stabiliserats. Grundvattenytan kan förväntas variera över årscykeln med sina högsta nivåer i samband med snösmältningsperioden på våren samt efter längre nederbördsperioder med intensivare regn. Vidare förväntas lägre grundvattennivåer under vinterhalvåret och torra sommarmånader.</w:t>
      </w:r>
    </w:p>
    <w:p>
      <w:pPr>
        <w:spacing w:lineRule="exact" w:line="300" w:after="160" w:beforeAutospacing="0" w:afterAutospacing="0"/>
        <w:rPr>
          <w:rFonts w:ascii="Georgia" w:hAnsi="Georgia"/>
          <w:i w:val="1"/>
          <w:iCs w:val="1"/>
          <w:sz w:val="22"/>
          <w:szCs w:val="22"/>
        </w:rPr>
      </w:pPr>
      <w:r>
        <w:rPr>
          <w:rFonts w:ascii="Georgia" w:hAnsi="Georgia"/>
          <w:noProof w:val="1"/>
          <w:sz w:val="22"/>
          <w:szCs w:val="22"/>
        </w:rPr>
        <w:drawing>
          <wp:anchor xmlns:wp="http://schemas.openxmlformats.org/drawingml/2006/wordprocessingDrawing" distT="0" distB="0" distL="114300" distR="114300" simplePos="0" relativeHeight="23" behindDoc="0" locked="0" layoutInCell="1" allowOverlap="1">
            <wp:simplePos x="0" y="0"/>
            <wp:positionH relativeFrom="column">
              <wp:posOffset>-3810</wp:posOffset>
            </wp:positionH>
            <wp:positionV relativeFrom="paragraph">
              <wp:posOffset>0</wp:posOffset>
            </wp:positionV>
            <wp:extent cx="5053965" cy="4712335"/>
            <wp:effectExtent l="0" t="0" r="0" b="0"/>
            <wp:wrapTopAndBottom/>
            <wp:docPr id="66" name="Bildobjekt 66"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Bildobjekt 66" descr="En bild som visar karta&#10;&#10;Automatiskt genererad beskrivning"/>
                    <pic:cNvPicPr>
                      <a:picLocks noChangeAspect="1" noChangeArrowheads="1"/>
                    </pic:cNvPicPr>
                  </pic:nvPicPr>
                  <pic:blipFill dpi="0">
                    <a:blip xmlns:r="http://schemas.openxmlformats.org/officeDocument/2006/relationships" r:embed="Relimage18"/>
                    <a:srcRect/>
                    <a:stretch>
                      <a:fillRect/>
                    </a:stretch>
                  </pic:blipFill>
                  <pic:spPr bwMode="auto">
                    <a:xfrm>
                      <a:off x="0" y="0"/>
                      <a:ext cx="5053965" cy="4712335"/>
                    </a:xfrm>
                    <a:prstGeom prst="rect"/>
                    <a:noFill/>
                  </pic:spPr>
                </pic:pic>
              </a:graphicData>
            </a:graphic>
          </wp:anchor>
        </w:drawing>
      </w:r>
      <w:r>
        <w:rPr>
          <w:rFonts w:ascii="Georgia" w:hAnsi="Georgia"/>
          <w:i w:val="1"/>
          <w:iCs w:val="1"/>
          <w:sz w:val="22"/>
          <w:szCs w:val="22"/>
        </w:rPr>
        <w:t xml:space="preserve">Figur 13, Bilden visar provgropar, grundvattenrör m m. För en tydligare karta se Tyréns rapport ”Dagvatten- och hydrogeologisk undersökning, ny begravningsplats, slutversion 2021-09-17” Bilaga 1. </w:t>
      </w:r>
    </w:p>
    <w:p>
      <w:pPr>
        <w:pStyle w:val="P16"/>
      </w:pPr>
      <w:bookmarkEnd w:id="123"/>
      <w:bookmarkStart w:id="125" w:name="_Toc143176929"/>
      <w:r>
        <w:t>Befintlig avvattning</w:t>
      </w:r>
      <w:bookmarkEnd w:id="125"/>
    </w:p>
    <w:p>
      <w:pPr>
        <w:spacing w:lineRule="exact" w:line="300" w:after="160" w:beforeAutospacing="0" w:afterAutospacing="0"/>
        <w:rPr>
          <w:rFonts w:ascii="Georgia" w:hAnsi="Georgia"/>
          <w:sz w:val="22"/>
          <w:szCs w:val="22"/>
        </w:rPr>
      </w:pPr>
      <w:bookmarkStart w:id="126" w:name="pf_befintligavvattning01"/>
      <w:r>
        <w:rPr>
          <w:rFonts w:ascii="Georgia" w:hAnsi="Georgia"/>
          <w:sz w:val="22"/>
          <w:szCs w:val="22"/>
        </w:rPr>
        <w:t xml:space="preserve">I dagsläget avvattnas området i nordöstlig riktning mot ett större våtmarksområde som slutligen mynnar i sjön Tuollujärvi (Figur 16). Längs östra delen av planområdet löper ett dagvattendike där dagvatten från ett större område inom nya Kiruna centrum avvattnas norrut mot våtmarksområdet (Figur 16). I diket mynnar även en ledning med dräneringsvatten från en gångbro under E10:an. Det finns inga trummor eller ledningar inom eller nedströms planområdet som påverkar dagvattenhanteringen. </w:t>
      </w:r>
    </w:p>
    <w:p>
      <w:pPr>
        <w:spacing w:lineRule="exact" w:line="300" w:after="160" w:beforeAutospacing="0" w:afterAutospacing="0"/>
        <w:rPr>
          <w:rFonts w:ascii="Georgia" w:hAnsi="Georgia"/>
          <w:sz w:val="22"/>
          <w:szCs w:val="22"/>
        </w:rPr>
      </w:pPr>
      <w:r>
        <w:rPr>
          <w:rFonts w:ascii="Georgia" w:hAnsi="Georgia"/>
          <w:sz w:val="22"/>
          <w:szCs w:val="22"/>
        </w:rPr>
        <w:t>Flödet från nya Kiruna centrum som släpps till trumman under E10 är enligt uppgift från beställaren beräknat till 0,9 m</w:t>
      </w:r>
      <w:r>
        <w:rPr>
          <w:rFonts w:ascii="Georgia" w:hAnsi="Georgia"/>
          <w:sz w:val="22"/>
          <w:szCs w:val="22"/>
          <w:vertAlign w:val="superscript"/>
        </w:rPr>
        <w:t>3</w:t>
      </w:r>
      <w:r>
        <w:rPr>
          <w:rFonts w:ascii="Georgia" w:hAnsi="Georgia"/>
          <w:sz w:val="22"/>
          <w:szCs w:val="22"/>
        </w:rPr>
        <w:t xml:space="preserve">/s utifrån ett fördröjt 20-års regn ner till 15 l/s, ha. Diket inom planområdet hanterar endast ett bräddningsflöde från nya Kiruna centrum då huvudflödet rinner längre österut till ett tidigare klarningsmagasin och belastar därför inte planområdet. Diket ska ha fullgod kapacitet att avbörda eventuella bräddflöden, men kan vid extrema skyfall svämma över. Under E10:an strax öster om bågskyttebanan finns också en gång- och cykelvägstunnel som utgör nödbräddning för </w:t>
      </w:r>
      <w:r>
        <w:rPr>
          <w:rFonts w:ascii="Georgia" w:hAnsi="Georgia"/>
          <w:sz w:val="22"/>
          <w:szCs w:val="22"/>
        </w:rPr>
        <w:t>dagvatten från nya Kiruna centrum och E10.</w:t>
      </w:r>
    </w:p>
    <w:p>
      <w:pPr>
        <w:spacing w:lineRule="exact" w:line="300" w:after="160" w:beforeAutospacing="0" w:afterAutospacing="0"/>
        <w:rPr>
          <w:rFonts w:ascii="Georgia" w:hAnsi="Georgia"/>
          <w:i w:val="1"/>
          <w:iCs w:val="1"/>
          <w:sz w:val="22"/>
          <w:szCs w:val="22"/>
        </w:rPr>
      </w:pPr>
      <w:r>
        <w:rPr>
          <w:rFonts w:ascii="Georgia" w:hAnsi="Georgia"/>
          <w:sz w:val="22"/>
          <w:szCs w:val="22"/>
        </w:rPr>
        <w:drawing>
          <wp:anchor xmlns:wp="http://schemas.openxmlformats.org/drawingml/2006/wordprocessingDrawing" distT="0" distB="0" distL="114300" distR="114300" simplePos="0" relativeHeight="24" behindDoc="0" locked="0" layoutInCell="0" allowOverlap="1">
            <wp:simplePos x="0" y="0"/>
            <wp:positionH relativeFrom="column">
              <wp:posOffset>-9525</wp:posOffset>
            </wp:positionH>
            <wp:positionV relativeFrom="paragraph">
              <wp:posOffset>193675</wp:posOffset>
            </wp:positionV>
            <wp:extent cx="5029200" cy="5816600"/>
            <wp:effectExtent l="19050" t="19050" r="19050" b="12700"/>
            <wp:wrapTopAndBottom/>
            <wp:docPr id="199" name="Bildobjekt 199"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Bildobjekt 199" descr="En bild som visar karta&#10;&#10;Automatiskt genererad beskrivning"/>
                    <pic:cNvPicPr/>
                  </pic:nvPicPr>
                  <pic:blipFill dpi="0">
                    <a:blip xmlns:r="http://schemas.openxmlformats.org/officeDocument/2006/relationships" r:embed="Relimage19"/>
                    <a:srcRect/>
                    <a:stretch>
                      <a:fillRect/>
                    </a:stretch>
                  </pic:blipFill>
                  <pic:spPr>
                    <a:xfrm>
                      <a:off x="0" y="0"/>
                      <a:ext cx="5029458" cy="5816899"/>
                    </a:xfrm>
                    <a:prstGeom prst="rect"/>
                    <a:ln>
                      <a:solidFill>
                        <a:schemeClr val="tx1"/>
                      </a:solidFill>
                    </a:ln>
                  </pic:spPr>
                </pic:pic>
              </a:graphicData>
            </a:graphic>
          </wp:anchor>
        </w:drawing>
      </w:r>
      <w:r>
        <w:rPr>
          <w:rFonts w:ascii="Georgia" w:hAnsi="Georgia"/>
          <w:i w:val="1"/>
          <w:iCs w:val="1"/>
          <w:sz w:val="22"/>
          <w:szCs w:val="22"/>
        </w:rPr>
        <w:t>Figur 14, Befintlig ytavrinning inom planområdet (Scalgo, 2021). Flödesvägarna visas i mörkblått, trummor i grönt och dagvattendike i rött.</w:t>
      </w:r>
    </w:p>
    <w:p>
      <w:pPr>
        <w:pStyle w:val="P16"/>
      </w:pPr>
      <w:bookmarkEnd w:id="126"/>
      <w:bookmarkStart w:id="127" w:name="_Toc143176930"/>
      <w:r>
        <w:t>Förslag till dagvattenhantering</w:t>
      </w:r>
      <w:bookmarkEnd w:id="127"/>
    </w:p>
    <w:p>
      <w:pPr>
        <w:spacing w:lineRule="auto" w:line="259" w:beforeAutospacing="0" w:afterAutospacing="0"/>
        <w:rPr>
          <w:rFonts w:ascii="Georgia" w:hAnsi="Georgia"/>
          <w:sz w:val="22"/>
          <w:szCs w:val="22"/>
        </w:rPr>
      </w:pPr>
      <w:r>
        <w:rPr>
          <w:rFonts w:ascii="Georgia" w:hAnsi="Georgia"/>
          <w:b w:val="1"/>
          <w:bCs w:val="1"/>
        </w:rPr>
        <w:br w:type="textWrapping"/>
      </w:r>
      <w:bookmarkStart w:id="128" w:name="pf_förslagtilldagvattenhantering02"/>
      <w:r>
        <w:rPr>
          <w:rFonts w:ascii="Georgia" w:hAnsi="Georgia"/>
          <w:sz w:val="22"/>
          <w:szCs w:val="22"/>
        </w:rPr>
        <w:t>Enligt föroreningsberäkningar kommer föreslagen exploatering inte att påverka möjligheten för Tuollujoki att uppnå miljökvalitetsnormerna. Dagvattnet passerar ett större våtmarksområde innan det når recipienten där också en naturlig fastläggning/upptag av partiklar och lösta ämnen uppnås. Dagvattenhanteringen för planområdet handlar därför om fördröjning av 240 m</w:t>
      </w:r>
      <w:r>
        <w:rPr>
          <w:rFonts w:ascii="Georgia" w:hAnsi="Georgia"/>
          <w:sz w:val="22"/>
          <w:szCs w:val="22"/>
          <w:vertAlign w:val="superscript"/>
        </w:rPr>
        <w:t>3</w:t>
      </w:r>
      <w:r>
        <w:rPr>
          <w:rFonts w:ascii="Georgia" w:hAnsi="Georgia"/>
          <w:sz w:val="22"/>
          <w:szCs w:val="22"/>
        </w:rPr>
        <w:t xml:space="preserve"> vatten samt säkerställande av att planerade byggnader inte riskerar drabbas av skador på grund av ytlig avrinning.</w:t>
      </w:r>
    </w:p>
    <w:p>
      <w:pPr>
        <w:spacing w:lineRule="exact" w:line="300" w:beforeAutospacing="0" w:afterAutospacing="0"/>
        <w:rPr>
          <w:rFonts w:ascii="Georgia" w:hAnsi="Georgia"/>
          <w:sz w:val="22"/>
          <w:szCs w:val="22"/>
        </w:rPr>
      </w:pPr>
      <w:r>
        <w:rPr>
          <w:rFonts w:ascii="Georgia" w:hAnsi="Georgia"/>
          <w:sz w:val="22"/>
          <w:szCs w:val="22"/>
        </w:rPr>
        <w:t>Enligt styrdokumentet för dagvattenhantering inom nya Kiruna centrum ska skador orsakat av dagvatten förebyggas, ytlig avrinning ska eftersträvas och dagvattnet ska i största möjliga mån infiltreras eller fördröjas inom planområdet. I och med att det för norra delarna av planområdet finns risk för vatteninträngning i gravschakten bör grundvattennivån dock ej höjas varför infiltration i detta fall bedöms olämplig.</w:t>
      </w:r>
    </w:p>
    <w:p>
      <w:pPr>
        <w:spacing w:lineRule="exact" w:line="300" w:beforeAutospacing="0" w:afterAutospacing="0"/>
        <w:rPr>
          <w:rFonts w:ascii="Georgia" w:hAnsi="Georgia"/>
          <w:sz w:val="22"/>
          <w:szCs w:val="22"/>
        </w:rPr>
      </w:pPr>
      <w:r>
        <w:rPr>
          <w:rFonts w:ascii="Georgia" w:hAnsi="Georgia"/>
          <w:sz w:val="22"/>
          <w:szCs w:val="22"/>
        </w:rPr>
        <w:t>Vidare finns det inget dagvattennät eller någon planerad bebyggelse nedströms planområdet som behöver beaktas i samband med dagvattenhanteringen.</w:t>
      </w:r>
    </w:p>
    <w:p>
      <w:pPr>
        <w:spacing w:lineRule="exact" w:line="300" w:beforeAutospacing="0" w:afterAutospacing="0"/>
        <w:rPr>
          <w:rFonts w:ascii="Georgia" w:hAnsi="Georgia"/>
          <w:sz w:val="22"/>
          <w:szCs w:val="22"/>
        </w:rPr>
      </w:pPr>
      <w:r>
        <w:rPr>
          <w:rFonts w:ascii="Georgia" w:hAnsi="Georgia"/>
          <w:sz w:val="22"/>
          <w:szCs w:val="22"/>
        </w:rPr>
        <w:t xml:space="preserve">Utifrån uppmätta bergdjup bedöms området närmast E10:an vara lämpligast för bebyggelse och parkering medan norra och västra delarna är mer lämpliga för gravsättning. En utökad markundersökning kommer att göras inför granskning för att ytterligare bedöma bergets struktur. </w:t>
      </w:r>
    </w:p>
    <w:p>
      <w:pPr>
        <w:spacing w:lineRule="exact" w:line="300" w:beforeAutospacing="0" w:afterAutospacing="0"/>
        <w:rPr>
          <w:rFonts w:ascii="Georgia" w:hAnsi="Georgia"/>
          <w:sz w:val="22"/>
          <w:szCs w:val="22"/>
        </w:rPr>
      </w:pPr>
    </w:p>
    <w:p>
      <w:pPr>
        <w:spacing w:lineRule="exact" w:line="300" w:beforeAutospacing="0" w:afterAutospacing="0"/>
        <w:rPr>
          <w:rFonts w:ascii="Georgia" w:hAnsi="Georgia"/>
          <w:sz w:val="22"/>
          <w:szCs w:val="22"/>
        </w:rPr>
      </w:pPr>
      <w:r>
        <w:rPr>
          <w:rFonts w:ascii="Georgia" w:hAnsi="Georgia"/>
          <w:sz w:val="22"/>
          <w:szCs w:val="22"/>
        </w:rPr>
        <w:t>För att kunna fördröja 240 m</w:t>
      </w:r>
      <w:r>
        <w:rPr>
          <w:rFonts w:ascii="Georgia" w:hAnsi="Georgia"/>
          <w:sz w:val="22"/>
          <w:szCs w:val="22"/>
          <w:vertAlign w:val="superscript"/>
        </w:rPr>
        <w:t xml:space="preserve">3 </w:t>
      </w:r>
      <w:r>
        <w:rPr>
          <w:rFonts w:ascii="Georgia" w:hAnsi="Georgia"/>
          <w:sz w:val="22"/>
          <w:szCs w:val="22"/>
        </w:rPr>
        <w:t xml:space="preserve">vatten rekommenderas det att anlägga torra fördröjningsdammar (beskrivs mer utförligt längre ned) dit dagvattnet från parkeringsytor, tak och grönområden avleds och fördröjs innan det släpps till befintligt dagvattendike. </w:t>
      </w:r>
    </w:p>
    <w:p>
      <w:pPr>
        <w:spacing w:lineRule="exact" w:line="300" w:beforeAutospacing="0" w:afterAutospacing="0"/>
        <w:rPr>
          <w:rFonts w:ascii="Georgia" w:hAnsi="Georgia"/>
        </w:rPr>
      </w:pPr>
    </w:p>
    <w:p>
      <w:pPr>
        <w:spacing w:lineRule="exact" w:line="300" w:beforeAutospacing="0" w:afterAutospacing="0"/>
        <w:rPr>
          <w:rFonts w:ascii="Georgia" w:hAnsi="Georgia"/>
          <w:sz w:val="22"/>
          <w:szCs w:val="22"/>
        </w:rPr>
      </w:pPr>
      <w:r>
        <w:rPr>
          <w:rFonts w:ascii="Georgia" w:hAnsi="Georgia"/>
          <w:sz w:val="22"/>
          <w:szCs w:val="22"/>
        </w:rPr>
        <w:t>Gravområdena som huvudsakligen utgörs av park- och grönområden avvattnas lämpligast genom avledning till nedsänkta gångstråk som leder vattnet ytligt till fördröjningsdammarna och vidare till dagvattendiket alternativt norrut mot myrområdet beroende på hur planområdet exploateras.</w:t>
      </w:r>
    </w:p>
    <w:p>
      <w:pPr>
        <w:spacing w:lineRule="exact" w:line="300" w:beforeAutospacing="0" w:afterAutospacing="0"/>
        <w:rPr>
          <w:rFonts w:ascii="Georgia" w:hAnsi="Georgia"/>
          <w:sz w:val="22"/>
          <w:szCs w:val="22"/>
        </w:rPr>
      </w:pPr>
    </w:p>
    <w:p>
      <w:pPr>
        <w:spacing w:lineRule="exact" w:line="300" w:beforeAutospacing="0" w:afterAutospacing="0"/>
        <w:rPr>
          <w:rFonts w:ascii="Georgia" w:hAnsi="Georgia"/>
          <w:sz w:val="22"/>
          <w:szCs w:val="22"/>
        </w:rPr>
      </w:pPr>
      <w:r>
        <w:rPr>
          <w:rFonts w:ascii="Georgia" w:hAnsi="Georgia"/>
          <w:sz w:val="22"/>
          <w:szCs w:val="22"/>
        </w:rPr>
        <w:t>Utloppet från torrdammen stryps så utflödet motsvarar befintligt flöde (58 l/s) från området. Då områdets utformning ej är fastställt är det ej möjligt att ge förslag till placering av torrdammarna. Vidare bör befintligt dagvattendikes utformning och kapacitet utredas för att säkerställa att det har kapacitet att avleda tillkommande dagvattnet från planområdet.</w:t>
      </w:r>
    </w:p>
    <w:p>
      <w:pPr>
        <w:spacing w:lineRule="exact" w:line="300" w:beforeAutospacing="0" w:afterAutospacing="0"/>
        <w:rPr>
          <w:rFonts w:ascii="Georgia" w:hAnsi="Georgia"/>
          <w:sz w:val="22"/>
          <w:szCs w:val="22"/>
        </w:rPr>
      </w:pPr>
    </w:p>
    <w:p>
      <w:pPr>
        <w:spacing w:lineRule="exact" w:line="300" w:beforeAutospacing="0" w:afterAutospacing="0"/>
        <w:rPr>
          <w:rFonts w:ascii="Georgia" w:hAnsi="Georgia"/>
          <w:sz w:val="22"/>
          <w:szCs w:val="22"/>
        </w:rPr>
      </w:pPr>
      <w:r>
        <w:rPr>
          <w:rFonts w:ascii="Georgia" w:hAnsi="Georgia"/>
          <w:sz w:val="22"/>
          <w:szCs w:val="22"/>
        </w:rPr>
        <w:t xml:space="preserve">Slutligen avleds dagvatten vid skyfall lämpligast genom ytlig avrinning i områdets naturliga lutning åt norr mot våtmarksområdet och vidare höjdsätts byggnader och entréer så att dessa ej tar skada vid höga flöden. </w:t>
      </w:r>
    </w:p>
    <w:p>
      <w:pPr>
        <w:spacing w:lineRule="exact" w:line="300" w:beforeAutospacing="0" w:afterAutospacing="0"/>
        <w:rPr>
          <w:rFonts w:ascii="Georgia" w:hAnsi="Georgia"/>
          <w:sz w:val="22"/>
          <w:szCs w:val="22"/>
        </w:rPr>
      </w:pPr>
    </w:p>
    <w:p>
      <w:pPr>
        <w:spacing w:lineRule="exact" w:line="300" w:beforeAutospacing="0" w:afterAutospacing="0"/>
        <w:rPr>
          <w:rFonts w:ascii="Georgia" w:hAnsi="Georgia"/>
          <w:sz w:val="22"/>
          <w:szCs w:val="22"/>
        </w:rPr>
      </w:pPr>
      <w:r>
        <w:rPr>
          <w:rFonts w:ascii="Georgia" w:hAnsi="Georgia"/>
          <w:sz w:val="22"/>
          <w:szCs w:val="22"/>
        </w:rPr>
        <w:t>Gång- och vägtunneln under E10:an öster om bågskyttebanan utgör nödbräddning för dagvatten från nya Kiruna centrum och E10 och ingen känslig bebyggelse ska placeras i dess avrinningsväg mot dagvattendiket. Lämpligen kan avrinningsvägen utgöras av parkeringsyta eller grönområde.</w:t>
      </w:r>
      <w:bookmarkEnd w:id="128"/>
    </w:p>
    <w:p>
      <w:pPr>
        <w:spacing w:lineRule="exact" w:line="300" w:beforeAutospacing="0" w:afterAutospacing="0"/>
        <w:rPr>
          <w:rFonts w:ascii="Georgia" w:hAnsi="Georgia"/>
          <w:sz w:val="22"/>
          <w:szCs w:val="22"/>
        </w:rPr>
      </w:pPr>
    </w:p>
    <w:p>
      <w:pPr>
        <w:pStyle w:val="P16"/>
      </w:pPr>
      <w:bookmarkStart w:id="129" w:name="_Toc143176931"/>
      <w:r>
        <w:t>Beskrivning av torr fördröjningsdamm</w:t>
      </w:r>
      <w:bookmarkEnd w:id="129"/>
    </w:p>
    <w:p>
      <w:pPr>
        <w:pStyle w:val="P14"/>
      </w:pPr>
      <w:bookmarkStart w:id="130" w:name="pf_förslagtilldagvattenhantering03"/>
      <w:r>
        <w:t>Torra fördröjningsdammar är nedsänkta gröna ytor med flacka slänter som fylls med vatten vid höga flöden varmed en tillfällig vattenspegel bildas för sen att försvinna successivt när tillrinningen avtar. De utformas med ett bottenutlopp som kan strypas varmed flödet nedströms regleras. Exempel på var fördröjningsdammar kan placeras inom planområdet, finns redovisat i gestaltningsprogrammet (</w:t>
      </w:r>
      <w:r>
        <w:rPr>
          <w:i w:val="1"/>
          <w:iCs w:val="1"/>
        </w:rPr>
        <w:t>Gestaltningsprogram för Kiruna skogskyrkogård, OSA 2022</w:t>
      </w:r>
      <w:r>
        <w:t>)</w:t>
      </w:r>
    </w:p>
    <w:p>
      <w:pPr>
        <w:rPr>
          <w:rFonts w:ascii="Georgia" w:hAnsi="Georgia"/>
          <w:i w:val="1"/>
          <w:iCs w:val="1"/>
        </w:rPr>
      </w:pPr>
      <w:r>
        <w:rPr>
          <w:rFonts w:ascii="Georgia" w:hAnsi="Georgia"/>
          <w:i w:val="1"/>
          <w:iCs w:val="1"/>
          <w:noProof w:val="1"/>
          <w:sz w:val="22"/>
          <w:szCs w:val="22"/>
          <w:lang w:eastAsia="sv-SE"/>
        </w:rPr>
        <w:drawing>
          <wp:anchor xmlns:wp="http://schemas.openxmlformats.org/drawingml/2006/wordprocessingDrawing" distT="0" distB="0" distL="114300" distR="114300" simplePos="0" relativeHeight="25" behindDoc="0" locked="0" layoutInCell="1" allowOverlap="1">
            <wp:simplePos x="0" y="0"/>
            <wp:positionH relativeFrom="column">
              <wp:posOffset>-4445</wp:posOffset>
            </wp:positionH>
            <wp:positionV relativeFrom="paragraph">
              <wp:posOffset>19050</wp:posOffset>
            </wp:positionV>
            <wp:extent cx="5669280" cy="5000625"/>
            <wp:effectExtent l="19050" t="19050" r="26670" b="28575"/>
            <wp:wrapTopAndBottom/>
            <wp:docPr id="214" name="Bildobjekt 214" descr="En bild som visar text, sport, friidro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 sport, friidrott&#10;&#10;Automatiskt genererad beskrivning"/>
                    <pic:cNvPicPr/>
                  </pic:nvPicPr>
                  <pic:blipFill dpi="0">
                    <a:blip xmlns:r="http://schemas.openxmlformats.org/officeDocument/2006/relationships" r:embed="Relimage20"/>
                    <a:srcRect/>
                    <a:stretch>
                      <a:fillRect/>
                    </a:stretch>
                  </pic:blipFill>
                  <pic:spPr>
                    <a:xfrm>
                      <a:off x="0" y="0"/>
                      <a:ext cx="5669280" cy="5000625"/>
                    </a:xfrm>
                    <a:prstGeom prst="rect"/>
                    <a:ln>
                      <a:solidFill>
                        <a:schemeClr val="tx1"/>
                      </a:solidFill>
                    </a:ln>
                  </pic:spPr>
                </pic:pic>
              </a:graphicData>
            </a:graphic>
          </wp:anchor>
        </w:drawing>
      </w:r>
      <w:r>
        <w:rPr>
          <w:rFonts w:ascii="Georgia" w:hAnsi="Georgia"/>
          <w:i w:val="1"/>
          <w:iCs w:val="1"/>
          <w:sz w:val="22"/>
          <w:szCs w:val="22"/>
        </w:rPr>
        <w:t>Figur 15,</w:t>
      </w:r>
      <w:r>
        <w:rPr>
          <w:rFonts w:ascii="Georgia" w:hAnsi="Georgia"/>
          <w:sz w:val="22"/>
          <w:szCs w:val="22"/>
        </w:rPr>
        <w:t xml:space="preserve"> </w:t>
      </w:r>
      <w:r>
        <w:rPr>
          <w:rFonts w:ascii="Georgia" w:hAnsi="Georgia"/>
          <w:i w:val="1"/>
          <w:iCs w:val="1"/>
          <w:sz w:val="22"/>
          <w:szCs w:val="22"/>
        </w:rPr>
        <w:t>Områdena markerat i rött, Tjärnen och Mossen, är i gestaltningsprogram för Kiruna kyrkogård (OSA 2022) utpekade som fördröjningsdammar som kan samla upp vatten vid högre flöden</w:t>
      </w:r>
      <w:r>
        <w:rPr>
          <w:rFonts w:ascii="Georgia" w:hAnsi="Georgia"/>
          <w:i w:val="1"/>
          <w:iCs w:val="1"/>
        </w:rPr>
        <w:t>.</w:t>
      </w:r>
    </w:p>
    <w:p>
      <w:pPr>
        <w:rPr>
          <w:rFonts w:ascii="Georgia" w:hAnsi="Georgia"/>
          <w:i w:val="1"/>
          <w:iCs w:val="1"/>
          <w:sz w:val="22"/>
          <w:szCs w:val="22"/>
        </w:rPr>
      </w:pPr>
    </w:p>
    <w:p>
      <w:pPr>
        <w:spacing w:lineRule="exact" w:line="300" w:after="160" w:beforeAutospacing="0" w:afterAutospacing="0"/>
        <w:rPr>
          <w:rFonts w:ascii="Georgia" w:hAnsi="Georgia"/>
          <w:sz w:val="22"/>
          <w:szCs w:val="22"/>
        </w:rPr>
      </w:pPr>
      <w:r>
        <w:rPr>
          <w:rFonts w:ascii="Georgia" w:hAnsi="Georgia"/>
          <w:sz w:val="22"/>
          <w:szCs w:val="22"/>
        </w:rPr>
        <w:t>Vanligaste vegetation är gräs och flacka slänter med en lutning på max tio grader rekommenderas för säkerhet samt underlättnad av mekanisk skötsel. Vid flacka släntlutningar och mindre förorenat dagvatten kan anläggningen smidigt nyttjas för andra ändamål vid torrväder. I detta fall kan ytan med fördel användas för snöupplag vintertid.</w:t>
      </w:r>
    </w:p>
    <w:p>
      <w:pPr>
        <w:spacing w:lineRule="exact" w:line="300" w:after="160" w:beforeAutospacing="0" w:afterAutospacing="0"/>
        <w:rPr>
          <w:rFonts w:ascii="Georgia" w:hAnsi="Georgia"/>
          <w:sz w:val="22"/>
          <w:szCs w:val="22"/>
        </w:rPr>
      </w:pPr>
      <w:r>
        <w:rPr>
          <w:rFonts w:ascii="Georgia" w:hAnsi="Georgia"/>
          <w:sz w:val="22"/>
          <w:szCs w:val="22"/>
        </w:rPr>
        <w:t>För att torra fördröjningsdammar ska bibehålla en maximal kapacitet kräver dessa regelbundna skötselinsatser. Bland annat måste träd och buskar som växer upp inom dammens yta tas bort, sediment avlägsnas och avfall/skräp plockas bort. Ytterligare måste dammen kunna torka ut mellan regntillfällena.</w:t>
      </w:r>
    </w:p>
    <w:p>
      <w:pPr>
        <w:spacing w:lineRule="exact" w:line="300" w:after="160" w:beforeAutospacing="0" w:afterAutospacing="0"/>
        <w:rPr>
          <w:rFonts w:ascii="Georgia" w:hAnsi="Georgia"/>
          <w:sz w:val="22"/>
          <w:szCs w:val="22"/>
        </w:rPr>
      </w:pPr>
      <w:r>
        <w:rPr>
          <w:rFonts w:ascii="Georgia" w:hAnsi="Georgia"/>
          <w:sz w:val="22"/>
          <w:szCs w:val="22"/>
        </w:rPr>
        <w:t>Galler vid in- och utlopp inspekteras och rensas (om behovet finns) regelbundet efter regn, avfall tas bort regelbundet (ungefär var 14:e dag), eventuellt sandfång bör tömmas en gång årligen, gräs (vegetation) klippas varje månad under växtsäsongen, sedimenterat material rensas bort efter behov (varje 5 - 15 år) samt kontroll och renovering av dammen – ex. om sidorna har eroderat måste dessa stabiliseras etc. Slutligen kan säkerhetsåtgärder (staket, livboj, skyltning) behöva installeras om så krävs.</w:t>
      </w:r>
    </w:p>
    <w:p>
      <w:pPr>
        <w:pStyle w:val="P16"/>
      </w:pPr>
      <w:bookmarkEnd w:id="130"/>
      <w:bookmarkStart w:id="131" w:name="_Toc143176932"/>
      <w:r>
        <w:t>Förslag till dränvattenhantering</w:t>
      </w:r>
      <w:bookmarkEnd w:id="131"/>
    </w:p>
    <w:p>
      <w:pPr>
        <w:pStyle w:val="P33"/>
        <w:spacing w:lineRule="exact" w:line="300" w:after="160" w:beforeAutospacing="0" w:afterAutospacing="0"/>
        <w:rPr>
          <w:rFonts w:ascii="Georgia" w:hAnsi="Georgia"/>
          <w:color w:val="auto"/>
          <w:sz w:val="22"/>
          <w:szCs w:val="22"/>
        </w:rPr>
      </w:pPr>
      <w:bookmarkStart w:id="132" w:name="pf_förslagtilldränvattenhantering01"/>
      <w:r>
        <w:rPr>
          <w:rFonts w:ascii="Georgia" w:hAnsi="Georgia"/>
          <w:sz w:val="22"/>
          <w:szCs w:val="22"/>
        </w:rPr>
        <w:t>Beräkningar av mängden inträngande grundvatten i schakten visar att detta är relativt begränsat (</w:t>
      </w:r>
      <w:r>
        <w:rPr>
          <w:rFonts w:ascii="Georgia" w:hAnsi="Georgia"/>
          <w:i w:val="1"/>
          <w:iCs w:val="1"/>
          <w:sz w:val="22"/>
          <w:szCs w:val="22"/>
        </w:rPr>
        <w:t>Se avsnitt 3.6 i Dagvatten- och hydrogeologisk utredning, ny begravningsplats Kiruna, Tyréns 2021</w:t>
      </w:r>
      <w:r>
        <w:rPr>
          <w:rFonts w:ascii="Georgia" w:hAnsi="Georgia"/>
          <w:sz w:val="22"/>
          <w:szCs w:val="22"/>
        </w:rPr>
        <w:t xml:space="preserve">). Grundvattennivåerna är dock avlästa vid lågperiod och dessa kan </w:t>
      </w:r>
      <w:r>
        <w:rPr>
          <w:rFonts w:ascii="Georgia" w:hAnsi="Georgia"/>
          <w:color w:val="auto"/>
          <w:sz w:val="22"/>
          <w:szCs w:val="22"/>
        </w:rPr>
        <w:t xml:space="preserve">fluktuera betydande under året vilket kan innebära större mängder inträngande vatten vissa delar av året. Gravschakt för kistgravar ska alltid vara dränerade då förmultningsprocessen ska ske med tillgång till syre. För att undvika inträngande grundvatten i gravschakten rekommenderas det därför att området för kistgravsättning schaktas upp i samband med att området blockrensas samt att ett dränerande lager om minst 300 mm anläggs mellan naturligt lagrad morän och blockrensade massor med mellanliggande geotextil. </w:t>
      </w:r>
    </w:p>
    <w:p>
      <w:pPr>
        <w:pStyle w:val="P33"/>
        <w:spacing w:lineRule="exact" w:line="300" w:after="160" w:beforeAutospacing="0" w:afterAutospacing="0"/>
        <w:rPr>
          <w:rFonts w:ascii="Georgia" w:hAnsi="Georgia"/>
          <w:color w:val="auto"/>
          <w:sz w:val="22"/>
          <w:szCs w:val="22"/>
        </w:rPr>
      </w:pPr>
      <w:r>
        <w:rPr>
          <w:rFonts w:ascii="Georgia" w:hAnsi="Georgia"/>
          <w:color w:val="auto"/>
          <w:sz w:val="22"/>
          <w:szCs w:val="22"/>
        </w:rPr>
        <w:t xml:space="preserve">Genom att anlägga dräneringsledningar i det dränerande lagret kan dräneringsvattnet sedan avledas via självfall norrut mot myrområdet norr om planområdet i och med gynnsamma höjdförutsättningar inom området. Dräneringsvatten från begravningsplatser klassas dock som avloppsvatten enligt 9 kap miljöbalken och ska därför avledas till kommunala spillvattennätet alternativt hanteras på plats genom exempelvis markbädd. Då området lutar kraftigt åt norr, vilket i sig är gynnsamt för dräneringens självfall, kan det innebära att pumpning av spillvatten måste ske till det kommunala spillvattennätet. En lokal reningsanläggning kan därför vara fördelaktig. Vidare innebär grundvattensänkning genom dränering att tillstånd för markavvattning behöver sökas enligt 11 kap miljöbalken. </w:t>
      </w:r>
    </w:p>
    <w:p>
      <w:pPr>
        <w:spacing w:lineRule="exact" w:line="300" w:after="160" w:beforeAutospacing="0" w:afterAutospacing="0"/>
      </w:pPr>
      <w:r>
        <w:rPr>
          <w:rFonts w:ascii="Georgia" w:hAnsi="Georgia"/>
          <w:sz w:val="22"/>
          <w:szCs w:val="22"/>
        </w:rPr>
        <w:t>Slutligen rekommenderas att mätningar av grundvattennivåer utförs under ett år för att fånga upp årstidsvariationen samt kompletterande installationer av grundvattenrör i läge för planerade kistgravar då dess lägen är fastställda, för att ha underlag inför dimensionering av dräneringsåtgärder.</w:t>
      </w:r>
    </w:p>
    <w:p>
      <w:pPr>
        <w:pStyle w:val="P15"/>
      </w:pPr>
      <w:bookmarkEnd w:id="132"/>
      <w:bookmarkStart w:id="133" w:name="_Toc143176933"/>
      <w:r>
        <w:t>Hälsa och säkerhet</w:t>
      </w:r>
      <w:bookmarkEnd w:id="133"/>
    </w:p>
    <w:p>
      <w:pPr>
        <w:pStyle w:val="P14"/>
      </w:pPr>
      <w:bookmarkStart w:id="134" w:name="pf_hälsaochsäkerhet01"/>
      <w:r>
        <w:t>Att göra samhället mer hållbart kräver helhetsperspektiv vilket betyder att det är viktigt att integrera samtliga hållbarhetsdimensioner i analyser inför planering. Den sociala hållbarheten inkluderar värden som jämlikhet, trygghet, integration, demokrati, arbetstillfällen, rättvisa samt reglerande och kulturella ekosystemtjänster.</w:t>
      </w:r>
    </w:p>
    <w:p>
      <w:pPr>
        <w:pStyle w:val="P14"/>
      </w:pPr>
      <w:r>
        <w:t>All utveckling och planering måste utgå från människan med målet att skapa ett socialt hållbart samhälle. Det går inte att uppnå ett långsiktigt hållbart samhälle om inte den sociala dimensionen fungerar. En socialt hållbar stad är en stad där människor trivs, mår bra och har goda förutsättningar att utvecklas. En miljökonsekvensbeskrivning ska enligt 6 kap. 12 § miljöbalken också beskriva påverkan på befolkning och människors hälsa.</w:t>
      </w:r>
    </w:p>
    <w:p>
      <w:pPr>
        <w:pStyle w:val="P14"/>
      </w:pPr>
      <w:r>
        <w:t>Den byggda miljöns utformning, innehåll och organisation skapar de rumsliga förutsättningarna för livet i staden. Erfarenhet och forskning visar på samband mellan en stads sociala hållbarhet och dess attraktivitetsgrad för både människor och verksamheter.</w:t>
      </w:r>
    </w:p>
    <w:p>
      <w:pPr>
        <w:pStyle w:val="P14"/>
      </w:pPr>
      <w:r>
        <w:t xml:space="preserve">En attraktiv och tillåtande stadsmiljö har dessutom goda förutsättningar att vara ekonomiskt hållbar. </w:t>
      </w:r>
    </w:p>
    <w:p>
      <w:pPr>
        <w:pStyle w:val="P14"/>
      </w:pPr>
      <w:r>
        <w:t>Sveriges kommuner och regioner har tagit fram en rapport för underlag i fysisk planering ”Förebygga suicid i fysisk miljö”, och är därför en bedömningsgrund för människors hälsa. Enligt WHO kan självmord förhindras genom fysiska barriärer i omgivningen.</w:t>
      </w:r>
    </w:p>
    <w:p>
      <w:pPr>
        <w:pStyle w:val="P14"/>
      </w:pPr>
      <w:r>
        <w:t xml:space="preserve">Planförslaget innebär att en ny begravningsplats innefattande ett nytt krematorium, kapell, kolumbarium, minneslund och kyrkogård anläggs cirka en kilometer från Kiruna nya stadskärna. Detta innebär flera positiva aspekter gällande både goda transportförutsättningar för kollektivtrafik, samt gående och cyklister, men planförslaget kan också komma att medföra en liten positiv konsekvens för rekreation och friluftsliv eftersom den nya, stadsnära kyrkogården innebär en grönskande och rofylld plats som blir en tillgång i miljön. Detta skapar även bra förutsättningar för en levande stadsmiljö eftersom begravningsplatsen knyts ihop med Kiruna nya stadskärna. Denna förtätning kan även medföra en ökad trygghetskänsla, då fler personer kommer röra sig i området. Trygghetsaspekten är en viktig fråga då området i och med planförslaget blir mer tillgängligt, vilket gör att åtgärder i form av belysning och vegetation blir relevanta. Planområdet ligger något avskilt och kan väcka många tunga känslor hos besökare, vilket gör att suicidpreventionsåtgärder bör arbetas in i planförslaget för att öka trygghetskänslan i området. Bedömningen är att planförslaget och de inarbetade åtgärder som rekommenderas genomföras medför en liten positiv konsekvens för en ökad trygghetskänsla i området. </w:t>
      </w:r>
    </w:p>
    <w:p>
      <w:pPr>
        <w:pStyle w:val="P14"/>
      </w:pPr>
      <w:r>
        <w:t xml:space="preserve">Området är delvis bullerutsatt från väg E10 och närliggande avfallsanläggning. Då planförslaget innebär att vissa delar av naturområdet tas i anspråk påverkas bullersituationen ytterligare i området. På en begravningsplats eller minneslund finns behov för frid och rofylldhet, som ofta är förknippat med tystnad. Detta kan därmed påverkas negativt av buller, vilket gör att det är av stor vikt att inte överskrida riktvärden för buller. Vid bedömningen om buller beskrivs att att genomförandet av planförslaget kommer vara inom Naturvårdsverkets riktvärden för rekreationsområden (55 dBA) men i värsta fall under dagtid kan överskrida riktvärden för friluftsområden (40 dBA). </w:t>
      </w:r>
    </w:p>
    <w:p>
      <w:pPr>
        <w:pStyle w:val="P14"/>
      </w:pPr>
      <w:r>
        <w:t xml:space="preserve">En ökning av fordonstrafik på närliggande gator och vägar i samband med exploatering av planområdet bidrar till ett ökat utsläpp av partiklar samt kväveoxider, och själva krematorieprocessen riskerar att ge förhöjda haltnivåer i form av partiklar, kväveoxider, kolmonoxid samt kvicksilver. </w:t>
      </w:r>
    </w:p>
    <w:p>
      <w:pPr>
        <w:pStyle w:val="P14"/>
      </w:pPr>
      <w:r>
        <w:t xml:space="preserve">Planförslaget bedöms inte medföra några luktutsläpp från krematoriet, vilket innebär att planförslaget ifråga om buller och luktutsläpp bedöms medföra en obetydligt till liten negativ konsekvens för människors hälsa. I jämförelse med ett nollalternativ så bedöms planförslaget generera något mer buller och luftföroreningar, dock inga luktutsläpp, vilket gör att dessa faktorer bedöms ge en liten negativ konsekvens för människors hälsa. </w:t>
      </w:r>
    </w:p>
    <w:p>
      <w:pPr>
        <w:pStyle w:val="P14"/>
      </w:pPr>
      <w:r>
        <w:t>Naturmiljön kommer att förändras något genom att delar av det befintliga skogsområdet ersätts av gravplatser med tillhörande parkeringsplats och servicebyggnader. Även en ökad trygghet skapas genom planförslaget vilket medför en positiv förändring. Eftersom närheten till Kiruna nya stadskärna innebär närhet till bostäder, skola och sjukhus samt ovan nämnda konsekvenser bedöms aspekten befolkning och människors hälsa ha ett högt värde. Vid en avvägning av positiva och negativa förändringar bedöms den sammanlagda effekten bli en liten negativ effekt. Därmed bedöms planförslaget medföra en liten negativ konsekvens.</w:t>
      </w:r>
      <w:bookmarkEnd w:id="134"/>
    </w:p>
    <w:p>
      <w:pPr>
        <w:pStyle w:val="P16"/>
      </w:pPr>
      <w:bookmarkStart w:id="135" w:name="_Toc143176934"/>
      <w:r>
        <w:t>Omgivningsbuller</w:t>
      </w:r>
      <w:bookmarkEnd w:id="135"/>
    </w:p>
    <w:p>
      <w:pPr>
        <w:pStyle w:val="P14"/>
        <w:rPr>
          <w:b w:val="1"/>
          <w:bCs w:val="1"/>
        </w:rPr>
      </w:pPr>
      <w:r>
        <w:rPr>
          <w:b w:val="1"/>
          <w:bCs w:val="1"/>
        </w:rPr>
        <w:t>Internt och externt buller</w:t>
      </w:r>
    </w:p>
    <w:p>
      <w:pPr>
        <w:pStyle w:val="P14"/>
      </w:pPr>
      <w:bookmarkStart w:id="136" w:name="pf_omgivningsbuller01"/>
      <w:r>
        <w:t>En bullerutredning har genomförts av företaget Ensucon och samtliga fakta i detta stycke är hämtat från deras rapport ”Bullerutredning för detaljplan för ny begravningsplats, Kiruna kommun, 2022-04-07”.</w:t>
      </w:r>
    </w:p>
    <w:p>
      <w:pPr>
        <w:pStyle w:val="P14"/>
      </w:pPr>
    </w:p>
    <w:p>
      <w:pPr>
        <w:pStyle w:val="P14"/>
      </w:pPr>
      <w:r>
        <w:t xml:space="preserve">Bullerberäkningarna har utförts enligt nordisk beräkningsmodell för industribuller (General Prediction Method, uppdatering 2019) för industribullerkällor. För vägtrafik har bullerberäkningarna utförts enligt nordisk beräkningsmodell för buller från vägtrafik från Naturvårdsverket med flera. Beräkningarna är utförda i beräkningsprogrammet SoundPLAN 8.2, update 2022-03-16. Terrängens tredimensionella utseende samt bullerkällornas placering och drifttider och byggnaders placering har modellerats med hjälp av fastighetskartan och laserdata från Metria/Lantmäteriet. </w:t>
      </w:r>
    </w:p>
    <w:p>
      <w:pPr>
        <w:pStyle w:val="P14"/>
      </w:pPr>
      <w:r>
        <w:t xml:space="preserve">Beräkningsresultatet är en simulering av bullerutbredningen med svag till måttlig medvind mellan källa och mottagare, vilket illustrerar ett värsta fall. Standardavvikelsen för det beräknade resultatet för de aktuella källtyperna och avstånd under 500 m anges i beräkningsmetoden till ca 3 dB. </w:t>
      </w:r>
    </w:p>
    <w:p>
      <w:pPr>
        <w:pStyle w:val="P14"/>
      </w:pPr>
      <w:r>
        <w:t xml:space="preserve">Beräkningsinställningar i SoundPLAN: </w:t>
      </w:r>
    </w:p>
    <w:p>
      <w:pPr>
        <w:pStyle w:val="P14"/>
      </w:pPr>
      <w:r>
        <w:t>•</w:t>
        <w:tab/>
        <w:t>Upplösning, beräkningskarta 10 m mellan beräkningspunkter</w:t>
      </w:r>
    </w:p>
    <w:p>
      <w:pPr>
        <w:pStyle w:val="P14"/>
      </w:pPr>
      <w:r>
        <w:t>•</w:t>
        <w:tab/>
        <w:t>Sökradie: 5000 m</w:t>
      </w:r>
    </w:p>
    <w:p>
      <w:pPr>
        <w:pStyle w:val="P14"/>
      </w:pPr>
      <w:r>
        <w:t>•</w:t>
        <w:tab/>
        <w:t>Max reflektionsavstånd, mottagare: 200 m</w:t>
      </w:r>
    </w:p>
    <w:p>
      <w:pPr>
        <w:pStyle w:val="P14"/>
      </w:pPr>
      <w:r>
        <w:t>•</w:t>
        <w:tab/>
        <w:t>Max reflektionsavstånd, källa: 50 m</w:t>
      </w:r>
    </w:p>
    <w:p>
      <w:pPr>
        <w:pStyle w:val="P14"/>
      </w:pPr>
      <w:r>
        <w:t>•</w:t>
        <w:tab/>
        <w:t>Antal reflexer: 3</w:t>
      </w:r>
    </w:p>
    <w:p>
      <w:pPr>
        <w:pStyle w:val="P14"/>
      </w:pPr>
      <w:r>
        <w:t>•</w:t>
        <w:tab/>
        <w:t>Tillåten beräkningstolerans: 0,3 dB</w:t>
      </w:r>
    </w:p>
    <w:p>
      <w:pPr>
        <w:pStyle w:val="P14"/>
      </w:pPr>
      <w:r>
        <w:t>•</w:t>
        <w:tab/>
        <w:t xml:space="preserve">Mjuk mark (absorptionsfaktor 1) har ansatts för hela beräkningsområdet utom </w:t>
      </w:r>
    </w:p>
    <w:p>
      <w:pPr>
        <w:pStyle w:val="P14"/>
      </w:pPr>
      <w:r>
        <w:t>för vattenytor. Vattenytor har i modellen absorptionsfaktor 0,01</w:t>
      </w:r>
    </w:p>
    <w:p>
      <w:pPr>
        <w:pStyle w:val="P14"/>
      </w:pPr>
      <w:r>
        <w:t xml:space="preserve">Vägtrafikbuller </w:t>
      </w:r>
    </w:p>
    <w:p>
      <w:pPr>
        <w:pStyle w:val="P14"/>
      </w:pPr>
      <w:r>
        <w:t xml:space="preserve">Buller från vägtrafik kommer att domineras av trafik på väg E10. Enligt Trafikverkets mätningar var årsdygnstrafiken år 2020 1150 fordon, varav 150 tunga fordon, hastighet 80 km/h. Trafiken har omräknats 2022 års trafik, 1161 fordon varav 154 tunga fordon. </w:t>
      </w:r>
    </w:p>
    <w:p>
      <w:pPr>
        <w:pStyle w:val="P14"/>
      </w:pPr>
      <w:r>
        <w:t xml:space="preserve">De lokala vägarna runt begravningsplatsen har efter samråd med beställaren antagits vara 20 fordon per dag, 20 km/h. </w:t>
      </w:r>
    </w:p>
    <w:p>
      <w:pPr>
        <w:pStyle w:val="P14"/>
      </w:pPr>
      <w:r>
        <w:t xml:space="preserve">Industribuller från avfallsanläggningen </w:t>
      </w:r>
    </w:p>
    <w:p>
      <w:pPr>
        <w:pStyle w:val="P14"/>
      </w:pPr>
      <w:r>
        <w:t xml:space="preserve">Buller från Kiruna Krafts avfallsanläggning på Kiruna 1:163 redovisas i anläggningens prövotidsredovisning, d-nr 551-7686-15. </w:t>
      </w:r>
    </w:p>
    <w:p>
      <w:pPr>
        <w:pStyle w:val="P14"/>
      </w:pPr>
      <w:r>
        <w:t xml:space="preserve">I bullerutredningen redovisas endast en bullerutbredningskarta och inte de ingående källorna eller deras källstyrka. Vi har därför ansatt bullerkällor på anläggningens område och justerat ljudkällornas direktivet och ljudnivå för att så långt som möjligt efterlikna de bullerkällor som har använts för bullerkartan i prövotidsredovisningen. </w:t>
      </w:r>
    </w:p>
    <w:p>
      <w:pPr>
        <w:pStyle w:val="P14"/>
      </w:pPr>
      <w:r>
        <w:t xml:space="preserve">Buller från den egna verksamheten </w:t>
      </w:r>
    </w:p>
    <w:p>
      <w:pPr>
        <w:pStyle w:val="P14"/>
      </w:pPr>
      <w:r>
        <w:t xml:space="preserve">Buller från den egna verksamheten kommer att utgöras av maskinbuller för jordtransporter. Vi har i samråd med beställaren ansatt att en hjullastare går under 30 % av en hel dag på ytan kring jordförvaringen. För övriga ytor har vi gjort antagandet att buller från hjullastaren fördelas jämnt över respektive yta och att drifttiden är 10 % per dag. Ljudeffekt för hjullastaren har vi tagit från våra egna mätningar på liknande maskiner, ljudeffektnivå 102 dBA. </w:t>
      </w:r>
    </w:p>
    <w:p>
      <w:pPr>
        <w:pStyle w:val="P14"/>
      </w:pPr>
      <w:r>
        <w:t xml:space="preserve">På taket till kapellbyggnaden (krematoriet) har vi ansatt en ventilationsfläkt med ljudeffektnivå 70 dBA. </w:t>
      </w:r>
    </w:p>
    <w:p>
      <w:pPr>
        <w:pStyle w:val="P14"/>
        <w:rPr>
          <w:b w:val="1"/>
          <w:bCs w:val="1"/>
        </w:rPr>
      </w:pPr>
      <w:r>
        <w:rPr>
          <w:b w:val="1"/>
          <w:bCs w:val="1"/>
        </w:rPr>
        <w:t>Resultat</w:t>
      </w:r>
    </w:p>
    <w:p>
      <w:pPr>
        <w:pStyle w:val="P14"/>
      </w:pPr>
      <w:r>
        <w:t xml:space="preserve">Den sammanlagda bullernivån under dagtid på grund av vägtrafikbuller, buller från avfallsanläggningen och buller från den egna verksamheten beräknas kunna uppgå till ekvivalentnivå mellan ca 45 – 55 dBA. 2022-04-07 </w:t>
      </w:r>
    </w:p>
    <w:p>
      <w:pPr>
        <w:pStyle w:val="P14"/>
      </w:pPr>
      <w:r>
        <w:t xml:space="preserve">Under de tider då medvind inte råder från avfallsanläggningen till begravningsplatsen blir ljudnivån lägre. Samma sak gäller då medvind inte råder mellan väg E10 och begravningsplatsen. </w:t>
      </w:r>
    </w:p>
    <w:p>
      <w:pPr>
        <w:pStyle w:val="P14"/>
      </w:pPr>
      <w:r>
        <w:rPr>
          <w:noProof w:val="1"/>
        </w:rPr>
        <w:drawing>
          <wp:anchor xmlns:wp="http://schemas.openxmlformats.org/drawingml/2006/wordprocessingDrawing" distT="0" distB="0" distL="114300" distR="114300" simplePos="0" relativeHeight="26" behindDoc="0" locked="0" layoutInCell="1" allowOverlap="1">
            <wp:simplePos x="0" y="0"/>
            <wp:positionH relativeFrom="margin">
              <wp:align>left</wp:align>
            </wp:positionH>
            <wp:positionV relativeFrom="paragraph">
              <wp:posOffset>482600</wp:posOffset>
            </wp:positionV>
            <wp:extent cx="4862195" cy="4166870"/>
            <wp:effectExtent l="19050" t="19050" r="14605" b="24130"/>
            <wp:wrapTopAndBottom/>
            <wp:docPr id="71" name="Bildobjekt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0"/>
                    <pic:cNvPicPr/>
                  </pic:nvPicPr>
                  <pic:blipFill dpi="0">
                    <a:blip xmlns:r="http://schemas.openxmlformats.org/officeDocument/2006/relationships" r:embed="Relimage21"/>
                    <a:srcRect/>
                    <a:stretch>
                      <a:fillRect/>
                    </a:stretch>
                  </pic:blipFill>
                  <pic:spPr>
                    <a:xfrm>
                      <a:off x="0" y="0"/>
                      <a:ext cx="4862684" cy="4166870"/>
                    </a:xfrm>
                    <a:prstGeom prst="rect"/>
                    <a:ln>
                      <a:solidFill>
                        <a:schemeClr val="tx1"/>
                      </a:solidFill>
                    </a:ln>
                  </pic:spPr>
                </pic:pic>
              </a:graphicData>
            </a:graphic>
          </wp:anchor>
        </w:drawing>
      </w:r>
      <w:r>
        <w:t>På kvällar och helger är det troligt att bullernivån blir lägre då både industribullret och vägbullret sannolikt minskar i nivå.</w:t>
      </w:r>
    </w:p>
    <w:p>
      <w:pPr>
        <w:pStyle w:val="P14"/>
      </w:pPr>
      <w:r>
        <w:rPr>
          <w:noProof w:val="1"/>
        </w:rPr>
        <mc:AlternateContent>
          <mc:Choice Requires="wps">
            <w:drawing>
              <wp:anchor xmlns:wp="http://schemas.openxmlformats.org/drawingml/2006/wordprocessingDrawing" distT="0" distB="0" distL="114300" distR="114300" simplePos="0" relativeHeight="27" behindDoc="0" locked="0" layoutInCell="1" allowOverlap="1">
                <wp:simplePos x="0" y="0"/>
                <wp:positionH relativeFrom="page">
                  <wp:posOffset>720090</wp:posOffset>
                </wp:positionH>
                <wp:positionV relativeFrom="paragraph">
                  <wp:posOffset>4191000</wp:posOffset>
                </wp:positionV>
                <wp:extent cx="5972175" cy="259080"/>
                <wp:effectExtent l="0" t="0" r="0" b="0"/>
                <wp:wrapNone/>
                <wp:docPr id="73" name="Textruta 2"/>
                <wp:cNvGraphicFramePr/>
                <a:graphic xmlns:a="http://schemas.openxmlformats.org/drawingml/2006/main">
                  <a:graphicData uri="http://schemas.microsoft.com/office/word/2010/wordprocessingShape">
                    <wps:wsp>
                      <wps:cNvSpPr txBox="1">
                        <a:spLocks noChangeArrowheads="1"/>
                      </wps:cNvSpPr>
                      <wps:spPr bwMode="auto">
                        <a:xfrm>
                          <a:off x="0" y="0"/>
                          <a:ext cx="5972175" cy="259674"/>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Georgia" w:hAnsi="Georgia"/>
                                <w:i w:val="1"/>
                                <w:iCs w:val="1"/>
                                <w:sz w:val="22"/>
                                <w:szCs w:val="22"/>
                              </w:rPr>
                            </w:pPr>
                            <w:r>
                              <w:rPr>
                                <w:rFonts w:ascii="Georgia" w:hAnsi="Georgia"/>
                                <w:i w:val="1"/>
                                <w:iCs w:val="1"/>
                                <w:sz w:val="22"/>
                                <w:szCs w:val="22"/>
                              </w:rPr>
                              <w:t>Figur 16, Samlad bullerutbredningskarta som redovisar den ekvivalenta ljudnivån från vägtrafik, avfallsanläggning samt den egna verksamhet två meter ovan mark. Källa; Ensucon</w:t>
                            </w:r>
                          </w:p>
                        </w:txbxContent>
                      </wps:txbx>
                      <wps:bodyPr rot="0" vert="horz" wrap="square" lIns="91440" tIns="45720" rIns="91440" bIns="45720" anchor="t" anchorCtr="0">
                        <a:spAutoFit/>
                      </wps:bodyPr>
                    </wps:wsp>
                  </a:graphicData>
                </a:graphic>
              </wp:anchor>
            </w:drawing>
          </mc:Choice>
          <mc:Fallback>
            <w:pict>
              <v:shape xmlns:o="urn:schemas-microsoft-com:office:office" type="#_x0000_t202" id="Textruta 2" o:spid="_x0000_s1046" style="position:absolute;width:470.25pt;height:20.4pt;z-index:27;mso-wrap-distance-left:9pt;mso-wrap-distance-top:0pt;mso-wrap-distance-right:9pt;mso-wrap-distance-bottom:0pt;margin-left:56.7pt;margin-top:330pt;mso-position-horizontal:absolute;mso-position-horizontal-relative:page;mso-position-vertical:absolute;mso-position-vertical-relative:text" o:allowincell="t" filled="f" strokeweight="0.75pt" stroked="f">
                <v:textbox style="mso-fit-shape-to-text:t" inset="3mm,1mm,3mm,1mm">
                  <w:txbxContent>
                    <w:p>
                      <w:pPr>
                        <w:rPr>
                          <w:rFonts w:ascii="Georgia" w:hAnsi="Georgia"/>
                          <w:i w:val="1"/>
                          <w:iCs w:val="1"/>
                          <w:sz w:val="22"/>
                          <w:szCs w:val="22"/>
                        </w:rPr>
                      </w:pPr>
                      <w:r>
                        <w:rPr>
                          <w:rFonts w:ascii="Georgia" w:hAnsi="Georgia"/>
                          <w:i w:val="1"/>
                          <w:iCs w:val="1"/>
                          <w:sz w:val="22"/>
                          <w:szCs w:val="22"/>
                        </w:rPr>
                        <w:t>Figur 16, Samlad bullerutbredningskarta som redovisar den ekvivalenta ljudnivån från vägtrafik, avfallsanläggning samt den egna verksamhet två meter ovan mark. Källa; Ensucon</w:t>
                      </w:r>
                    </w:p>
                  </w:txbxContent>
                </v:textbox>
              </v:shape>
            </w:pict>
          </mc:Fallback>
        </mc:AlternateContent>
      </w:r>
    </w:p>
    <w:p>
      <w:pPr>
        <w:pStyle w:val="P14"/>
      </w:pPr>
    </w:p>
    <w:p>
      <w:pPr>
        <w:pStyle w:val="P14"/>
      </w:pPr>
    </w:p>
    <w:p>
      <w:pPr>
        <w:pStyle w:val="P14"/>
      </w:pPr>
      <w:r>
        <w:t>En fördjupad utredning med avseende på trafik- och snöskoterbuller har tagits fram inför granskningsskedet.</w:t>
      </w:r>
    </w:p>
    <w:p>
      <w:pPr>
        <w:pStyle w:val="P14"/>
      </w:pPr>
      <w:r>
        <w:t>Ljudnivåer från vägtrafik inklusive snöskotertrafik har här beräknats. För bullerberäkningarna antas 200 snöskotrar trafikera lederna per dag – som sannolikt är högt räknat.</w:t>
      </w:r>
    </w:p>
    <w:p>
      <w:pPr>
        <w:pStyle w:val="P14"/>
        <w:rPr>
          <w:b w:val="1"/>
          <w:bCs w:val="1"/>
        </w:rPr>
      </w:pPr>
      <w:r>
        <w:rPr>
          <w:b w:val="1"/>
          <w:bCs w:val="1"/>
        </w:rPr>
        <w:t xml:space="preserve">Riktvärden vid begravningsplats </w:t>
      </w:r>
    </w:p>
    <w:p>
      <w:pPr>
        <w:pStyle w:val="P14"/>
      </w:pPr>
      <w:r>
        <w:t>Det finns inga särskilda bullerriktvärden framtagna för begravningsplatser. Däremot finns riktlinjer för parker och friluftsområdet. Enligt Naturvårdsverket bör man i parker och tätortsnära rekreationsområden eftersträva ekvivalent ljudnivå om högst 45 - 50 dBA, för åtminstone delar av området. Trafikverket anger att riktvärdet för parker och andra rekreationsytor i tätorter bör vara 45 - 55 dBA i ekvivalent ljudnivå.</w:t>
      </w:r>
    </w:p>
    <w:p>
      <w:pPr>
        <w:pStyle w:val="P14"/>
      </w:pPr>
      <w:r>
        <w:t xml:space="preserve">Här räknas med: </w:t>
      </w:r>
    </w:p>
    <w:p>
      <w:pPr>
        <w:pStyle w:val="P14"/>
        <w:numPr>
          <w:ilvl w:val="0"/>
          <w:numId w:val="38"/>
        </w:numPr>
      </w:pPr>
      <w:r>
        <w:rPr>
          <w:noProof w:val="1"/>
        </w:rPr>
        <w:drawing>
          <wp:anchor xmlns:wp="http://schemas.openxmlformats.org/drawingml/2006/wordprocessingDrawing" distT="0" distB="0" distL="114300" distR="114300" simplePos="0" relativeHeight="28" behindDoc="0" locked="0" layoutInCell="1" allowOverlap="1">
            <wp:simplePos x="0" y="0"/>
            <wp:positionH relativeFrom="column">
              <wp:posOffset>480060</wp:posOffset>
            </wp:positionH>
            <wp:positionV relativeFrom="paragraph">
              <wp:posOffset>342900</wp:posOffset>
            </wp:positionV>
            <wp:extent cx="3343275" cy="1933575"/>
            <wp:effectExtent l="0" t="0" r="9525" b="9525"/>
            <wp:wrapTopAndBottom/>
            <wp:docPr id="89" name="Bildobjekt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pic:cNvPicPr/>
                  </pic:nvPicPr>
                  <pic:blipFill dpi="0">
                    <a:blip xmlns:r="http://schemas.openxmlformats.org/officeDocument/2006/relationships" r:embed="Relimage22"/>
                    <a:srcRect/>
                    <a:stretch>
                      <a:fillRect/>
                    </a:stretch>
                  </pic:blipFill>
                  <pic:spPr>
                    <a:xfrm>
                      <a:off x="0" y="0"/>
                      <a:ext cx="3343742" cy="1933846"/>
                    </a:xfrm>
                    <a:prstGeom prst="rect"/>
                  </pic:spPr>
                </pic:pic>
              </a:graphicData>
            </a:graphic>
          </wp:anchor>
        </w:drawing>
      </w:r>
      <w:r>
        <w:t xml:space="preserve">En bullervall längs E10:an, med höjden 3,5 m (markerad i grönt i figuren nedan) </w:t>
      </w:r>
    </w:p>
    <w:p>
      <w:pPr>
        <w:pStyle w:val="P14"/>
        <w:numPr>
          <w:ilvl w:val="0"/>
          <w:numId w:val="38"/>
        </w:numPr>
      </w:pPr>
      <w:r>
        <w:t xml:space="preserve">Beräkningshöjd + 1,8 m, för bullerutbredningskartorna </w:t>
      </w:r>
    </w:p>
    <w:p>
      <w:pPr>
        <w:pStyle w:val="P14"/>
        <w:numPr>
          <w:ilvl w:val="1"/>
          <w:numId w:val="37"/>
        </w:numPr>
      </w:pPr>
      <w:r>
        <w:t xml:space="preserve">För trafikslagen: </w:t>
      </w:r>
    </w:p>
    <w:p>
      <w:pPr>
        <w:pStyle w:val="P14"/>
        <w:numPr>
          <w:ilvl w:val="0"/>
          <w:numId w:val="38"/>
        </w:numPr>
      </w:pPr>
      <w:r>
        <w:t xml:space="preserve">Vägtrafik </w:t>
      </w:r>
    </w:p>
    <w:p>
      <w:pPr>
        <w:pStyle w:val="P14"/>
        <w:numPr>
          <w:ilvl w:val="0"/>
          <w:numId w:val="38"/>
        </w:numPr>
      </w:pPr>
      <w:r>
        <w:t xml:space="preserve">Vägtrafik och befintlig skoterled </w:t>
      </w:r>
    </w:p>
    <w:p>
      <w:pPr>
        <w:pStyle w:val="P14"/>
        <w:numPr>
          <w:ilvl w:val="0"/>
          <w:numId w:val="38"/>
        </w:numPr>
      </w:pPr>
      <w:r>
        <w:t xml:space="preserve">Vägtrafik och befintlig + nya skoterleder </w:t>
      </w:r>
    </w:p>
    <w:p>
      <w:pPr>
        <w:pStyle w:val="P14"/>
        <w:numPr>
          <w:ilvl w:val="0"/>
          <w:numId w:val="38"/>
        </w:numPr>
      </w:pPr>
      <w:r>
        <w:t xml:space="preserve">Vägtrafik och ny skoterled </w:t>
      </w:r>
    </w:p>
    <w:p>
      <w:pPr>
        <w:pStyle w:val="P14"/>
        <w:rPr>
          <w:b w:val="1"/>
          <w:bCs w:val="1"/>
        </w:rPr>
      </w:pPr>
      <w:r>
        <w:rPr>
          <w:b w:val="1"/>
          <w:bCs w:val="1"/>
        </w:rPr>
        <w:t xml:space="preserve">Vägtrafik </w:t>
      </w:r>
    </w:p>
    <w:p>
      <w:pPr>
        <w:pStyle w:val="P14"/>
      </w:pPr>
      <w:r>
        <w:t xml:space="preserve">De ekvivalenta ljudnivåerna är som högst 50 dBA inom i stort sett hela planområdet (gröna ytor) – med endast vägtrafik. Inom större delen av begravningsplatsen är ljudnivåerna som högst 45 dBA och längst i norr är de ekvivalenta som högst 40 dBA. </w:t>
      </w:r>
    </w:p>
    <w:p>
      <w:pPr>
        <w:pStyle w:val="P14"/>
        <w:rPr>
          <w:b w:val="1"/>
          <w:bCs w:val="1"/>
        </w:rPr>
      </w:pPr>
      <w:r>
        <w:rPr>
          <w:b w:val="1"/>
          <w:bCs w:val="1"/>
        </w:rPr>
        <w:t xml:space="preserve">Buller från snöskotertrafik </w:t>
      </w:r>
    </w:p>
    <w:p>
      <w:pPr>
        <w:pStyle w:val="P14"/>
      </w:pPr>
      <w:r>
        <w:t xml:space="preserve">Väster och söder om den nya begravningsplatsen finns redan idag en snöskoterled. Nya snö-skoterleder planeras även öster om begravningsplatsen. För att få en bild av hur detta påverkar ljudnivåerna har bullerberäkningar genomförts även med snöskotertrafik. </w:t>
      </w:r>
    </w:p>
    <w:p>
      <w:pPr>
        <w:pStyle w:val="P14"/>
      </w:pPr>
    </w:p>
    <w:p>
      <w:pPr>
        <w:pStyle w:val="P14"/>
      </w:pPr>
    </w:p>
    <w:p>
      <w:pPr>
        <w:pStyle w:val="P14"/>
      </w:pPr>
    </w:p>
    <w:p>
      <w:pPr>
        <w:pStyle w:val="P14"/>
        <w:rPr>
          <w:i w:val="1"/>
          <w:iCs w:val="1"/>
        </w:rPr>
      </w:pPr>
      <w:r>
        <w:rPr>
          <w:i w:val="1"/>
          <w:iCs w:val="1"/>
          <w:noProof w:val="1"/>
        </w:rPr>
        <w:drawing>
          <wp:anchor xmlns:wp="http://schemas.openxmlformats.org/drawingml/2006/wordprocessingDrawing" distT="0" distB="0" distL="114300" distR="114300" simplePos="0" relativeHeight="29" behindDoc="0" locked="0" layoutInCell="1" allowOverlap="1">
            <wp:simplePos x="0" y="0"/>
            <wp:positionH relativeFrom="column">
              <wp:posOffset>3810</wp:posOffset>
            </wp:positionH>
            <wp:positionV relativeFrom="paragraph">
              <wp:posOffset>0</wp:posOffset>
            </wp:positionV>
            <wp:extent cx="5858510" cy="3724275"/>
            <wp:effectExtent l="0" t="0" r="8890" b="9525"/>
            <wp:wrapTopAndBottom/>
            <wp:docPr id="90" name="Bildobjekt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2"/>
                    <pic:cNvPicPr/>
                  </pic:nvPicPr>
                  <pic:blipFill dpi="0">
                    <a:blip xmlns:r="http://schemas.openxmlformats.org/officeDocument/2006/relationships" r:embed="Relimage23"/>
                    <a:srcRect/>
                    <a:stretch>
                      <a:fillRect/>
                    </a:stretch>
                  </pic:blipFill>
                  <pic:spPr>
                    <a:xfrm>
                      <a:off x="0" y="0"/>
                      <a:ext cx="5858693" cy="3724795"/>
                    </a:xfrm>
                    <a:prstGeom prst="rect"/>
                  </pic:spPr>
                </pic:pic>
              </a:graphicData>
            </a:graphic>
          </wp:anchor>
        </w:drawing>
      </w:r>
      <w:r>
        <w:rPr>
          <w:i w:val="1"/>
          <w:iCs w:val="1"/>
        </w:rPr>
        <w:t>Figur 17, Kiruna nya begravningsplats – med befintlig och planerade snöskoterleder (orangemarkerade) Källa: Trivector</w:t>
      </w:r>
    </w:p>
    <w:p>
      <w:pPr>
        <w:pStyle w:val="P14"/>
        <w:rPr>
          <w:b w:val="1"/>
          <w:bCs w:val="1"/>
        </w:rPr>
      </w:pPr>
      <w:r>
        <w:rPr>
          <w:b w:val="1"/>
          <w:bCs w:val="1"/>
        </w:rPr>
        <w:t xml:space="preserve">Ljudutbredningen från snöskoter </w:t>
      </w:r>
    </w:p>
    <w:p>
      <w:pPr>
        <w:pStyle w:val="P14"/>
      </w:pPr>
      <w:r>
        <w:t xml:space="preserve">Snöskoter finns inte som fordon i bullerberäkningsmodellen som används för trafikbuller. Därför har en uppskattning gjorts av hur mycket ljudet från skotrarna breder ut sig utifrån en tidigare utredning där snöskoterbullret är framräknat som industribuller,2 för att kunna få en uppskattning av det totala bullret från väg- och snöskotertrafik. </w:t>
      </w:r>
    </w:p>
    <w:p>
      <w:pPr>
        <w:pStyle w:val="P14"/>
      </w:pPr>
      <w:r>
        <w:rPr>
          <w:b w:val="1"/>
          <w:bCs w:val="1"/>
        </w:rPr>
        <w:t>Riktvärden för snöskoter</w:t>
      </w:r>
      <w:r>
        <w:t xml:space="preserve"> </w:t>
      </w:r>
    </w:p>
    <w:p>
      <w:pPr>
        <w:pStyle w:val="P14"/>
      </w:pPr>
      <w:r>
        <w:t xml:space="preserve">Det finns inga riktvärden för snöskoter. Däremot skriver Nationella skönhetsrådet 2011 i ”Planera för snöskoter” att buller från snöskoter bör jämställas med trafikbuller. </w:t>
      </w:r>
    </w:p>
    <w:p>
      <w:pPr>
        <w:pStyle w:val="P14"/>
        <w:rPr>
          <w:b w:val="1"/>
          <w:bCs w:val="1"/>
        </w:rPr>
      </w:pPr>
      <w:r>
        <w:rPr>
          <w:b w:val="1"/>
          <w:bCs w:val="1"/>
        </w:rPr>
        <w:t xml:space="preserve">Väg och skotertrafik </w:t>
      </w:r>
    </w:p>
    <w:p>
      <w:pPr>
        <w:pStyle w:val="P14"/>
      </w:pPr>
      <w:r>
        <w:t>Med snöskotertrafik ökar de ekvivalenta ljudnivåerna allra närmast snöskoterlederna. Den största skillnaden är vid den befintliga snöskoterleden som främst påverkar ljudnivåerna i den nordvästra delen av området. Här är ljudnivåerna närmast skoterleden 46 - 50 dBA jämfört med som högst 40 - 45 dBA utan skotertrafik. De nya snöskoterlederna påverkar ljudnivåerna något längst i öster.</w:t>
      </w:r>
    </w:p>
    <w:p>
      <w:pPr>
        <w:pStyle w:val="P14"/>
        <w:rPr>
          <w:b w:val="1"/>
          <w:bCs w:val="1"/>
        </w:rPr>
      </w:pPr>
      <w:r>
        <w:rPr>
          <w:b w:val="1"/>
          <w:bCs w:val="1"/>
        </w:rPr>
        <w:t xml:space="preserve">Ljudutbredning i området – med väg- och snöskotertrafik </w:t>
      </w:r>
    </w:p>
    <w:p>
      <w:pPr>
        <w:pStyle w:val="P14"/>
      </w:pPr>
      <w:r>
        <w:t xml:space="preserve">I figur 18 och 19 visas ljudutbredningen för ekvivalent ljudnivå och i figur 20 och 21 visas utbredningen för maximal ljudnivå. </w:t>
      </w:r>
    </w:p>
    <w:p>
      <w:pPr>
        <w:pStyle w:val="P14"/>
      </w:pPr>
    </w:p>
    <w:p>
      <w:pPr>
        <w:pStyle w:val="P14"/>
        <w:numPr>
          <w:ilvl w:val="1"/>
          <w:numId w:val="37"/>
        </w:numPr>
      </w:pPr>
      <w:r>
        <w:t xml:space="preserve">De maximala ljudnivåerna är lägre än 60 dBA i så gott som hela planområdet. Med snöskoterlederna ökar de maximala ljudnivåerna allra närmast lederna – men den allra största delen av begravningsplatsen har fortfarande lägre än 60 dBA i maximal ljudnivå. </w:t>
      </w:r>
    </w:p>
    <w:p>
      <w:pPr>
        <w:rPr>
          <w:rFonts w:ascii="Georgia" w:hAnsi="Georgia"/>
          <w:sz w:val="22"/>
          <w:szCs w:val="20"/>
        </w:rPr>
      </w:pPr>
      <w:r>
        <w:rPr>
          <w:noProof w:val="1"/>
        </w:rPr>
        <w:drawing>
          <wp:anchor xmlns:wp="http://schemas.openxmlformats.org/drawingml/2006/wordprocessingDrawing" distT="0" distB="0" distL="114300" distR="114300" simplePos="0" relativeHeight="30" behindDoc="0" locked="0" layoutInCell="1" allowOverlap="1">
            <wp:simplePos x="0" y="0"/>
            <wp:positionH relativeFrom="column">
              <wp:posOffset>3810</wp:posOffset>
            </wp:positionH>
            <wp:positionV relativeFrom="paragraph">
              <wp:posOffset>-635</wp:posOffset>
            </wp:positionV>
            <wp:extent cx="6116320" cy="6769735"/>
            <wp:effectExtent l="0" t="0" r="0" b="0"/>
            <wp:wrapTopAndBottom/>
            <wp:docPr id="205" name="Bildobjekt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3"/>
                    <pic:cNvPicPr/>
                  </pic:nvPicPr>
                  <pic:blipFill dpi="0">
                    <a:blip xmlns:r="http://schemas.openxmlformats.org/officeDocument/2006/relationships" r:embed="Relimage24"/>
                    <a:srcRect/>
                    <a:stretch>
                      <a:fillRect/>
                    </a:stretch>
                  </pic:blipFill>
                  <pic:spPr>
                    <a:xfrm>
                      <a:off x="0" y="0"/>
                      <a:ext cx="6116320" cy="6769735"/>
                    </a:xfrm>
                    <a:prstGeom prst="rect"/>
                  </pic:spPr>
                </pic:pic>
              </a:graphicData>
            </a:graphic>
          </wp:anchor>
        </w:drawing>
      </w:r>
      <w:r>
        <w:br w:type="page"/>
      </w:r>
    </w:p>
    <w:p>
      <w:pPr>
        <w:pStyle w:val="P14"/>
      </w:pPr>
      <w:r>
        <w:rPr>
          <w:noProof w:val="1"/>
        </w:rPr>
        <w:drawing>
          <wp:anchor xmlns:wp="http://schemas.openxmlformats.org/drawingml/2006/wordprocessingDrawing" distT="0" distB="0" distL="114300" distR="114300" simplePos="0" relativeHeight="31" behindDoc="0" locked="0" layoutInCell="1" allowOverlap="1">
            <wp:simplePos x="0" y="0"/>
            <wp:positionH relativeFrom="column">
              <wp:posOffset>3810</wp:posOffset>
            </wp:positionH>
            <wp:positionV relativeFrom="paragraph">
              <wp:posOffset>0</wp:posOffset>
            </wp:positionV>
            <wp:extent cx="6116320" cy="6813550"/>
            <wp:effectExtent l="0" t="0" r="0" b="6350"/>
            <wp:wrapTopAndBottom/>
            <wp:docPr id="206" name="Bildobjekt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4"/>
                    <pic:cNvPicPr/>
                  </pic:nvPicPr>
                  <pic:blipFill dpi="0">
                    <a:blip xmlns:r="http://schemas.openxmlformats.org/officeDocument/2006/relationships" r:embed="Relimage25"/>
                    <a:srcRect/>
                    <a:stretch>
                      <a:fillRect/>
                    </a:stretch>
                  </pic:blipFill>
                  <pic:spPr>
                    <a:xfrm>
                      <a:off x="0" y="0"/>
                      <a:ext cx="6116320" cy="6813550"/>
                    </a:xfrm>
                    <a:prstGeom prst="rect"/>
                  </pic:spPr>
                </pic:pic>
              </a:graphicData>
            </a:graphic>
          </wp:anchor>
        </w:drawing>
      </w:r>
    </w:p>
    <w:p>
      <w:pPr>
        <w:pStyle w:val="P14"/>
        <w:rPr>
          <w:b w:val="1"/>
          <w:bCs w:val="1"/>
        </w:rPr>
      </w:pPr>
      <w:r>
        <w:rPr>
          <w:b w:val="1"/>
          <w:bCs w:val="1"/>
        </w:rPr>
        <w:t xml:space="preserve">Ljudnivåer vid fasader – med väg- och snöskotertrafik </w:t>
      </w:r>
    </w:p>
    <w:p>
      <w:pPr>
        <w:pStyle w:val="P14"/>
      </w:pPr>
      <w:r>
        <w:t xml:space="preserve">I figurerna i detta avsnitt visas de ekvivalenta respektive maximala ljudnivåerna vid fasa-derna inom området – vid de större byggnaderna närmast E10 - sett från två håll för att ljudnivåerna vid alla fasader ska synas. </w:t>
      </w:r>
    </w:p>
    <w:p>
      <w:pPr>
        <w:pStyle w:val="P14"/>
      </w:pPr>
      <w:r>
        <w:t xml:space="preserve">Till skillnad från ljudnivåerna som visas i bullerutbredningskartorna, som visar ljudnivåer inklusive egenreflexer vid fasaderna ut mot vägen, är ljudnivåerna här frifältsvärden, d v s utan egenreflexer, och kan jämföras direkt med riktvärden om sådana finns. </w:t>
      </w:r>
    </w:p>
    <w:p>
      <w:pPr>
        <w:pStyle w:val="P14"/>
      </w:pPr>
      <w:r>
        <w:t xml:space="preserve">Skillnad i ljudnivåer med respektive utan snöskotertrafik. </w:t>
      </w:r>
    </w:p>
    <w:p>
      <w:pPr>
        <w:pStyle w:val="P14"/>
      </w:pPr>
      <w:r>
        <w:rPr>
          <w:b w:val="1"/>
          <w:bCs w:val="1"/>
          <w:noProof w:val="1"/>
        </w:rPr>
        <w:drawing>
          <wp:anchor xmlns:wp="http://schemas.openxmlformats.org/drawingml/2006/wordprocessingDrawing" distT="0" distB="0" distL="114300" distR="114300" simplePos="0" relativeHeight="32" behindDoc="0" locked="0" layoutInCell="1" allowOverlap="1">
            <wp:simplePos x="0" y="0"/>
            <wp:positionH relativeFrom="column">
              <wp:posOffset>89535</wp:posOffset>
            </wp:positionH>
            <wp:positionV relativeFrom="paragraph">
              <wp:posOffset>4263390</wp:posOffset>
            </wp:positionV>
            <wp:extent cx="4089400" cy="4324985"/>
            <wp:effectExtent l="0" t="0" r="6350" b="0"/>
            <wp:wrapTopAndBottom/>
            <wp:docPr id="213" name="Bildobjekt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5"/>
                    <pic:cNvPicPr/>
                  </pic:nvPicPr>
                  <pic:blipFill dpi="0">
                    <a:blip xmlns:r="http://schemas.openxmlformats.org/officeDocument/2006/relationships" r:embed="Relimage26"/>
                    <a:srcRect/>
                    <a:stretch>
                      <a:fillRect/>
                    </a:stretch>
                  </pic:blipFill>
                  <pic:spPr>
                    <a:xfrm>
                      <a:off x="0" y="0"/>
                      <a:ext cx="4089400" cy="4324985"/>
                    </a:xfrm>
                    <a:prstGeom prst="rect"/>
                  </pic:spPr>
                </pic:pic>
              </a:graphicData>
            </a:graphic>
          </wp:anchor>
        </w:drawing>
      </w:r>
      <w:r>
        <w:rPr>
          <w:noProof w:val="1"/>
        </w:rPr>
        <w:drawing>
          <wp:anchor xmlns:wp="http://schemas.openxmlformats.org/drawingml/2006/wordprocessingDrawing" distT="0" distB="0" distL="114300" distR="114300" simplePos="0" relativeHeight="33" behindDoc="0" locked="0" layoutInCell="1" allowOverlap="1">
            <wp:simplePos x="0" y="0"/>
            <wp:positionH relativeFrom="margin">
              <wp:align>left</wp:align>
            </wp:positionH>
            <wp:positionV relativeFrom="paragraph">
              <wp:posOffset>415925</wp:posOffset>
            </wp:positionV>
            <wp:extent cx="4324350" cy="3897630"/>
            <wp:effectExtent l="0" t="0" r="0" b="7620"/>
            <wp:wrapTopAndBottom/>
            <wp:docPr id="210" name="Bildobjekt 210"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Bildobjekt 210" descr="En bild som visar text&#10;&#10;Automatiskt genererad beskrivning"/>
                    <pic:cNvPicPr/>
                  </pic:nvPicPr>
                  <pic:blipFill dpi="0">
                    <a:blip xmlns:r="http://schemas.openxmlformats.org/officeDocument/2006/relationships" r:embed="Relimage27"/>
                    <a:srcRect/>
                    <a:stretch>
                      <a:fillRect/>
                    </a:stretch>
                  </pic:blipFill>
                  <pic:spPr>
                    <a:xfrm>
                      <a:off x="0" y="0"/>
                      <a:ext cx="4337327" cy="3909443"/>
                    </a:xfrm>
                    <a:prstGeom prst="rect"/>
                  </pic:spPr>
                </pic:pic>
              </a:graphicData>
            </a:graphic>
          </wp:anchor>
        </w:drawing>
      </w:r>
      <w:r>
        <w:t xml:space="preserve">Ljudnivåerna ökar något med snöskotertrafik vid delar av några fasader. Se inringade ytor där ljudnivåerna ökat till ett högre ljudnivåintervall. </w:t>
      </w:r>
    </w:p>
    <w:p>
      <w:pPr>
        <w:pStyle w:val="P14"/>
        <w:rPr>
          <w:b w:val="1"/>
          <w:bCs w:val="1"/>
        </w:rPr>
      </w:pPr>
      <w:r>
        <w:rPr>
          <w:b w:val="1"/>
          <w:bCs w:val="1"/>
        </w:rPr>
        <w:t xml:space="preserve">Riktvärden </w:t>
      </w:r>
    </w:p>
    <w:p>
      <w:pPr>
        <w:pStyle w:val="P14"/>
      </w:pPr>
      <w:r>
        <w:rPr>
          <w:noProof w:val="1"/>
        </w:rPr>
        <w:drawing>
          <wp:anchor xmlns:wp="http://schemas.openxmlformats.org/drawingml/2006/wordprocessingDrawing" distT="0" distB="0" distL="114300" distR="114300" simplePos="0" relativeHeight="34" behindDoc="0" locked="0" layoutInCell="1" allowOverlap="1">
            <wp:simplePos x="0" y="0"/>
            <wp:positionH relativeFrom="margin">
              <wp:align>center</wp:align>
            </wp:positionH>
            <wp:positionV relativeFrom="paragraph">
              <wp:posOffset>437515</wp:posOffset>
            </wp:positionV>
            <wp:extent cx="6000750" cy="2266950"/>
            <wp:effectExtent l="0" t="0" r="0" b="0"/>
            <wp:wrapTopAndBottom/>
            <wp:docPr id="87" name="Bildobjekt 87"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Bildobjekt 87" descr="En bild som visar bord&#10;&#10;Automatiskt genererad beskrivning"/>
                    <pic:cNvPicPr/>
                  </pic:nvPicPr>
                  <pic:blipFill dpi="0">
                    <a:blip xmlns:r="http://schemas.openxmlformats.org/officeDocument/2006/relationships" r:embed="Relimage28"/>
                    <a:srcRect t="2057"/>
                    <a:stretch>
                      <a:fillRect/>
                    </a:stretch>
                  </pic:blipFill>
                  <pic:spPr bwMode="auto">
                    <a:xfrm>
                      <a:off x="0" y="0"/>
                      <a:ext cx="6000750" cy="2266950"/>
                    </a:xfrm>
                    <a:prstGeom prst="rect"/>
                    <a:ln>
                      <a:noFill/>
                    </a:ln>
                  </pic:spPr>
                </pic:pic>
              </a:graphicData>
            </a:graphic>
          </wp:anchor>
        </w:drawing>
      </w:r>
      <w:r>
        <w:t>Eftersom detta är arbetsplatser finns ej riktvärden utomhus vid fasad. För kontor finns riktvärden inomhus.</w:t>
      </w:r>
    </w:p>
    <w:p>
      <w:pPr>
        <w:pStyle w:val="P14"/>
        <w:rPr>
          <w:i w:val="1"/>
          <w:iCs w:val="1"/>
        </w:rPr>
      </w:pPr>
      <w:r>
        <w:rPr>
          <w:i w:val="1"/>
          <w:iCs w:val="1"/>
        </w:rPr>
        <w:t>Figur 26, Dimensionerande ljudnivå från trafik och andra yttre ljudkällor. Källa: SS 252 68:2007, ljudklass C.</w:t>
      </w:r>
    </w:p>
    <w:p>
      <w:pPr>
        <w:pStyle w:val="P14"/>
        <w:rPr>
          <w:b w:val="1"/>
          <w:bCs w:val="1"/>
        </w:rPr>
      </w:pPr>
      <w:r>
        <w:rPr>
          <w:b w:val="1"/>
          <w:bCs w:val="1"/>
        </w:rPr>
        <w:t xml:space="preserve">Sammanfattningsvis </w:t>
      </w:r>
    </w:p>
    <w:p>
      <w:pPr>
        <w:pStyle w:val="P14"/>
      </w:pPr>
      <w:r>
        <w:t xml:space="preserve">Om man endast ser till ljudnivåerna från E10:an är de ekvivalenta ljudnivåerna som högst 45 dBA inom en stor del av begravningsplatsen och längst i norr är de ekvivalenta som högst 40 dBA. 50 dBA överskrids i princip inte någonstans. </w:t>
      </w:r>
    </w:p>
    <w:p>
      <w:pPr>
        <w:pStyle w:val="P14"/>
      </w:pPr>
      <w:r>
        <w:t xml:space="preserve">Med snöskotertrafik ökar de ekvivalenta ljudnivåerna allra närmast snöskoterlederna. Den största skillnaden är vid den befintliga snöskoterleden som främst påverkar ljudnivåerna i kanten av den nordvästra delen av området. De nya snöskoterlederna påverkar ljudnivåerna endast något längst i öster av det studerade området. </w:t>
      </w:r>
    </w:p>
    <w:p>
      <w:pPr>
        <w:pStyle w:val="P14"/>
        <w:rPr>
          <w:b w:val="1"/>
          <w:bCs w:val="1"/>
        </w:rPr>
      </w:pPr>
      <w:r>
        <w:rPr>
          <w:b w:val="1"/>
          <w:bCs w:val="1"/>
        </w:rPr>
        <w:t xml:space="preserve">Riktvärden </w:t>
      </w:r>
    </w:p>
    <w:p>
      <w:pPr>
        <w:pStyle w:val="P14"/>
      </w:pPr>
      <w:r>
        <w:t xml:space="preserve">Det finns inga riktvärden för begravningsplatser men däremot finns riktlinjer för parker och friluftsområden. Naturvårdsverket menar att man i parker och tätortsnära rekreationsområden-den bör eftersträva ekvivalent ljudnivå om högst 45 - 50 dBA, för åtminstone delar av om-rådet. Trafikverket anger att riktvärdet för parker och andra rekreationsytor i tätorter bör vara 45 - 55 dBA i ekvivalent ljudnivå. </w:t>
      </w:r>
    </w:p>
    <w:p>
      <w:pPr>
        <w:pStyle w:val="P14"/>
      </w:pPr>
      <w:r>
        <w:t xml:space="preserve">De beräknade ljudnivåerna inom begravningsplatsen klarar de riktlinjer Naturvårdsverket och Trafikverket har för parker och friluftsområden. </w:t>
      </w:r>
    </w:p>
    <w:p>
      <w:pPr>
        <w:pStyle w:val="P14"/>
      </w:pPr>
      <w:r>
        <w:t>För arbetsplatser finns endast riktvärden för trafikbuller för vid kontor och riktvärdena avser ljudnivåer inomhus. Om kontor planeras i någon av byggnaderna kan inomhusriktvärdena klaras med hjälp av tillräcklig fasaddämpning.</w:t>
      </w:r>
    </w:p>
    <w:p>
      <w:pPr>
        <w:pStyle w:val="P14"/>
      </w:pPr>
      <w:bookmarkEnd w:id="136"/>
    </w:p>
    <w:p>
      <w:pPr>
        <w:pStyle w:val="P14"/>
      </w:pPr>
    </w:p>
    <w:p>
      <w:pPr>
        <w:pStyle w:val="P14"/>
      </w:pPr>
    </w:p>
    <w:p>
      <w:pPr>
        <w:pStyle w:val="P14"/>
      </w:pPr>
    </w:p>
    <w:p>
      <w:pPr>
        <w:pStyle w:val="P14"/>
      </w:pPr>
    </w:p>
    <w:p>
      <w:pPr>
        <w:pStyle w:val="P16"/>
      </w:pPr>
      <w:bookmarkStart w:id="137" w:name="_Toc143176935"/>
      <w:r>
        <w:t>Risk för olyckor</w:t>
      </w:r>
      <w:bookmarkEnd w:id="137"/>
    </w:p>
    <w:p>
      <w:pPr>
        <w:pStyle w:val="P14"/>
      </w:pPr>
      <w:bookmarkStart w:id="138" w:name="pf_riskförolyckor01"/>
      <w:r>
        <w:t xml:space="preserve">Väg E10 angränsar mot planområdets södra delar. Vägen är rekommenderad primär väg för farligt gods på ort med gruvdrift, vilket innebär att explosiva ämnen kan transporteras på vägen. </w:t>
      </w:r>
    </w:p>
    <w:p>
      <w:pPr>
        <w:pStyle w:val="P14"/>
      </w:pPr>
      <w:r>
        <w:t xml:space="preserve">Denna säkerhetsrisk behöver beaktas planeringen, genom att skyddsavstånd till vägen tillämpas för begränsa riskexponeringen av farligt gods, och därmed undvika att människor och egendom kommer till skada vid en eventuell olycka. </w:t>
      </w:r>
    </w:p>
    <w:p>
      <w:pPr>
        <w:pStyle w:val="P14"/>
      </w:pPr>
      <w:r>
        <w:t>Länsstyrelsen anger i sina Riktlinjer för fysisk planering - skyddsavstånd till transportleder för farligt gods i Norrbottens och Västerbottens län (2019) vilka verksamheter som är lämpliga inom olika avstånd från denna typ av väg. I aktuellt fall tillämpas tabellen nedan, som gäller för orter med gruvdrift (se figur 27 nedan).</w:t>
      </w:r>
    </w:p>
    <w:p>
      <w:pPr>
        <w:pStyle w:val="P14"/>
      </w:pPr>
      <w:r>
        <w:rPr>
          <w:noProof w:val="1"/>
          <w:lang w:eastAsia="sv-SE"/>
        </w:rPr>
        <w:drawing>
          <wp:anchor xmlns:wp="http://schemas.openxmlformats.org/drawingml/2006/wordprocessingDrawing" distT="0" distB="0" distL="114300" distR="114300" simplePos="0" relativeHeight="35" behindDoc="0" locked="0" layoutInCell="1" allowOverlap="1">
            <wp:simplePos x="0" y="0"/>
            <wp:positionH relativeFrom="margin">
              <wp:posOffset>0</wp:posOffset>
            </wp:positionH>
            <wp:positionV relativeFrom="paragraph">
              <wp:posOffset>295275</wp:posOffset>
            </wp:positionV>
            <wp:extent cx="5057775" cy="3043555"/>
            <wp:effectExtent l="0" t="0" r="9525" b="4445"/>
            <wp:wrapTopAndBottom/>
            <wp:docPr id="201" name="Bildobjekt 201"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Bildobjekt 201" descr="En bild som visar bord&#10;&#10;Automatiskt genererad beskrivning"/>
                    <pic:cNvPicPr/>
                  </pic:nvPicPr>
                  <pic:blipFill dpi="0">
                    <a:blip xmlns:r="http://schemas.openxmlformats.org/officeDocument/2006/relationships" r:embed="Relimage29"/>
                    <a:srcRect t="6871"/>
                    <a:stretch>
                      <a:fillRect/>
                    </a:stretch>
                  </pic:blipFill>
                  <pic:spPr bwMode="auto">
                    <a:xfrm>
                      <a:off x="0" y="0"/>
                      <a:ext cx="5057775" cy="3043555"/>
                    </a:xfrm>
                    <a:prstGeom prst="rect"/>
                    <a:ln>
                      <a:noFill/>
                    </a:ln>
                  </pic:spPr>
                </pic:pic>
              </a:graphicData>
            </a:graphic>
          </wp:anchor>
        </w:drawing>
      </w:r>
    </w:p>
    <w:p>
      <w:pPr>
        <w:pStyle w:val="P14"/>
        <w:rPr>
          <w:i w:val="1"/>
          <w:iCs w:val="1"/>
        </w:rPr>
      </w:pPr>
      <w:r>
        <w:rPr>
          <w:i w:val="1"/>
          <w:iCs w:val="1"/>
        </w:rPr>
        <w:t>Figur 27, Skyddsavstånd enligt zoner. Källa: Länsstyrelsen, 2019</w:t>
      </w:r>
    </w:p>
    <w:p>
      <w:pPr>
        <w:pStyle w:val="P14"/>
      </w:pPr>
      <w:r>
        <w:t xml:space="preserve">Längs vägsträckan kommer ÅDT att överstiga 600 fordon/dygn och antal TMÄ har inte utretts. Vid upprättandet av vägplanen för E10 har dock Länsstyrelsen och räddningstjänsten framhållit att maximala antalet TMÄ bor tillämpas (24/vecka), då transporterna på vägen kan förändras över tid. Därmed används skyddsavstånden enlighet nedersta raden i figur 28. </w:t>
      </w:r>
    </w:p>
    <w:p>
      <w:pPr>
        <w:pStyle w:val="P14"/>
      </w:pPr>
      <w:r>
        <w:rPr>
          <w:noProof w:val="1"/>
          <w:lang w:eastAsia="sv-SE"/>
        </w:rPr>
        <w:drawing>
          <wp:anchor xmlns:wp="http://schemas.openxmlformats.org/drawingml/2006/wordprocessingDrawing" distT="0" distB="0" distL="114300" distR="114300" simplePos="0" relativeHeight="36" behindDoc="0" locked="0" layoutInCell="1" allowOverlap="1">
            <wp:simplePos x="0" y="0"/>
            <wp:positionH relativeFrom="margin">
              <wp:posOffset>0</wp:posOffset>
            </wp:positionH>
            <wp:positionV relativeFrom="paragraph">
              <wp:posOffset>285750</wp:posOffset>
            </wp:positionV>
            <wp:extent cx="4913630" cy="3352800"/>
            <wp:effectExtent l="0" t="0" r="1270" b="0"/>
            <wp:wrapTopAndBottom/>
            <wp:docPr id="203" name="Bildobjekt 203"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Bildobjekt 203" descr="En bild som visar bord&#10;&#10;Automatiskt genererad beskrivning"/>
                    <pic:cNvPicPr>
                      <a:picLocks noChangeAspect="1" noChangeArrowheads="1"/>
                    </pic:cNvPicPr>
                  </pic:nvPicPr>
                  <pic:blipFill dpi="0">
                    <a:blip xmlns:r="http://schemas.openxmlformats.org/officeDocument/2006/relationships" r:embed="Relimage30"/>
                    <a:srcRect/>
                    <a:stretch>
                      <a:fillRect/>
                    </a:stretch>
                  </pic:blipFill>
                  <pic:spPr bwMode="auto">
                    <a:xfrm>
                      <a:off x="0" y="0"/>
                      <a:ext cx="4913630" cy="3352800"/>
                    </a:xfrm>
                    <a:prstGeom prst="rect"/>
                    <a:noFill/>
                  </pic:spPr>
                </pic:pic>
              </a:graphicData>
            </a:graphic>
          </wp:anchor>
        </w:drawing>
      </w:r>
    </w:p>
    <w:p>
      <w:pPr>
        <w:pStyle w:val="P14"/>
        <w:rPr>
          <w:i w:val="1"/>
          <w:iCs w:val="1"/>
        </w:rPr>
      </w:pPr>
      <w:r>
        <w:rPr>
          <w:i w:val="1"/>
          <w:iCs w:val="1"/>
        </w:rPr>
        <w:t>Figur 28, Tabellen visar zonindelning för olika byggnadsverk och verksamheter.</w:t>
      </w:r>
    </w:p>
    <w:p>
      <w:pPr>
        <w:pStyle w:val="P14"/>
      </w:pPr>
      <w:r>
        <w:t>Kategoriseringen av markanvändningen utgår ifrån Länsstyrelsens rapport Riktlinjer för fysisk planering - skyddsavstånd till transportleder för farligt gods i Norrbottens och Västerbottens län (2019). Begravningsplatsen med tillhörande byggnader borde bedömas som Zon C, normalkänslig verksamhet.</w:t>
      </w:r>
    </w:p>
    <w:p>
      <w:pPr>
        <w:pStyle w:val="P14"/>
      </w:pPr>
      <w:r>
        <w:rPr>
          <w:noProof w:val="1"/>
        </w:rPr>
        <w:drawing>
          <wp:anchor xmlns:wp="http://schemas.openxmlformats.org/drawingml/2006/wordprocessingDrawing" distT="0" distB="0" distL="114300" distR="114300" simplePos="0" relativeHeight="37" behindDoc="0" locked="0" layoutInCell="1" allowOverlap="1">
            <wp:simplePos x="0" y="0"/>
            <wp:positionH relativeFrom="margin">
              <wp:align>left</wp:align>
            </wp:positionH>
            <wp:positionV relativeFrom="paragraph">
              <wp:posOffset>570865</wp:posOffset>
            </wp:positionV>
            <wp:extent cx="5562600" cy="1691640"/>
            <wp:effectExtent l="0" t="0" r="0" b="3810"/>
            <wp:wrapTopAndBottom/>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31"/>
                    <a:srcRect/>
                    <a:stretch>
                      <a:fillRect/>
                    </a:stretch>
                  </pic:blipFill>
                  <pic:spPr bwMode="auto">
                    <a:xfrm>
                      <a:off x="0" y="0"/>
                      <a:ext cx="5562600" cy="1691640"/>
                    </a:xfrm>
                    <a:prstGeom prst="rect"/>
                    <a:noFill/>
                  </pic:spPr>
                </pic:pic>
              </a:graphicData>
            </a:graphic>
          </wp:anchor>
        </w:drawing>
      </w:r>
      <w:r>
        <w:t xml:space="preserve">I samma rapport finns beskrivet hur säkerhetsavståndet ska beräknas både med och utan skyddsvallar. Exemplet nedan anger hur avståndet ska mätas när det finns en vall. </w:t>
      </w:r>
    </w:p>
    <w:p>
      <w:pPr>
        <w:pStyle w:val="P14"/>
        <w:rPr>
          <w:i w:val="1"/>
          <w:iCs w:val="1"/>
        </w:rPr>
      </w:pPr>
      <w:r>
        <w:rPr>
          <w:i w:val="1"/>
          <w:iCs w:val="1"/>
        </w:rPr>
        <w:t>Figur 29, Bilden visar hur skyddsavstånd bör mätas (Riktlinjer för fysisk planering - skyddsavstånd till transportleder för farligt gods i Norrbottens och Västerbottens län).</w:t>
      </w:r>
    </w:p>
    <w:p>
      <w:pPr>
        <w:pStyle w:val="P14"/>
      </w:pPr>
      <w:r>
        <w:rPr>
          <w:noProof w:val="1"/>
          <w:lang w:eastAsia="sv-SE"/>
        </w:rPr>
        <mc:AlternateContent>
          <mc:Choice Requires="wps">
            <w:drawing>
              <wp:anchor xmlns:wp="http://schemas.openxmlformats.org/drawingml/2006/wordprocessingDrawing" distT="45720" distB="45720" distL="114300" distR="114300" simplePos="0" relativeHeight="38" behindDoc="0" locked="0" layoutInCell="1" allowOverlap="1">
                <wp:simplePos x="0" y="0"/>
                <wp:positionH relativeFrom="column">
                  <wp:posOffset>4010025</wp:posOffset>
                </wp:positionH>
                <wp:positionV relativeFrom="paragraph">
                  <wp:posOffset>3264535</wp:posOffset>
                </wp:positionV>
                <wp:extent cx="2360930" cy="1404620"/>
                <wp:effectExtent l="0" t="0" r="0" b="0"/>
                <wp:wrapSquare wrapText="bothSides"/>
                <wp:docPr id="207"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iCs w:val="1"/>
                              </w:rPr>
                            </w:pPr>
                            <w:r>
                              <w:rPr>
                                <w:rFonts w:ascii="Georgia" w:hAnsi="Georgia" w:cs="Lucida Grande"/>
                                <w:i w:val="1"/>
                                <w:iCs w:val="1"/>
                                <w:sz w:val="22"/>
                                <w:szCs w:val="22"/>
                              </w:rPr>
                              <w:t>Figur 30, Bilden kommer från gestaltningsprogrammet för Kiruna nya begravningsplats, Outerspace arkitekter. Vallen kallas här för Södra åsen</w:t>
                            </w:r>
                            <w:r>
                              <w:rPr>
                                <w:i w:val="1"/>
                                <w:iCs w:val="1"/>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47" style="position:absolute;width:185.9pt;height:110.6pt;z-index:38;mso-wrap-distance-left:9pt;mso-wrap-distance-top:3.6pt;mso-wrap-distance-right:9pt;mso-wrap-distance-bottom:3.6pt;margin-left:315.75pt;margin-top:257.05pt;mso-position-horizontal:absolute;mso-position-horizontal-relative:text;mso-position-vertical:absolute;mso-position-vertical-relative:text;mso-width-relative:margin;mso-width-percent:400;mso-height-relative:margin;mso-height-percent:200" o:allowincell="t" filled="f" strokeweight="0.75pt" stroked="f">
                <v:textbox style="mso-fit-shape-to-text:t" inset="3mm,1mm,3mm,1mm">
                  <w:txbxContent>
                    <w:p>
                      <w:pPr>
                        <w:rPr>
                          <w:i w:val="1"/>
                          <w:iCs w:val="1"/>
                        </w:rPr>
                      </w:pPr>
                      <w:r>
                        <w:rPr>
                          <w:rFonts w:ascii="Georgia" w:hAnsi="Georgia" w:cs="Lucida Grande"/>
                          <w:i w:val="1"/>
                          <w:iCs w:val="1"/>
                          <w:sz w:val="22"/>
                          <w:szCs w:val="22"/>
                        </w:rPr>
                        <w:t>Figur 30, Bilden kommer från gestaltningsprogrammet för Kiruna nya begravningsplats, Outerspace arkitekter. Vallen kallas här för Södra åsen</w:t>
                      </w:r>
                      <w:r>
                        <w:rPr>
                          <w:i w:val="1"/>
                          <w:iCs w:val="1"/>
                        </w:rPr>
                        <w:t>.</w:t>
                      </w:r>
                    </w:p>
                  </w:txbxContent>
                </v:textbox>
                <w10:wrap type="square"/>
              </v:shape>
            </w:pict>
          </mc:Fallback>
        </mc:AlternateContent>
      </w:r>
      <w:r>
        <w:rPr>
          <w:noProof w:val="1"/>
        </w:rPr>
        <w:drawing>
          <wp:anchor xmlns:wp="http://schemas.openxmlformats.org/drawingml/2006/wordprocessingDrawing" distT="0" distB="0" distL="114300" distR="114300" simplePos="0" relativeHeight="39" behindDoc="0" locked="0" layoutInCell="1" allowOverlap="1">
            <wp:simplePos x="0" y="0"/>
            <wp:positionH relativeFrom="margin">
              <wp:align>left</wp:align>
            </wp:positionH>
            <wp:positionV relativeFrom="paragraph">
              <wp:posOffset>898525</wp:posOffset>
            </wp:positionV>
            <wp:extent cx="3865245" cy="3609340"/>
            <wp:effectExtent l="0" t="0" r="1905" b="0"/>
            <wp:wrapTopAndBottom/>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dpi="0">
                    <a:blip xmlns:r="http://schemas.openxmlformats.org/officeDocument/2006/relationships" r:embed="Relimage32"/>
                    <a:srcRect/>
                    <a:stretch>
                      <a:fillRect/>
                    </a:stretch>
                  </pic:blipFill>
                  <pic:spPr bwMode="auto">
                    <a:xfrm>
                      <a:off x="0" y="0"/>
                      <a:ext cx="3865245" cy="3609340"/>
                    </a:xfrm>
                    <a:prstGeom prst="rect"/>
                    <a:noFill/>
                  </pic:spPr>
                </pic:pic>
              </a:graphicData>
            </a:graphic>
          </wp:anchor>
        </w:drawing>
      </w:r>
      <w:r>
        <w:t>Mot väg E 10 kommer en vall om 3,5 meters höjd att anordnas, först och främst för att dämpa trafikbuller men också som ett skydd avseende risk för olycka vid transport. Vid mätning enligt rekommendationer är avståndet från vägkant ca 15 meter, baksida vall ca 35 meter. Detta innebär att tillräcklig säkerhetszon inryms ur trafiksäkerhetssynpunkt.</w:t>
      </w:r>
    </w:p>
    <w:p>
      <w:pPr>
        <w:pStyle w:val="P14"/>
      </w:pPr>
    </w:p>
    <w:p>
      <w:pPr>
        <w:pStyle w:val="P14"/>
      </w:pPr>
      <w:r>
        <w:rPr>
          <w:noProof w:val="1"/>
          <w:lang w:eastAsia="sv-SE"/>
        </w:rPr>
        <mc:AlternateContent>
          <mc:Choice Requires="wps">
            <w:drawing>
              <wp:anchor xmlns:wp="http://schemas.openxmlformats.org/drawingml/2006/wordprocessingDrawing" distT="45720" distB="45720" distL="114300" distR="114300" simplePos="0" relativeHeight="40" behindDoc="0" locked="0" layoutInCell="1" allowOverlap="1">
                <wp:simplePos x="0" y="0"/>
                <wp:positionH relativeFrom="column">
                  <wp:posOffset>3895725</wp:posOffset>
                </wp:positionH>
                <wp:positionV relativeFrom="paragraph">
                  <wp:posOffset>2889250</wp:posOffset>
                </wp:positionV>
                <wp:extent cx="2360930" cy="1404620"/>
                <wp:effectExtent l="0" t="0" r="0" b="0"/>
                <wp:wrapSquare wrapText="bothSides"/>
                <wp:docPr id="211"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iCs w:val="1"/>
                              </w:rPr>
                            </w:pPr>
                            <w:r>
                              <w:rPr>
                                <w:rFonts w:ascii="Georgia" w:hAnsi="Georgia" w:cs="Lucida Grande"/>
                                <w:i w:val="1"/>
                                <w:iCs w:val="1"/>
                                <w:sz w:val="22"/>
                                <w:szCs w:val="22"/>
                              </w:rPr>
                              <w:t>Figur 31, Södra åsen, vallen, är ungefärligt intolkad och visas i rött. Vid mätning från vägkant till framsida vall är avståndet lite drygt 15 meter.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48" style="position:absolute;width:185.9pt;height:110.6pt;z-index:40;mso-wrap-distance-left:9pt;mso-wrap-distance-top:3.6pt;mso-wrap-distance-right:9pt;mso-wrap-distance-bottom:3.6pt;margin-left:306.75pt;margin-top:227.5pt;mso-position-horizontal:absolute;mso-position-horizontal-relative:text;mso-position-vertical:absolute;mso-position-vertical-relative:text;mso-width-relative:margin;mso-width-percent:400;mso-height-relative:margin;mso-height-percent:200" o:allowincell="t" filled="f" strokeweight="0.75pt" stroked="f">
                <v:textbox style="mso-fit-shape-to-text:t" inset="3mm,1mm,3mm,1mm">
                  <w:txbxContent>
                    <w:p>
                      <w:pPr>
                        <w:rPr>
                          <w:i w:val="1"/>
                          <w:iCs w:val="1"/>
                        </w:rPr>
                      </w:pPr>
                      <w:r>
                        <w:rPr>
                          <w:rFonts w:ascii="Georgia" w:hAnsi="Georgia" w:cs="Lucida Grande"/>
                          <w:i w:val="1"/>
                          <w:iCs w:val="1"/>
                          <w:sz w:val="22"/>
                          <w:szCs w:val="22"/>
                        </w:rPr>
                        <w:t>Figur 31, Södra åsen, vallen, är ungefärligt intolkad och visas i rött. Vid mätning från vägkant till framsida vall är avståndet lite drygt 15 meter.</w:t>
                      </w:r>
                    </w:p>
                  </w:txbxContent>
                </v:textbox>
                <w10:wrap type="square"/>
              </v:shape>
            </w:pict>
          </mc:Fallback>
        </mc:AlternateContent>
      </w:r>
      <w:r>
        <w:rPr>
          <w:i w:val="1"/>
          <w:iCs w:val="1"/>
          <w:noProof w:val="1"/>
        </w:rPr>
        <w:drawing>
          <wp:anchor xmlns:wp="http://schemas.openxmlformats.org/drawingml/2006/wordprocessingDrawing" distT="0" distB="0" distL="114300" distR="114300" simplePos="0" relativeHeight="41" behindDoc="0" locked="0" layoutInCell="1" allowOverlap="1">
            <wp:simplePos x="0" y="0"/>
            <wp:positionH relativeFrom="margin">
              <wp:align>left</wp:align>
            </wp:positionH>
            <wp:positionV relativeFrom="paragraph">
              <wp:posOffset>34290</wp:posOffset>
            </wp:positionV>
            <wp:extent cx="3750310" cy="3843655"/>
            <wp:effectExtent l="0" t="0" r="2540" b="4445"/>
            <wp:wrapTopAndBottom/>
            <wp:docPr id="72" name="Bildobjekt 72"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Bildobjekt 72" descr="En bild som visar karta&#10;&#10;Automatiskt genererad beskrivning"/>
                    <pic:cNvPicPr/>
                  </pic:nvPicPr>
                  <pic:blipFill dpi="0">
                    <a:blip xmlns:r="http://schemas.openxmlformats.org/officeDocument/2006/relationships" r:embed="Relimage33"/>
                    <a:srcRect/>
                    <a:stretch>
                      <a:fillRect/>
                    </a:stretch>
                  </pic:blipFill>
                  <pic:spPr>
                    <a:xfrm>
                      <a:off x="0" y="0"/>
                      <a:ext cx="3750310" cy="3843655"/>
                    </a:xfrm>
                    <a:prstGeom prst="rect"/>
                  </pic:spPr>
                </pic:pic>
              </a:graphicData>
            </a:graphic>
          </wp:anchor>
        </w:drawing>
      </w:r>
    </w:p>
    <w:p>
      <w:pPr>
        <w:pStyle w:val="P16"/>
      </w:pPr>
      <w:bookmarkEnd w:id="138"/>
      <w:bookmarkStart w:id="139" w:name="_Toc143176936"/>
      <w:r>
        <w:t>Risker vid eventuell brand Kiruna avfallsanläggning</w:t>
      </w:r>
      <w:bookmarkEnd w:id="139"/>
    </w:p>
    <w:p>
      <w:pPr>
        <w:pStyle w:val="P14"/>
      </w:pPr>
      <w:bookmarkStart w:id="140" w:name="pf_riskervideventuellbrandkirunaavfall01"/>
      <w:r>
        <w:t xml:space="preserve">I händelse av brand här kan en brand bli mycket svårsläckt och illaluktande och i vissa fall kan giftig rök förekomma. Om då bostadsområden ligger i rökens riktning måste dessa utrymmas. Släckvatten som använts på plastbränder kommer bli fullt av gifter, det kommer vara en mycket stor mängd förorenat vatten som ska tas om hand. Likaså om röken blandas med annat vatten, till exempel regn så finns risk för att vattnet får en halt av saltsyra. Detta kan skada husfasaderna medvinds från branden.  Förebyggande arbete på avfallsanläggningen för att minimera riskerna är att se avfallshögarna som ”brandceller” som avskiljs från varandra med ett avstånd samt inte byggs för stora. På så sätt minskas spridningen och branden blir lättare att bekämpa effektivt.</w:t>
      </w:r>
    </w:p>
    <w:p>
      <w:pPr>
        <w:pStyle w:val="P14"/>
      </w:pPr>
      <w:bookmarkEnd w:id="140"/>
      <w:r>
        <w:rPr>
          <w:rFonts w:ascii="Palatino Linotype" w:hAnsi="Palatino Linotype"/>
        </w:rPr>
        <w:t> </w:t>
      </w:r>
    </w:p>
    <w:p>
      <w:pPr>
        <w:pStyle w:val="P16"/>
      </w:pPr>
      <w:bookmarkStart w:id="141" w:name="_Toc143176937"/>
      <w:r>
        <w:t>Risk för översvämning</w:t>
      </w:r>
      <w:bookmarkEnd w:id="141"/>
    </w:p>
    <w:p>
      <w:pPr>
        <w:pStyle w:val="P30"/>
        <w:spacing w:lineRule="exact" w:line="300" w:after="160" w:beforeAutospacing="0" w:afterAutospacing="0"/>
        <w:rPr>
          <w:rFonts w:ascii="Georgia" w:hAnsi="Georgia"/>
          <w:sz w:val="22"/>
          <w:szCs w:val="20"/>
        </w:rPr>
      </w:pPr>
      <w:r>
        <w:rPr>
          <w:rFonts w:ascii="Georgia" w:hAnsi="Georgia"/>
          <w:noProof w:val="1"/>
          <w:sz w:val="22"/>
          <w:szCs w:val="20"/>
        </w:rPr>
        <w:drawing>
          <wp:anchor xmlns:wp="http://schemas.openxmlformats.org/drawingml/2006/wordprocessingDrawing" distT="0" distB="0" distL="114300" distR="114300" simplePos="0" relativeHeight="42" behindDoc="0" locked="0" layoutInCell="1" allowOverlap="1">
            <wp:simplePos x="0" y="0"/>
            <wp:positionH relativeFrom="column">
              <wp:posOffset>100965</wp:posOffset>
            </wp:positionH>
            <wp:positionV relativeFrom="paragraph">
              <wp:posOffset>1236345</wp:posOffset>
            </wp:positionV>
            <wp:extent cx="3429000" cy="4838700"/>
            <wp:effectExtent l="19050" t="19050" r="19050" b="19050"/>
            <wp:wrapTopAndBottom/>
            <wp:docPr id="200" name="Bildobjekt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6"/>
                    <pic:cNvPicPr/>
                  </pic:nvPicPr>
                  <pic:blipFill dpi="0">
                    <a:blip xmlns:r="http://schemas.openxmlformats.org/officeDocument/2006/relationships" r:embed="Relimage34"/>
                    <a:srcRect/>
                    <a:stretch>
                      <a:fillRect/>
                    </a:stretch>
                  </pic:blipFill>
                  <pic:spPr>
                    <a:xfrm>
                      <a:off x="0" y="0"/>
                      <a:ext cx="3429178" cy="4838949"/>
                    </a:xfrm>
                    <a:prstGeom prst="rect"/>
                    <a:ln>
                      <a:solidFill>
                        <a:schemeClr val="tx1"/>
                      </a:solidFill>
                    </a:ln>
                  </pic:spPr>
                </pic:pic>
              </a:graphicData>
            </a:graphic>
          </wp:anchor>
        </w:drawing>
      </w:r>
      <w:r>
        <w:rPr>
          <w:rFonts w:ascii="Georgia" w:hAnsi="Georgia"/>
          <w:noProof w:val="1"/>
          <w:sz w:val="22"/>
          <w:szCs w:val="20"/>
        </w:rPr>
        <mc:AlternateContent>
          <mc:Choice Requires="wps">
            <w:drawing>
              <wp:anchor xmlns:wp="http://schemas.openxmlformats.org/drawingml/2006/wordprocessingDrawing" distT="45720" distB="45720" distL="114300" distR="114300" simplePos="0" relativeHeight="43" behindDoc="0" locked="0" layoutInCell="1" allowOverlap="1">
                <wp:simplePos x="0" y="0"/>
                <wp:positionH relativeFrom="column">
                  <wp:posOffset>3701415</wp:posOffset>
                </wp:positionH>
                <wp:positionV relativeFrom="paragraph">
                  <wp:posOffset>4411980</wp:posOffset>
                </wp:positionV>
                <wp:extent cx="2360930" cy="1404620"/>
                <wp:effectExtent l="0" t="0" r="0" b="1270"/>
                <wp:wrapSquare wrapText="bothSides"/>
                <wp:docPr id="28"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0"/>
                              <w:rPr>
                                <w:i w:val="1"/>
                                <w:iCs w:val="1"/>
                              </w:rPr>
                            </w:pPr>
                            <w:r>
                              <w:rPr>
                                <w:i w:val="1"/>
                                <w:iCs w:val="1"/>
                              </w:rPr>
                              <w:t>Figur 32,</w:t>
                            </w:r>
                            <w:r>
                              <w:t xml:space="preserve"> </w:t>
                            </w:r>
                            <w:r>
                              <w:rPr>
                                <w:i w:val="1"/>
                                <w:iCs w:val="1"/>
                              </w:rPr>
                              <w:t>Översvämmad yta (visas i blått) inom planområdet, vid 76 mm nederbörd (återkomsttid 100 år och varaktighet 90 minuter). Planområdets tidigare utbredning markerat i rött.</w:t>
                            </w:r>
                          </w:p>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49" style="position:absolute;width:185.9pt;height:110.6pt;z-index:43;mso-wrap-distance-left:9pt;mso-wrap-distance-top:3.6pt;mso-wrap-distance-right:9pt;mso-wrap-distance-bottom:3.6pt;margin-left:291.45pt;margin-top:347.4pt;mso-position-horizontal:absolute;mso-position-horizontal-relative:text;mso-position-vertical:absolute;mso-position-vertical-relative:text;mso-width-relative:margin;mso-width-percent:400;mso-height-relative:margin;mso-height-percent:200" o:allowincell="t" filled="f" strokeweight="0.75pt" stroked="f">
                <v:textbox style="mso-fit-shape-to-text:t" inset="3mm,1mm,3mm,1mm">
                  <w:txbxContent>
                    <w:p>
                      <w:pPr>
                        <w:pStyle w:val="P30"/>
                        <w:rPr>
                          <w:i w:val="1"/>
                          <w:iCs w:val="1"/>
                        </w:rPr>
                      </w:pPr>
                      <w:r>
                        <w:rPr>
                          <w:i w:val="1"/>
                          <w:iCs w:val="1"/>
                        </w:rPr>
                        <w:t>Figur 32,</w:t>
                      </w:r>
                      <w:r>
                        <w:t xml:space="preserve"> </w:t>
                      </w:r>
                      <w:r>
                        <w:rPr>
                          <w:i w:val="1"/>
                          <w:iCs w:val="1"/>
                        </w:rPr>
                        <w:t>Översvämmad yta (visas i blått) inom planområdet, vid 76 mm nederbörd (återkomsttid 100 år och varaktighet 90 minuter). Planområdets tidigare utbredning markerat i rött.</w:t>
                      </w:r>
                    </w:p>
                    <w:p/>
                  </w:txbxContent>
                </v:textbox>
                <w10:wrap type="square"/>
              </v:shape>
            </w:pict>
          </mc:Fallback>
        </mc:AlternateContent>
      </w:r>
      <w:bookmarkStart w:id="142" w:name="pf_riskföröversvämning01"/>
      <w:r>
        <w:rPr>
          <w:rFonts w:ascii="Georgia" w:hAnsi="Georgia"/>
          <w:sz w:val="22"/>
          <w:szCs w:val="20"/>
        </w:rPr>
        <w:t>Ett 100:års regn med 90 minuters varaktighet motsvarar en regnintensitet om 141 l/s*ha (Ekvation 4.5 i P110; Svenskt Vatten, 2016a) vilket omräknat blir 76 mm nederbörd, som har använts i översvämningsmodellen Scalgo live (2021) för att undersöka översvämningsrisker inom planområdet vid skyfall (100 års regn). Simuleringen visar att inga större vattenansamlingar riskerar uppstå inom planområdet (Figur X) i och med att området har en betydande lutning åt nordöst.</w:t>
      </w:r>
    </w:p>
    <w:p>
      <w:pPr>
        <w:pStyle w:val="P30"/>
        <w:rPr>
          <w:rFonts w:ascii="Georgia" w:hAnsi="Georgia"/>
          <w:sz w:val="22"/>
          <w:szCs w:val="20"/>
        </w:rPr>
      </w:pPr>
      <w:r>
        <w:rPr>
          <w:rFonts w:ascii="Georgia" w:hAnsi="Georgia"/>
          <w:sz w:val="22"/>
          <w:szCs w:val="20"/>
        </w:rPr>
        <w:t>Högre flöden hanteras med fördröjningsdammar inom planområdet.</w:t>
      </w:r>
    </w:p>
    <w:p>
      <w:pPr>
        <w:rPr>
          <w:rFonts w:ascii="Georgia" w:hAnsi="Georgia" w:cs="Lucida Grande"/>
          <w:b w:val="1"/>
          <w:bCs w:val="1"/>
          <w:sz w:val="22"/>
          <w:szCs w:val="22"/>
        </w:rPr>
      </w:pPr>
      <w:bookmarkEnd w:id="142"/>
      <w:r>
        <w:rPr>
          <w:b w:val="1"/>
          <w:bCs w:val="1"/>
        </w:rPr>
        <w:br w:type="page"/>
      </w:r>
    </w:p>
    <w:p>
      <w:pPr>
        <w:pStyle w:val="P15"/>
      </w:pPr>
      <w:bookmarkStart w:id="143" w:name="_Toc143176938"/>
      <w:r>
        <w:t>Geotekniska förhållanden</w:t>
      </w:r>
      <w:bookmarkEnd w:id="143"/>
    </w:p>
    <w:p>
      <w:pPr>
        <w:pStyle w:val="P14"/>
      </w:pPr>
      <w:bookmarkStart w:id="144" w:name="pf_geotekniskaförhållanden01"/>
      <w:r>
        <w:t>Markprofilen inom området utgörs enligt genomförda skruvprovtagningar av morän, huvudsakligen i form av siltig sandmorän (siSaTi), sandig siltig morän (sasiTi) och grusig siltig sandmorän (grsiSaTi). Moränen är naturligt lagrad och har påträffats direkt under ett växtdelsskikt med 0,1 m tjocklek.</w:t>
      </w:r>
    </w:p>
    <w:p>
      <w:pPr>
        <w:pStyle w:val="P14"/>
      </w:pPr>
      <w:r>
        <w:t>Berg eller förmodat berg har påträffats för tio undersökningspunkter. Bergytan har påträffats vid djup som varierar mellan 2,2–3,8 meter under befintlig markyta. En sammanställning av djup till berg från befintlig markyta redovisas i Bilaga 1, där även området är indelat i delområden utifrån en uppskattning av djup till berg.</w:t>
      </w:r>
    </w:p>
    <w:p>
      <w:pPr>
        <w:pStyle w:val="P14"/>
      </w:pPr>
      <w:r>
        <w:t xml:space="preserve">Vid genomförd provgropsgrävning i fyra punkter noterades viss blockighet i moränen genom hela jordprofilens undersökningsdjup vilket även bekräftas av resultaten från genomförda jordbergsonderingar. Vid utförandet av provgrop 2 (PG2) noterades stopp mot berg eller block </w:t>
      </w:r>
      <w:r>
        <w:rPr>
          <w:rFonts w:ascii="Cambria Math" w:hAnsi="Cambria Math" w:cs="Cambria Math"/>
        </w:rPr>
        <w:t>∅</w:t>
      </w:r>
      <w:r>
        <w:t xml:space="preserve"> &gt;1800 mm vid ett djup om 1,6 m under befintlig markyta.</w:t>
      </w:r>
    </w:p>
    <w:p>
      <w:pPr>
        <w:pStyle w:val="P14"/>
      </w:pPr>
      <w:bookmarkEnd w:id="144"/>
      <w:r>
        <w:rPr>
          <w:rFonts w:ascii="Lucida Sans" w:hAnsi="Lucida Sans"/>
          <w:b w:val="1"/>
          <w:i w:val="1"/>
          <w:sz w:val="24"/>
          <w:szCs w:val="24"/>
        </w:rPr>
        <w:t>6.7.1 Förorenad mark</w:t>
      </w:r>
      <w:r>
        <w:rPr>
          <w:b w:val="1"/>
          <w:bCs w:val="1"/>
        </w:rPr>
        <w:br w:type="textWrapping"/>
      </w:r>
      <w:bookmarkStart w:id="145" w:name="pf_förorenadmark01"/>
      <w:r>
        <w:t>Det finns inga uppgifter kring kända föroreningar inom planområdet. Enligt länsstyrelsens karta över potentiellt förorenade områden (VISS, 2021) finns det ej några registrerade förekomster av föroreningar inom området.</w:t>
      </w:r>
    </w:p>
    <w:p>
      <w:pPr>
        <w:pStyle w:val="P14"/>
      </w:pPr>
      <w:bookmarkEnd w:id="145"/>
      <w:bookmarkStart w:id="146" w:name="_Hlk129159530"/>
      <w:r>
        <w:rPr>
          <w:rFonts w:ascii="Lucida Sans" w:hAnsi="Lucida Sans"/>
          <w:b w:val="1"/>
          <w:i w:val="1"/>
          <w:noProof w:val="1"/>
          <w:sz w:val="24"/>
          <w:szCs w:val="24"/>
        </w:rPr>
        <mc:AlternateContent>
          <mc:Choice Requires="wpg">
            <w:drawing>
              <wp:anchor xmlns:wp="http://schemas.openxmlformats.org/drawingml/2006/wordprocessingDrawing" distT="0" distB="0" distL="114300" distR="114300" simplePos="0" relativeHeight="44" behindDoc="0" locked="0" layoutInCell="1" allowOverlap="1">
                <wp:simplePos x="0" y="0"/>
                <wp:positionH relativeFrom="margin">
                  <wp:align>right</wp:align>
                </wp:positionH>
                <wp:positionV relativeFrom="paragraph">
                  <wp:posOffset>1057275</wp:posOffset>
                </wp:positionV>
                <wp:extent cx="5972175" cy="1049655"/>
                <wp:effectExtent l="0" t="19050" r="0" b="0"/>
                <wp:wrapTopAndBottom/>
                <wp:docPr id="202" name="Grupp 202"/>
                <wp:cNvGraphicFramePr/>
                <a:graphic xmlns:a="http://schemas.openxmlformats.org/drawingml/2006/main">
                  <a:graphicData uri="http://schemas.microsoft.com/office/word/2010/wordprocessingGroup">
                    <wpg:wgp>
                      <wpg:cNvGrpSpPr/>
                      <wpg:grpSpPr>
                        <a:xfrm>
                          <a:off x="0" y="0"/>
                          <a:ext cx="5972809" cy="1049822"/>
                          <a:chOff x="0" y="0"/>
                          <a:chExt cx="5972809" cy="1049822"/>
                        </a:xfrm>
                      </wpg:grpSpPr>
                      <pic:pic xmlns:pic="http://schemas.openxmlformats.org/drawingml/2006/picture">
                        <pic:nvPicPr>
                          <pic:cNvPr id="196" name="Bildobjekt 196" descr="En bild som visar bord&#10;&#10;Automatiskt genererad beskrivning"/>
                          <pic:cNvPicPr>
                            <a:picLocks noChangeAspect="1"/>
                          </pic:cNvPicPr>
                        </pic:nvPicPr>
                        <pic:blipFill dpi="0">
                          <a:blip xmlns:r="http://schemas.openxmlformats.org/officeDocument/2006/relationships" r:embed="Relimage35"/>
                          <a:srcRect/>
                          <a:stretch>
                            <a:fillRect/>
                          </a:stretch>
                        </pic:blipFill>
                        <pic:spPr>
                          <a:xfrm>
                            <a:off x="57150" y="0"/>
                            <a:ext cx="3133725" cy="833755"/>
                          </a:xfrm>
                          <a:prstGeom prst="rect"/>
                          <a:ln>
                            <a:solidFill>
                              <a:schemeClr val="tx1"/>
                            </a:solidFill>
                          </a:ln>
                        </pic:spPr>
                      </pic:pic>
                      <wps:wsp>
                        <wps:cNvPr id="198" name="Textruta 2"/>
                        <wps:cNvSpPr txBox="1">
                          <a:spLocks noChangeArrowheads="1"/>
                        </wps:cNvSpPr>
                        <wps:spPr bwMode="auto">
                          <a:xfrm>
                            <a:off x="0" y="790107"/>
                            <a:ext cx="5972809" cy="259714"/>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Georgia" w:hAnsi="Georgia"/>
                                  <w:i w:val="1"/>
                                  <w:iCs w:val="1"/>
                                  <w:sz w:val="22"/>
                                  <w:szCs w:val="22"/>
                                </w:rPr>
                              </w:pPr>
                              <w:r>
                                <w:rPr>
                                  <w:rFonts w:ascii="Georgia" w:hAnsi="Georgia"/>
                                  <w:i w:val="1"/>
                                  <w:iCs w:val="1"/>
                                  <w:sz w:val="22"/>
                                  <w:szCs w:val="22"/>
                                </w:rPr>
                                <w:t>Figur 33,</w:t>
                              </w:r>
                              <w:r>
                                <w:rPr>
                                  <w:rFonts w:ascii="Georgia" w:hAnsi="Georgia"/>
                                  <w:i w:val="1"/>
                                  <w:iCs w:val="1"/>
                                  <w:color w:val="FF0000"/>
                                  <w:sz w:val="22"/>
                                  <w:szCs w:val="22"/>
                                </w:rPr>
                                <w:t xml:space="preserve"> </w:t>
                              </w:r>
                              <w:r>
                                <w:rPr>
                                  <w:rFonts w:ascii="Georgia" w:hAnsi="Georgia"/>
                                  <w:i w:val="1"/>
                                  <w:iCs w:val="1"/>
                                  <w:sz w:val="22"/>
                                  <w:szCs w:val="22"/>
                                </w:rPr>
                                <w:t>Halten uppmätt radon uppgår till 7 kiloBequerel per kubikmeter (kBq/m</w:t>
                              </w:r>
                              <w:r>
                                <w:rPr>
                                  <w:rFonts w:ascii="Georgia" w:hAnsi="Georgia"/>
                                  <w:i w:val="1"/>
                                  <w:iCs w:val="1"/>
                                  <w:sz w:val="22"/>
                                  <w:szCs w:val="22"/>
                                  <w:vertAlign w:val="subscript"/>
                                </w:rPr>
                                <w:t>3</w:t>
                              </w:r>
                              <w:r>
                                <w:rPr>
                                  <w:rFonts w:ascii="Georgia" w:hAnsi="Georgia"/>
                                  <w:i w:val="1"/>
                                  <w:iCs w:val="1"/>
                                  <w:sz w:val="22"/>
                                  <w:szCs w:val="22"/>
                                </w:rPr>
                                <w:t>)</w:t>
                              </w:r>
                            </w:p>
                          </w:txbxContent>
                        </wps:txbx>
                        <wps:bodyPr rot="0" vert="horz" wrap="square" lIns="91440" tIns="45720" rIns="91440" bIns="45720" anchor="t" anchorCtr="0">
                          <a:spAutoFit/>
                        </wps:bodyPr>
                      </wps:wsp>
                    </wpg:wgp>
                  </a:graphicData>
                </a:graphic>
              </wp:anchor>
            </w:drawing>
          </mc:Choice>
          <mc:Fallback>
            <w:pict>
              <v:group xmlns:o="urn:schemas-microsoft-com:office:office" id="Grupp 202" style="position:absolute;width:470.25pt;height:82.65pt;z-index:44;mso-wrap-distance-left:9pt;mso-wrap-distance-top:0pt;mso-wrap-distance-right:9pt;mso-wrap-distance-bottom:0pt;margin-left:0pt;margin-top:83.25pt;mso-position-horizontal:right;mso-position-horizontal-relative:margin;mso-position-vertical:absolute;mso-position-vertical-relative:text" coordorigin="0,0" coordsize="5972808,1049821" o:allowincell="t">
                <v:shape id="Bildobjekt 196" o:spid="_x0000_s1051" type="#_x0000_t75" alt="En bild som visar bord&#10;&#10;Automatiskt genererad beskrivning" style="position:absolute;left:57150;width:3133725;height:833755" o:preferrelative="t" strokecolor="#000000" stroked="t" o:allowincell="t">
                  <v:imagedata src="Relimage35" o:title=""/>
                  <w10:wrap type="topAndBottom"/>
                  <o:lock aspectratio="t"/>
                </v:shape>
                <v:shape type="#_x0000_t202" id="Textruta 2" o:spid="_x0000_s1052" style="position:absolute;top:790106;width:5972808;height:259713" o:allowincell="t" filled="f" strokeweight="0.75pt" stroked="f">
                  <v:textbox style="mso-fit-shape-to-text:t" inset="3mm,1mm,3mm,1mm">
                    <w:txbxContent>
                      <w:p>
                        <w:pPr>
                          <w:rPr>
                            <w:rFonts w:ascii="Georgia" w:hAnsi="Georgia"/>
                            <w:i w:val="1"/>
                            <w:iCs w:val="1"/>
                            <w:sz w:val="22"/>
                            <w:szCs w:val="22"/>
                          </w:rPr>
                        </w:pPr>
                        <w:r>
                          <w:rPr>
                            <w:rFonts w:ascii="Georgia" w:hAnsi="Georgia"/>
                            <w:i w:val="1"/>
                            <w:iCs w:val="1"/>
                            <w:sz w:val="22"/>
                            <w:szCs w:val="22"/>
                          </w:rPr>
                          <w:t>Figur 33,</w:t>
                        </w:r>
                        <w:r>
                          <w:rPr>
                            <w:rFonts w:ascii="Georgia" w:hAnsi="Georgia"/>
                            <w:i w:val="1"/>
                            <w:iCs w:val="1"/>
                            <w:color w:val="FF0000"/>
                            <w:sz w:val="22"/>
                            <w:szCs w:val="22"/>
                          </w:rPr>
                          <w:t xml:space="preserve"> </w:t>
                        </w:r>
                        <w:r>
                          <w:rPr>
                            <w:rFonts w:ascii="Georgia" w:hAnsi="Georgia"/>
                            <w:i w:val="1"/>
                            <w:iCs w:val="1"/>
                            <w:sz w:val="22"/>
                            <w:szCs w:val="22"/>
                          </w:rPr>
                          <w:t>Halten uppmätt radon uppgår till 7 kiloBequerel per kubikmeter (kBq/m</w:t>
                        </w:r>
                        <w:r>
                          <w:rPr>
                            <w:rFonts w:ascii="Georgia" w:hAnsi="Georgia"/>
                            <w:i w:val="1"/>
                            <w:iCs w:val="1"/>
                            <w:sz w:val="22"/>
                            <w:szCs w:val="22"/>
                            <w:vertAlign w:val="subscript"/>
                          </w:rPr>
                          <w:t>3</w:t>
                        </w:r>
                        <w:r>
                          <w:rPr>
                            <w:rFonts w:ascii="Georgia" w:hAnsi="Georgia"/>
                            <w:i w:val="1"/>
                            <w:iCs w:val="1"/>
                            <w:sz w:val="22"/>
                            <w:szCs w:val="22"/>
                          </w:rPr>
                          <w:t>)</w:t>
                        </w:r>
                      </w:p>
                    </w:txbxContent>
                  </v:textbox>
                  <w10:wrap type="topAndBottom"/>
                </v:shape>
              </v:group>
            </w:pict>
          </mc:Fallback>
        </mc:AlternateContent>
      </w:r>
      <w:r>
        <w:rPr>
          <w:rFonts w:ascii="Lucida Sans" w:hAnsi="Lucida Sans"/>
          <w:b w:val="1"/>
          <w:i w:val="1"/>
          <w:sz w:val="24"/>
          <w:szCs w:val="24"/>
        </w:rPr>
        <w:t>6.7.2 Radon</w:t>
      </w:r>
      <w:r>
        <w:rPr>
          <w:b w:val="1"/>
          <w:bCs w:val="1"/>
        </w:rPr>
        <w:br w:type="textWrapping"/>
      </w:r>
      <w:bookmarkStart w:id="147" w:name="pf_radon01"/>
      <w:r>
        <w:t>Radonhalten analyserades i tre mätpunkter inom aktuellt planområde. Samtliga mätningar påvisade radonhalter lägre än 5 kBq/m3 och var enligt uppgift från laboratoriet påverkade av vatten. Nya mätningar genomfördes och visade då på låga radonvärden i marken enligt tabellen nedan.</w:t>
      </w:r>
    </w:p>
    <w:p>
      <w:pPr>
        <w:pStyle w:val="P14"/>
      </w:pPr>
    </w:p>
    <w:p>
      <w:pPr>
        <w:pStyle w:val="P16"/>
      </w:pPr>
      <w:bookmarkEnd w:id="147"/>
      <w:bookmarkStart w:id="148" w:name="_Toc143176939"/>
      <w:r>
        <w:t>Klimat</w:t>
      </w:r>
      <w:bookmarkEnd w:id="148"/>
    </w:p>
    <w:p>
      <w:pPr>
        <w:pStyle w:val="P14"/>
      </w:pPr>
      <w:bookmarkEnd w:id="146"/>
      <w:bookmarkStart w:id="149" w:name="pf_klimat01"/>
      <w:r>
        <w:t xml:space="preserve">Exploatering av planområdet kommer innebära en delvis avverkning av befintlig skog. Avverkning av skogen kommer sannolikt att minska skogens förmåga att binda och lagra kol men effekten beror på av avverkningsgraden. </w:t>
      </w:r>
    </w:p>
    <w:p>
      <w:pPr>
        <w:pStyle w:val="P14"/>
      </w:pPr>
      <w:r>
        <w:t>Användningen av krematoriet och utsläpp som uppstår vid förbränning kan leda till en negativ klimatpåverkan. Sveriges kyrkogårds- och krematorieförbunds målsättning att driva krematorier fossilfritt genom att använda biobränsle i stället för fossilt bränsle kommer att begränsa den negativa klimatpåverkan från förbränningen. Däremot kommer växthusgasutsläpp från förbränning av den avlidnas kropp samt kistan ha en liten negativ klimatpåverkan.</w:t>
      </w:r>
    </w:p>
    <w:p>
      <w:pPr>
        <w:pStyle w:val="P14"/>
      </w:pPr>
      <w:r>
        <w:t>Planerad begravningsplats och verksamheten som medföljer kommer sannolikt att leda till en ökning av trafikaktivitet i och runt planområdet. Ökad trafikaktivitet kommer främst att uppstå på grund av besökare men även bestå av fordon som behövs för att driva och underhålla begravningsplatsen. Fordonstrafik som drivs av fossilt bränsle och förbränningsmotorer har en negativ klimatpåverkan på grund av deras utsläpp av växthusgaser samt aerosoler.</w:t>
      </w:r>
    </w:p>
    <w:p>
      <w:pPr>
        <w:pStyle w:val="P14"/>
      </w:pPr>
      <w:r>
        <w:t xml:space="preserve">Länsstyrelserna i Sveriges sju nordligaste län, Norrbottens, Västerbottens, Västernorrlands, Jämtlands, Dalarnas, Gävleborgs och Värmlands län, har tagit fram en rapport, </w:t>
      </w:r>
      <w:r>
        <w:rPr>
          <w:i w:val="1"/>
          <w:iCs w:val="1"/>
        </w:rPr>
        <w:t>Snö i framtida klimat</w:t>
      </w:r>
      <w:r>
        <w:t>. Rapporten syftar till att beskriva hur snömängderna kan variera i jämförelse med perioderna 1963–1992 (historisk period), 2021–2050 (nuvarande) och 2069–2098 (slutet av seklet).</w:t>
      </w:r>
    </w:p>
    <w:p>
      <w:pPr>
        <w:pStyle w:val="P14"/>
      </w:pPr>
      <w:r>
        <w:t xml:space="preserve">Beräkningar av snöförhållanden har gjorts genom att använda resultat i form av nederbörd och temperatur från nio datorbaserade klimatmodeller, utvecklade för att beräkna hur klimatet kan förändras på sikt. I denna studie används genomgående medelvärden från dessa nio klimatmodeller. Varje klimatmodell har även körts för två utsläppsscenarier från Förenta nationernas (FN:s) klimatpanel som beskriver olika halter av växthusgaser i atmosfären fram till år 2100: </w:t>
      </w:r>
    </w:p>
    <w:p>
      <w:pPr>
        <w:pStyle w:val="P14"/>
        <w:numPr>
          <w:ilvl w:val="0"/>
          <w:numId w:val="41"/>
        </w:numPr>
      </w:pPr>
      <w:r>
        <w:t>RCP4,5 (Representative Concentration Pathway med en ökad nettoinstrålning på 4,5 W/m</w:t>
      </w:r>
      <w:r>
        <w:rPr>
          <w:vertAlign w:val="superscript"/>
        </w:rPr>
        <w:t>2</w:t>
      </w:r>
      <w:r>
        <w:t xml:space="preserve">) - koldioxidutsläppen ökar fram till 2040 </w:t>
      </w:r>
    </w:p>
    <w:p>
      <w:pPr>
        <w:pStyle w:val="P14"/>
        <w:numPr>
          <w:ilvl w:val="0"/>
          <w:numId w:val="41"/>
        </w:numPr>
      </w:pPr>
      <w:r>
        <w:t>RCP8,5 (Representative Concentration Pathway med en ökad nettoinstrålning på 8,5 W/m</w:t>
      </w:r>
      <w:r>
        <w:rPr>
          <w:vertAlign w:val="superscript"/>
        </w:rPr>
        <w:t>2</w:t>
      </w:r>
      <w:r>
        <w:t>) - fortsatt höga utsläpp av koldioxid</w:t>
      </w:r>
    </w:p>
    <w:p>
      <w:pPr>
        <w:pStyle w:val="P14"/>
      </w:pPr>
      <w:r>
        <w:t xml:space="preserve">Man har också tittat på snöns densitet. </w:t>
      </w:r>
    </w:p>
    <w:p>
      <w:pPr>
        <w:pStyle w:val="P14"/>
      </w:pPr>
      <w:r>
        <w:rPr>
          <w:noProof w:val="1"/>
        </w:rPr>
        <mc:AlternateContent>
          <mc:Choice Requires="wps">
            <w:drawing>
              <wp:anchor xmlns:wp="http://schemas.openxmlformats.org/drawingml/2006/wordprocessingDrawing" distT="45720" distB="45720" distL="114300" distR="114300" simplePos="0" relativeHeight="45" behindDoc="0" locked="0" layoutInCell="1" allowOverlap="1">
                <wp:simplePos x="0" y="0"/>
                <wp:positionH relativeFrom="column">
                  <wp:posOffset>2834640</wp:posOffset>
                </wp:positionH>
                <wp:positionV relativeFrom="paragraph">
                  <wp:posOffset>40005</wp:posOffset>
                </wp:positionV>
                <wp:extent cx="2360930" cy="1404620"/>
                <wp:effectExtent l="0" t="0" r="0" b="0"/>
                <wp:wrapSquare wrapText="bothSides"/>
                <wp:docPr id="91"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14"/>
                              <w:rPr>
                                <w:i w:val="1"/>
                                <w:iCs w:val="1"/>
                              </w:rPr>
                            </w:pPr>
                            <w:r>
                              <w:rPr>
                                <w:i w:val="1"/>
                                <w:iCs w:val="1"/>
                              </w:rPr>
                              <w:t>Figur 34, Typiska densiteter för olika snötyper. Källa: SMHI 2020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53" style="position:absolute;width:185.9pt;height:110.6pt;z-index:45;mso-wrap-distance-left:9pt;mso-wrap-distance-top:3.6pt;mso-wrap-distance-right:9pt;mso-wrap-distance-bottom:3.6pt;margin-left:223.2pt;margin-top:3.15pt;mso-position-horizontal:absolute;mso-position-horizontal-relative:text;mso-position-vertical:absolute;mso-position-vertical-relative:text;mso-width-relative:margin;mso-width-percent:400;mso-height-relative:margin;mso-height-percent:200" o:allowincell="t" filled="f" strokeweight="0.75pt" stroked="f">
                <v:textbox style="mso-fit-shape-to-text:t" inset="3mm,1mm,3mm,1mm">
                  <w:txbxContent>
                    <w:p>
                      <w:pPr>
                        <w:pStyle w:val="P14"/>
                        <w:rPr>
                          <w:i w:val="1"/>
                          <w:iCs w:val="1"/>
                        </w:rPr>
                      </w:pPr>
                      <w:r>
                        <w:rPr>
                          <w:i w:val="1"/>
                          <w:iCs w:val="1"/>
                        </w:rPr>
                        <w:t>Figur 34, Typiska densiteter för olika snötyper. Källa: SMHI 2020</w:t>
                      </w:r>
                    </w:p>
                  </w:txbxContent>
                </v:textbox>
                <w10:wrap type="square"/>
              </v:shape>
            </w:pict>
          </mc:Fallback>
        </mc:AlternateContent>
      </w:r>
      <w:r>
        <w:rPr>
          <w:noProof w:val="1"/>
        </w:rPr>
        <w:drawing>
          <wp:anchor xmlns:wp="http://schemas.openxmlformats.org/drawingml/2006/wordprocessingDrawing" distT="0" distB="0" distL="114300" distR="114300" simplePos="0" relativeHeight="46" behindDoc="0" locked="0" layoutInCell="1" allowOverlap="1">
            <wp:simplePos x="0" y="0"/>
            <wp:positionH relativeFrom="margin">
              <wp:align>left</wp:align>
            </wp:positionH>
            <wp:positionV relativeFrom="paragraph">
              <wp:posOffset>5715</wp:posOffset>
            </wp:positionV>
            <wp:extent cx="2609850" cy="1743075"/>
            <wp:effectExtent l="19050" t="19050" r="19050" b="28575"/>
            <wp:wrapThrough wrapText="bothSides">
              <wp:wrapPolygon edited="0">
                <wp:start x="-158" y="-236"/>
                <wp:lineTo x="-158" y="21718"/>
                <wp:lineTo x="21600" y="21718"/>
                <wp:lineTo x="21600" y="-236"/>
                <wp:lineTo x="-158" y="-236"/>
              </wp:wrapPolygon>
            </wp:wrapThrough>
            <wp:docPr id="88" name="Bildobjekt 88"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Bildobjekt 88" descr="En bild som visar bord&#10;&#10;Automatiskt genererad beskrivning"/>
                    <pic:cNvPicPr/>
                  </pic:nvPicPr>
                  <pic:blipFill dpi="0">
                    <a:blip xmlns:r="http://schemas.openxmlformats.org/officeDocument/2006/relationships" r:embed="Relimage36"/>
                    <a:srcRect/>
                    <a:stretch>
                      <a:fillRect/>
                    </a:stretch>
                  </pic:blipFill>
                  <pic:spPr>
                    <a:xfrm>
                      <a:off x="0" y="0"/>
                      <a:ext cx="2609850" cy="1743075"/>
                    </a:xfrm>
                    <a:prstGeom prst="rect"/>
                    <a:ln>
                      <a:solidFill>
                        <a:schemeClr val="tx1"/>
                      </a:solidFill>
                    </a:ln>
                  </pic:spPr>
                </pic:pic>
              </a:graphicData>
            </a:graphic>
          </wp:anchor>
        </w:drawing>
      </w:r>
    </w:p>
    <w:p>
      <w:pPr>
        <w:pStyle w:val="P14"/>
      </w:pPr>
    </w:p>
    <w:p>
      <w:pPr>
        <w:pStyle w:val="P14"/>
      </w:pPr>
    </w:p>
    <w:p>
      <w:pPr>
        <w:pStyle w:val="P14"/>
      </w:pPr>
    </w:p>
    <w:p>
      <w:pPr>
        <w:pStyle w:val="P14"/>
      </w:pPr>
    </w:p>
    <w:p>
      <w:pPr>
        <w:pStyle w:val="P14"/>
      </w:pPr>
    </w:p>
    <w:p>
      <w:pPr>
        <w:pStyle w:val="P14"/>
      </w:pPr>
    </w:p>
    <w:p>
      <w:pPr>
        <w:pStyle w:val="P14"/>
      </w:pPr>
      <w:r>
        <w:t xml:space="preserve">Eftersom snöförhållandena kan variera kraftigt mellan olika år och beroende på lokala terrängförhållanden har man valt att beskriva medelvärden för snöförhållanden under 30 års-perioder och för områden med omkring 10–50 kvadratkilometers storlek. </w:t>
      </w:r>
    </w:p>
    <w:p>
      <w:pPr>
        <w:pStyle w:val="P14"/>
      </w:pPr>
      <w:r>
        <w:t xml:space="preserve">Skillnaderna i snöförhållanden över de sju nordligaste länen, samt mellan kusten och fjälltrakterna, är stora. De resultat som har tagits fram i denna studie har endast analyserats översiktligt, sett till hela det studerade området. Detaljerade analyser av förhållandena på en mer lokal skala kan dock göras utifrån befintliga resultat. </w:t>
      </w:r>
    </w:p>
    <w:p>
      <w:pPr>
        <w:pStyle w:val="P14"/>
      </w:pPr>
      <w:r>
        <w:t xml:space="preserve">Denna typ av modellberäkningar för framtida klimat alltid innebär stora osäkerheter. Osäkerheterna kan delvis ses i form av olika resultat för olika utsläppsscenarier, men det finns också en mängd andra osäkerheter i hela beräkningskedjan. Resultaten visar därmed inte exakt hur det kommer att bli, men kan ses som bästa möjliga indikatorer på framtida förhållanden utifrån dagens kunskapsläge. </w:t>
      </w:r>
    </w:p>
    <w:p>
      <w:pPr>
        <w:pStyle w:val="P14"/>
        <w:numPr>
          <w:ilvl w:val="0"/>
          <w:numId w:val="42"/>
        </w:numPr>
      </w:pPr>
      <w:r>
        <w:t>Medelsnödjupen minskar framöver kraftigt i nästan hela området och minskningar sker under hela snöperioden. Störst minskningar av snödjupen väntas vid slutet av seklet. Dessa resultat gäller för båda utsläppsscenarierna, men med störst minskningar för det högre scenariot RCP8,5.</w:t>
      </w:r>
    </w:p>
    <w:p>
      <w:pPr>
        <w:pStyle w:val="P14"/>
        <w:numPr>
          <w:ilvl w:val="0"/>
          <w:numId w:val="42"/>
        </w:numPr>
      </w:pPr>
      <w:r>
        <w:t xml:space="preserve">Minskningarna (i cm) är störst under senvintern i de västligaste fjällen (som mest över 100 cm för RCP8,5), men även stora längs Norrlandskusten, i de inre delarna av Jämtlands och Västerbottens län samt i norra Värmlands och mellersta Dalarnas län </w:t>
      </w:r>
    </w:p>
    <w:p>
      <w:pPr>
        <w:pStyle w:val="P14"/>
        <w:numPr>
          <w:ilvl w:val="0"/>
          <w:numId w:val="42"/>
        </w:numPr>
      </w:pPr>
      <w:r>
        <w:t xml:space="preserve">Minskningarna (i %) är störst i de södra områdena samt längs Norrlandskusten (som mest 85% minskning av största medelsnödjupet för RCP8,5) </w:t>
      </w:r>
    </w:p>
    <w:p>
      <w:pPr>
        <w:pStyle w:val="P14"/>
        <w:numPr>
          <w:ilvl w:val="0"/>
          <w:numId w:val="42"/>
        </w:numPr>
      </w:pPr>
      <w:r>
        <w:t xml:space="preserve">Både det maximala och minimala månadssnödjupet minskar framöver i stora delar av området. Störst minskningar av snödjupen väntas vid slutet av seklet. Dessa resultat gäller för båda utsläppsscenarierna, men med störst minskningar för det högre scenariot RCP8,5. </w:t>
      </w:r>
    </w:p>
    <w:p>
      <w:pPr>
        <w:pStyle w:val="P14"/>
        <w:numPr>
          <w:ilvl w:val="0"/>
          <w:numId w:val="42"/>
        </w:numPr>
      </w:pPr>
      <w:r>
        <w:t xml:space="preserve">Antalet dagar per år med snötäcke över 40 respektive 60 mm vatteninnehåll minskar framöver kraftigt i nästan hela området. Störst minskningar av antal dagar väntas vid slutet av seklet. Dessa resultat gäller för båda utsläppsscenarierna, men med störst minskningar för det högre scenariot RCP8,5. </w:t>
      </w:r>
    </w:p>
    <w:p>
      <w:pPr>
        <w:pStyle w:val="P14"/>
        <w:numPr>
          <w:ilvl w:val="0"/>
          <w:numId w:val="42"/>
        </w:numPr>
      </w:pPr>
      <w:r>
        <w:t xml:space="preserve">Minskningarna är störst i de sydliga fjällen, i inlandet samt längs Norrlandskusten (över 60 dagar för RCP8,5) </w:t>
      </w:r>
    </w:p>
    <w:p>
      <w:pPr>
        <w:pStyle w:val="P14"/>
        <w:numPr>
          <w:ilvl w:val="0"/>
          <w:numId w:val="42"/>
        </w:numPr>
      </w:pPr>
      <w:r>
        <w:t xml:space="preserve">Antalet dagar per år med snödjup över 5 cm, 50 cm respektive 100 cm minskar kraftigt i samtliga 16 studerade områden. Störst minskningar av antal dagar väntas vid slutet av seklet. Dessa resultat gäller för båda utsläppsscenarierna, men med störst minskningar för det högre scenariot RCP8,5. </w:t>
      </w:r>
    </w:p>
    <w:p>
      <w:pPr>
        <w:pStyle w:val="P14"/>
        <w:numPr>
          <w:ilvl w:val="0"/>
          <w:numId w:val="42"/>
        </w:numPr>
      </w:pPr>
      <w:r>
        <w:t xml:space="preserve">Minskningarna (i %) är allra störst för snödjup över 100 cm (70% eller mer för RCP8,5), följt av snödjup över 50 cm (30% eller mer3 för RCP8,5) och minst för snödjup över 5 cm (15–80% för RCP8,5) </w:t>
      </w:r>
    </w:p>
    <w:p>
      <w:pPr>
        <w:pStyle w:val="P14"/>
        <w:numPr>
          <w:ilvl w:val="0"/>
          <w:numId w:val="42"/>
        </w:numPr>
      </w:pPr>
      <w:r>
        <w:t>Minskningarna är störst i söder samt längs Norrlandskusten.</w:t>
      </w:r>
    </w:p>
    <w:p>
      <w:pPr>
        <w:pStyle w:val="P14"/>
        <w:numPr>
          <w:ilvl w:val="0"/>
          <w:numId w:val="42"/>
        </w:numPr>
      </w:pPr>
      <w:r>
        <w:t xml:space="preserve">Antal växlingar från dygn med minusgrader till dygn med plusgrader väntas till slutet av seklet minska något i de sydligaste delarna, vara oförändrat längs Norrlandskusten och öka i de inre delarna av norra Sverige </w:t>
      </w:r>
    </w:p>
    <w:p>
      <w:pPr>
        <w:pStyle w:val="P14"/>
        <w:numPr>
          <w:ilvl w:val="0"/>
          <w:numId w:val="42"/>
        </w:numPr>
      </w:pPr>
      <w:r>
        <w:t xml:space="preserve">Ändringarna är generellt större för RCP8,5 än för RCP4,5 </w:t>
      </w:r>
    </w:p>
    <w:p>
      <w:pPr>
        <w:pStyle w:val="P14"/>
        <w:numPr>
          <w:ilvl w:val="0"/>
          <w:numId w:val="42"/>
        </w:numPr>
      </w:pPr>
      <w:r>
        <w:t xml:space="preserve">Snöns medeldensitet väntas till slutet av seklet generellt minska för ett specifikt datum under vintern. Detta gäller för båda utsläppsscenarierna, men med störst minskningar för det högre scenariot RCP8,5. </w:t>
      </w:r>
    </w:p>
    <w:p>
      <w:pPr>
        <w:pStyle w:val="P14"/>
        <w:numPr>
          <w:ilvl w:val="0"/>
          <w:numId w:val="42"/>
        </w:numPr>
      </w:pPr>
      <w:r>
        <w:t xml:space="preserve">Minskningarna är störst i de södra delarna samt längs Norrlandskusten (som mest 40% för RCP8,5) </w:t>
      </w:r>
    </w:p>
    <w:p>
      <w:pPr>
        <w:pStyle w:val="P14"/>
        <w:numPr>
          <w:ilvl w:val="0"/>
          <w:numId w:val="42"/>
        </w:numPr>
      </w:pPr>
      <w:r>
        <w:t xml:space="preserve">Den lägre densiteten bedöms främst bero på att snötäcket är tunnare än under referensperioden och att tillkommande fluffig nysnö blir en större andel av snötäcket </w:t>
      </w:r>
    </w:p>
    <w:p>
      <w:pPr>
        <w:pStyle w:val="P14"/>
        <w:numPr>
          <w:ilvl w:val="0"/>
          <w:numId w:val="42"/>
        </w:numPr>
      </w:pPr>
      <w:r>
        <w:t xml:space="preserve">I de fjällnära områdena väntas dock en snabbare kompaktering i slutet av vintrarna vid slutet av seklet, vilken då kan leda till något ökade medeldensiteter </w:t>
      </w:r>
    </w:p>
    <w:p>
      <w:pPr>
        <w:pStyle w:val="P14"/>
        <w:numPr>
          <w:ilvl w:val="0"/>
          <w:numId w:val="42"/>
        </w:numPr>
      </w:pPr>
      <w:r>
        <w:t xml:space="preserve">Den snabbare kompakteringen kan ha ett samband med ökat antal växlingar från dygn med minusgrader till dygn med plusgrader </w:t>
      </w:r>
    </w:p>
    <w:p>
      <w:pPr>
        <w:pStyle w:val="P14"/>
        <w:numPr>
          <w:ilvl w:val="0"/>
          <w:numId w:val="42"/>
        </w:numPr>
      </w:pPr>
      <w:r>
        <w:t xml:space="preserve">Det finns dock stor osäkerhet i resultaten för snöns densitet i ett framtida klimat. Detta delvis på grund av att metoden för kompaktering av snön i den hydrologiska modellen kan vara sämre anpassad för att beskriva milda vintrar med snabba växlingar mellan nysnö och töväder. </w:t>
      </w:r>
    </w:p>
    <w:p>
      <w:pPr>
        <w:pStyle w:val="P14"/>
        <w:ind w:left="360"/>
      </w:pPr>
      <w:r>
        <w:rPr>
          <w:noProof w:val="1"/>
        </w:rPr>
        <w:drawing>
          <wp:anchor xmlns:wp="http://schemas.openxmlformats.org/drawingml/2006/wordprocessingDrawing" distT="0" distB="0" distL="114300" distR="114300" simplePos="0" relativeHeight="47" behindDoc="0" locked="0" layoutInCell="1" allowOverlap="1">
            <wp:simplePos x="0" y="0"/>
            <wp:positionH relativeFrom="column">
              <wp:posOffset>22860</wp:posOffset>
            </wp:positionH>
            <wp:positionV relativeFrom="paragraph">
              <wp:posOffset>697865</wp:posOffset>
            </wp:positionV>
            <wp:extent cx="6228080" cy="3105150"/>
            <wp:effectExtent l="0" t="0" r="1270" b="0"/>
            <wp:wrapTopAndBottom/>
            <wp:docPr id="197" name="Bildobjekt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7"/>
                    <pic:cNvPicPr/>
                  </pic:nvPicPr>
                  <pic:blipFill dpi="0">
                    <a:blip xmlns:r="http://schemas.openxmlformats.org/officeDocument/2006/relationships" r:embed="Relimage37"/>
                    <a:srcRect/>
                    <a:stretch>
                      <a:fillRect/>
                    </a:stretch>
                  </pic:blipFill>
                  <pic:spPr>
                    <a:xfrm>
                      <a:off x="0" y="0"/>
                      <a:ext cx="6228080" cy="3105150"/>
                    </a:xfrm>
                    <a:prstGeom prst="rect"/>
                  </pic:spPr>
                </pic:pic>
              </a:graphicData>
            </a:graphic>
          </wp:anchor>
        </w:drawing>
      </w:r>
      <w:r>
        <w:t>För Länsstyrelsernas räkningar har kartor över uppskattade förändringar i snömängderna tagits fram för att redovisa förhållanden under de olika referensperioderna med jämförelse för månaderna januari, mars, maj och november.</w:t>
      </w:r>
    </w:p>
    <w:p>
      <w:pPr>
        <w:pStyle w:val="P14"/>
        <w:rPr>
          <w:i w:val="1"/>
          <w:iCs w:val="1"/>
        </w:rPr>
      </w:pPr>
      <w:r>
        <w:rPr>
          <w:i w:val="1"/>
          <w:iCs w:val="1"/>
        </w:rPr>
        <w:t>Figur 35, Kartbilderna ovan visar de olika snömedeldjupen över tid.</w:t>
      </w:r>
    </w:p>
    <w:p>
      <w:pPr>
        <w:pStyle w:val="P14"/>
      </w:pPr>
      <w:r>
        <w:rPr>
          <w:noProof w:val="1"/>
        </w:rPr>
        <w:drawing>
          <wp:anchor xmlns:wp="http://schemas.openxmlformats.org/drawingml/2006/wordprocessingDrawing" distT="0" distB="0" distL="114300" distR="114300" simplePos="0" relativeHeight="48" behindDoc="0" locked="0" layoutInCell="1" allowOverlap="1">
            <wp:simplePos x="0" y="0"/>
            <wp:positionH relativeFrom="margin">
              <wp:align>left</wp:align>
            </wp:positionH>
            <wp:positionV relativeFrom="paragraph">
              <wp:posOffset>449580</wp:posOffset>
            </wp:positionV>
            <wp:extent cx="5305425" cy="2580005"/>
            <wp:effectExtent l="0" t="0" r="9525" b="0"/>
            <wp:wrapTopAndBottom/>
            <wp:docPr id="195" name="Bildobjekt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8"/>
                    <pic:cNvPicPr/>
                  </pic:nvPicPr>
                  <pic:blipFill dpi="0">
                    <a:blip xmlns:r="http://schemas.openxmlformats.org/officeDocument/2006/relationships" r:embed="Relimage38"/>
                    <a:srcRect/>
                    <a:stretch>
                      <a:fillRect/>
                    </a:stretch>
                  </pic:blipFill>
                  <pic:spPr>
                    <a:xfrm>
                      <a:off x="0" y="0"/>
                      <a:ext cx="5305425" cy="2580005"/>
                    </a:xfrm>
                    <a:prstGeom prst="rect"/>
                  </pic:spPr>
                </pic:pic>
              </a:graphicData>
            </a:graphic>
          </wp:anchor>
        </w:drawing>
      </w:r>
      <w:r>
        <w:t>Snödjupets variationer över året i slutet av seklet har redovisats i grafer för Katterjåkk, Luleå och Jokkmokk.</w:t>
      </w:r>
    </w:p>
    <w:p>
      <w:pPr>
        <w:pStyle w:val="P14"/>
        <w:rPr>
          <w:i w:val="1"/>
          <w:iCs w:val="1"/>
        </w:rPr>
      </w:pPr>
      <w:r>
        <w:rPr>
          <w:i w:val="1"/>
          <w:iCs w:val="1"/>
        </w:rPr>
        <w:t>Figur 36, Graferna ovan visar de olika variationerna i snömedeldjupen vid RCP 4,5 och RCP 8,5 jämfört med referensperioden 1963 - 1992</w:t>
      </w:r>
    </w:p>
    <w:p>
      <w:pPr>
        <w:pStyle w:val="P15"/>
      </w:pPr>
      <w:bookmarkEnd w:id="149"/>
      <w:bookmarkStart w:id="150" w:name="_Toc143176940"/>
      <w:bookmarkStart w:id="151" w:name="pf_kulturmiljövård02"/>
      <w:r>
        <w:t>Kulturmiljö</w:t>
      </w:r>
      <w:bookmarkEnd w:id="150"/>
    </w:p>
    <w:p>
      <w:pPr>
        <w:pStyle w:val="P16"/>
      </w:pPr>
      <w:bookmarkEnd w:id="151"/>
      <w:bookmarkStart w:id="152" w:name="_Toc143176941"/>
      <w:r>
        <w:t>Fornlämningar</w:t>
      </w:r>
      <w:bookmarkEnd w:id="152"/>
    </w:p>
    <w:p>
      <w:pPr>
        <w:spacing w:lineRule="exact" w:line="300" w:after="160" w:beforeAutospacing="0" w:afterAutospacing="0"/>
        <w:rPr>
          <w:rFonts w:ascii="Georgia" w:hAnsi="Georgia" w:cs="Lucida Grande"/>
          <w:sz w:val="22"/>
          <w:szCs w:val="22"/>
        </w:rPr>
      </w:pPr>
      <w:bookmarkStart w:id="153" w:name="pf_fornlämningar01"/>
      <w:bookmarkStart w:id="154" w:name="pf_kulturmiljövård03"/>
      <w:r>
        <w:rPr>
          <w:rFonts w:ascii="Georgia" w:hAnsi="Georgia" w:cs="Lucida Grande"/>
          <w:sz w:val="22"/>
          <w:szCs w:val="22"/>
        </w:rPr>
        <w:t>Inom planområdet finns en fornlämning; en barktäkt (</w:t>
      </w:r>
      <w:r>
        <w:rPr>
          <w:rFonts w:ascii="Georgia" w:hAnsi="Georgia" w:cs="Lucida Grande"/>
          <w:i w:val="1"/>
          <w:sz w:val="22"/>
          <w:szCs w:val="22"/>
        </w:rPr>
        <w:t>arkeologisk utredning, Rapport kirunaprojektet ny järnväg 200</w:t>
      </w:r>
      <w:r>
        <w:rPr>
          <w:rFonts w:ascii="Georgia" w:hAnsi="Georgia" w:cs="Lucida Grande"/>
          <w:sz w:val="22"/>
          <w:szCs w:val="22"/>
        </w:rPr>
        <w:t xml:space="preserve">5). </w:t>
      </w:r>
      <w:r>
        <w:rPr>
          <w:rFonts w:ascii="Georgia" w:hAnsi="Georgia"/>
          <w:sz w:val="22"/>
          <w:szCs w:val="22"/>
        </w:rPr>
        <w:t xml:space="preserve">Denna ska inlemmas i den parkmiljö som ska skapas i begravningsplatsen och bevaras. </w:t>
      </w:r>
      <w:r>
        <w:rPr>
          <w:rFonts w:ascii="Georgia" w:hAnsi="Georgia" w:cs="Lucida Grande"/>
          <w:sz w:val="22"/>
          <w:szCs w:val="22"/>
        </w:rPr>
        <w:t>Då trädet är en fornlämning skyddas det av kulturmiljölagen och tillstånd för ingrepp i en sådan kräver tillstånd.</w:t>
      </w:r>
    </w:p>
    <w:p>
      <w:pPr>
        <w:pStyle w:val="P14"/>
      </w:pPr>
      <w:r>
        <w:rPr>
          <w:rStyle w:val="C6"/>
          <w:noProof w:val="1"/>
        </w:rPr>
        <mc:AlternateContent>
          <mc:Choice Requires="wps">
            <w:drawing>
              <wp:anchor xmlns:wp="http://schemas.openxmlformats.org/drawingml/2006/wordprocessingDrawing" distT="45720" distB="45720" distL="114300" distR="114300" simplePos="0" relativeHeight="49" behindDoc="0" locked="0" layoutInCell="1" allowOverlap="1">
                <wp:simplePos x="0" y="0"/>
                <wp:positionH relativeFrom="page">
                  <wp:posOffset>3644265</wp:posOffset>
                </wp:positionH>
                <wp:positionV relativeFrom="paragraph">
                  <wp:posOffset>2256790</wp:posOffset>
                </wp:positionV>
                <wp:extent cx="2360930" cy="1404620"/>
                <wp:effectExtent l="0" t="0" r="0" b="0"/>
                <wp:wrapSquare wrapText="bothSides"/>
                <wp:docPr id="220"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Georgia" w:hAnsi="Georgia"/>
                                <w:i w:val="1"/>
                                <w:iCs w:val="1"/>
                                <w:sz w:val="22"/>
                                <w:szCs w:val="22"/>
                              </w:rPr>
                            </w:pPr>
                            <w:r>
                              <w:rPr>
                                <w:rFonts w:ascii="Georgia" w:hAnsi="Georgia"/>
                                <w:i w:val="1"/>
                                <w:iCs w:val="1"/>
                                <w:sz w:val="22"/>
                                <w:szCs w:val="22"/>
                              </w:rPr>
                              <w:t>Figur 30, De gröna prickarna markerar barktäkten och bläckningarna. Den röda linjen markerar planområdet.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54" style="position:absolute;width:185.9pt;height:110.6pt;z-index:49;mso-wrap-distance-left:9pt;mso-wrap-distance-top:3.6pt;mso-wrap-distance-right:9pt;mso-wrap-distance-bottom:3.6pt;margin-left:286.95pt;margin-top:177.7pt;mso-position-horizontal:absolute;mso-position-horizontal-relative:page;mso-position-vertical:absolute;mso-position-vertical-relative:text;mso-width-relative:margin;mso-width-percent:400;mso-height-relative:margin;mso-height-percent:200" o:allowincell="t" filled="f" strokeweight="0.75pt" stroked="f">
                <v:textbox style="mso-fit-shape-to-text:t" inset="3mm,1mm,3mm,1mm">
                  <w:txbxContent>
                    <w:p>
                      <w:pPr>
                        <w:rPr>
                          <w:rFonts w:ascii="Georgia" w:hAnsi="Georgia"/>
                          <w:i w:val="1"/>
                          <w:iCs w:val="1"/>
                          <w:sz w:val="22"/>
                          <w:szCs w:val="22"/>
                        </w:rPr>
                      </w:pPr>
                      <w:r>
                        <w:rPr>
                          <w:rFonts w:ascii="Georgia" w:hAnsi="Georgia"/>
                          <w:i w:val="1"/>
                          <w:iCs w:val="1"/>
                          <w:sz w:val="22"/>
                          <w:szCs w:val="22"/>
                        </w:rPr>
                        <w:t>Figur 30, De gröna prickarna markerar barktäkten och bläckningarna. Den röda linjen markerar planområdet.</w:t>
                      </w:r>
                    </w:p>
                  </w:txbxContent>
                </v:textbox>
                <w10:wrap type="square"/>
              </v:shape>
            </w:pict>
          </mc:Fallback>
        </mc:AlternateContent>
      </w:r>
      <w:r>
        <w:rPr>
          <w:noProof w:val="1"/>
        </w:rPr>
        <w:drawing>
          <wp:anchor xmlns:wp="http://schemas.openxmlformats.org/drawingml/2006/wordprocessingDrawing" distT="0" distB="0" distL="114300" distR="114300" simplePos="0" relativeHeight="50" behindDoc="0" locked="0" layoutInCell="1" allowOverlap="1">
            <wp:simplePos x="0" y="0"/>
            <wp:positionH relativeFrom="margin">
              <wp:align>left</wp:align>
            </wp:positionH>
            <wp:positionV relativeFrom="paragraph">
              <wp:posOffset>658495</wp:posOffset>
            </wp:positionV>
            <wp:extent cx="2676525" cy="2359025"/>
            <wp:effectExtent l="0" t="0" r="0" b="3175"/>
            <wp:wrapTopAndBottom/>
            <wp:docPr id="64" name="Bildobjekt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9"/>
                    <pic:cNvPicPr/>
                  </pic:nvPicPr>
                  <pic:blipFill dpi="0">
                    <a:blip xmlns:r="http://schemas.openxmlformats.org/officeDocument/2006/relationships" r:embed="Relimage39" cstate="print"/>
                    <a:srcRect/>
                    <a:stretch>
                      <a:fillRect/>
                    </a:stretch>
                  </pic:blipFill>
                  <pic:spPr>
                    <a:xfrm>
                      <a:off x="0" y="0"/>
                      <a:ext cx="2680185" cy="2362456"/>
                    </a:xfrm>
                    <a:prstGeom prst="rect"/>
                  </pic:spPr>
                </pic:pic>
              </a:graphicData>
            </a:graphic>
          </wp:anchor>
        </w:drawing>
      </w:r>
      <w:r>
        <w:t>Direkt utanför planområdet finns två bläckningar. Trädet som ligger inom planområdet har fått ett särskilt skydd i plankartan: Trädet får endast fällas om det är sjukt eller skadat, n1. Ett område har lagts ut runt träd för att undvika att rotsystemet skadas.</w:t>
      </w:r>
    </w:p>
    <w:p>
      <w:pPr>
        <w:pStyle w:val="P14"/>
      </w:pPr>
    </w:p>
    <w:p>
      <w:pPr>
        <w:pStyle w:val="P16"/>
      </w:pPr>
      <w:bookmarkEnd w:id="153"/>
      <w:bookmarkEnd w:id="154"/>
      <w:bookmarkStart w:id="155" w:name="_Toc143176942"/>
      <w:r>
        <w:t>Kyrkligt kulturarv</w:t>
      </w:r>
      <w:bookmarkEnd w:id="155"/>
    </w:p>
    <w:p>
      <w:pPr>
        <w:pStyle w:val="P14"/>
      </w:pPr>
      <w:bookmarkStart w:id="156" w:name="pf_kyrkligtkulturarv01"/>
      <w:bookmarkStart w:id="157" w:name="pf_kulturmiljövård04"/>
      <w:r>
        <w:t xml:space="preserve">Inom planområdet kommer nya byggnader att uppföras som nyttjas av kyrkan så som krematorium, kapell m m. I samband med att dessa funktioner rivs på sin nuvarande placering har Kiruna pastorat för avsikt att tillvara ta konstverk och utsmyckningar i den mån det är möjligt för att återanvända i gestaltningen av det nya området. </w:t>
      </w:r>
    </w:p>
    <w:p>
      <w:pPr>
        <w:pStyle w:val="P15"/>
      </w:pPr>
      <w:bookmarkEnd w:id="156"/>
      <w:bookmarkEnd w:id="157"/>
      <w:bookmarkStart w:id="158" w:name="_Toc143176943"/>
      <w:r>
        <w:t>Natur</w:t>
      </w:r>
      <w:bookmarkEnd w:id="158"/>
    </w:p>
    <w:p>
      <w:pPr>
        <w:pStyle w:val="P16"/>
      </w:pPr>
      <w:bookmarkStart w:id="159" w:name="_Toc143176944"/>
      <w:r>
        <w:t>Mark, vegetation och djurliv</w:t>
      </w:r>
      <w:bookmarkEnd w:id="159"/>
      <w:r>
        <w:br w:type="textWrapping"/>
      </w:r>
    </w:p>
    <w:p>
      <w:pPr>
        <w:rPr>
          <w:rFonts w:ascii="Lucida Sans" w:hAnsi="Lucida Sans"/>
          <w:b w:val="1"/>
          <w:sz w:val="22"/>
          <w:szCs w:val="22"/>
        </w:rPr>
      </w:pPr>
      <w:r>
        <w:br w:type="page"/>
      </w:r>
    </w:p>
    <w:p>
      <w:pPr>
        <w:pStyle w:val="P14"/>
      </w:pPr>
      <w:r>
        <w:t>Området är inte tidigare exploaterat utan består av naturmark med tall, gran och björk. Markskiktet innehåller av blåbär, kråkbär och lingon. Husmossa förekommer också.</w:t>
      </w:r>
    </w:p>
    <w:p>
      <w:pPr>
        <w:pStyle w:val="P14"/>
      </w:pPr>
      <w:r>
        <w:t>En naturvärdesinventering för planområdets tidigaste utformning utfördes under juli månad 2021. Då påträffades enstaka skyddade arter och ett femtiotal skyddsvärda träd. Planområdet har sedan dess utökats och behov av utökning av naturvärdesinventeringen ses över till granskning.</w:t>
      </w:r>
    </w:p>
    <w:p>
      <w:pPr>
        <w:rPr>
          <w:rFonts w:ascii="Georgia" w:hAnsi="Georgia"/>
          <w:sz w:val="22"/>
          <w:szCs w:val="22"/>
        </w:rPr>
      </w:pPr>
      <w:r>
        <w:rPr>
          <w:rFonts w:ascii="Georgia" w:hAnsi="Georgia"/>
          <w:noProof w:val="1"/>
          <w:sz w:val="22"/>
          <w:szCs w:val="22"/>
          <w:lang w:eastAsia="sv-SE"/>
        </w:rPr>
        <w:drawing>
          <wp:inline xmlns:wp="http://schemas.openxmlformats.org/drawingml/2006/wordprocessingDrawing" distT="0" distB="0" distL="0" distR="0">
            <wp:extent cx="5396230" cy="4834890"/>
            <wp:effectExtent l="0" t="0" r="0" b="3810"/>
            <wp:docPr id="65" name="Bildobjekt 65" descr="En bild som visar bor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En bild som visar bord&#10;&#10;Automatiskt genererad beskrivning"/>
                    <pic:cNvPicPr/>
                  </pic:nvPicPr>
                  <pic:blipFill dpi="0">
                    <a:blip xmlns:r="http://schemas.openxmlformats.org/officeDocument/2006/relationships" r:embed="Relimage40"/>
                    <a:srcRect/>
                    <a:stretch>
                      <a:fillRect/>
                    </a:stretch>
                  </pic:blipFill>
                  <pic:spPr>
                    <a:xfrm>
                      <a:off x="0" y="0"/>
                      <a:ext cx="5396230" cy="4834890"/>
                    </a:xfrm>
                    <a:prstGeom prst="rect"/>
                  </pic:spPr>
                </pic:pic>
              </a:graphicData>
            </a:graphic>
          </wp:inline>
        </w:drawing>
      </w:r>
    </w:p>
    <w:p>
      <w:pPr>
        <w:rPr>
          <w:rFonts w:ascii="Georgia" w:hAnsi="Georgia"/>
          <w:i w:val="1"/>
          <w:iCs w:val="1"/>
          <w:sz w:val="22"/>
          <w:szCs w:val="22"/>
        </w:rPr>
      </w:pPr>
      <w:bookmarkStart w:id="160" w:name="_Hlk97559189"/>
      <w:r>
        <w:rPr>
          <w:rFonts w:ascii="Georgia" w:hAnsi="Georgia"/>
          <w:i w:val="1"/>
          <w:iCs w:val="1"/>
          <w:sz w:val="22"/>
          <w:szCs w:val="22"/>
        </w:rPr>
        <w:t>Figur 37, Tabellen redovisas de påträffade skyddade arterna inom planområdet.</w:t>
      </w:r>
    </w:p>
    <w:p>
      <w:pPr>
        <w:rPr>
          <w:rFonts w:ascii="Georgia" w:hAnsi="Georgia"/>
          <w:sz w:val="22"/>
          <w:szCs w:val="22"/>
        </w:rPr>
      </w:pPr>
      <w:bookmarkEnd w:id="160"/>
    </w:p>
    <w:p>
      <w:pPr>
        <w:spacing w:lineRule="exact" w:line="300" w:after="160" w:beforeAutospacing="0" w:afterAutospacing="0"/>
        <w:rPr>
          <w:rFonts w:ascii="Georgia" w:hAnsi="Georgia" w:cs="Lucida Grande"/>
          <w:sz w:val="22"/>
          <w:szCs w:val="22"/>
        </w:rPr>
      </w:pPr>
      <w:r>
        <w:rPr>
          <w:rFonts w:ascii="Georgia" w:hAnsi="Georgia" w:cs="Lucida Grande"/>
          <w:sz w:val="22"/>
          <w:szCs w:val="22"/>
        </w:rPr>
        <w:t>Ovanstående arter påträffades inom planområdet. Kungsörnen flög dock endast över. Korp, talgoxe och bergfink häckade inom området. Skogsharen sågs i planområdets sydöstra delen</w:t>
      </w:r>
      <w:r>
        <w:rPr>
          <w:rFonts w:ascii="Georgia" w:hAnsi="Georgia" w:cs="Lucida Grande"/>
          <w:color w:val="FF0000"/>
          <w:sz w:val="22"/>
          <w:szCs w:val="22"/>
        </w:rPr>
        <w:t xml:space="preserve"> </w:t>
      </w:r>
      <w:r>
        <w:rPr>
          <w:rFonts w:ascii="Georgia" w:hAnsi="Georgia" w:cs="Lucida Grande"/>
          <w:sz w:val="22"/>
          <w:szCs w:val="22"/>
        </w:rPr>
        <w:t>och kan därför antas ha en boplats i närheten.</w:t>
      </w:r>
    </w:p>
    <w:p>
      <w:pPr>
        <w:spacing w:lineRule="exact" w:line="300" w:after="160" w:beforeAutospacing="0" w:afterAutospacing="0"/>
        <w:rPr>
          <w:rFonts w:ascii="Georgia" w:hAnsi="Georgia" w:cs="Lucida Grande"/>
          <w:sz w:val="22"/>
          <w:szCs w:val="22"/>
        </w:rPr>
      </w:pPr>
    </w:p>
    <w:p>
      <w:pPr>
        <w:pStyle w:val="P14"/>
      </w:pPr>
      <w:r>
        <w:rPr>
          <w:noProof w:val="1"/>
          <w:lang w:eastAsia="sv-SE"/>
        </w:rPr>
        <w:drawing>
          <wp:anchor xmlns:wp="http://schemas.openxmlformats.org/drawingml/2006/wordprocessingDrawing" distT="0" distB="0" distL="114300" distR="114300" simplePos="0" relativeHeight="51" behindDoc="0" locked="0" layoutInCell="1" allowOverlap="1">
            <wp:simplePos x="0" y="0"/>
            <wp:positionH relativeFrom="margin">
              <wp:align>right</wp:align>
            </wp:positionH>
            <wp:positionV relativeFrom="paragraph">
              <wp:posOffset>19050</wp:posOffset>
            </wp:positionV>
            <wp:extent cx="5929630" cy="4140835"/>
            <wp:effectExtent l="19050" t="19050" r="13970" b="12065"/>
            <wp:wrapTopAndBottom/>
            <wp:docPr id="68" name="Bildobjekt 68"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karta&#10;&#10;Automatiskt genererad beskrivning"/>
                    <pic:cNvPicPr/>
                  </pic:nvPicPr>
                  <pic:blipFill dpi="0">
                    <a:blip xmlns:r="http://schemas.openxmlformats.org/officeDocument/2006/relationships" r:embed="Relimage41"/>
                    <a:srcRect/>
                    <a:stretch>
                      <a:fillRect/>
                    </a:stretch>
                  </pic:blipFill>
                  <pic:spPr>
                    <a:xfrm>
                      <a:off x="0" y="0"/>
                      <a:ext cx="5929630" cy="4140835"/>
                    </a:xfrm>
                    <a:prstGeom prst="rect"/>
                    <a:ln>
                      <a:solidFill>
                        <a:schemeClr val="tx1"/>
                      </a:solidFill>
                    </a:ln>
                  </pic:spPr>
                </pic:pic>
              </a:graphicData>
            </a:graphic>
          </wp:anchor>
        </w:drawing>
      </w:r>
    </w:p>
    <w:p>
      <w:pPr>
        <w:pStyle w:val="P30"/>
        <w:rPr>
          <w:b w:val="1"/>
          <w:i w:val="1"/>
          <w:iCs w:val="1"/>
        </w:rPr>
      </w:pPr>
      <w:r>
        <w:rPr>
          <w:i w:val="1"/>
          <w:iCs w:val="1"/>
        </w:rPr>
        <w:t>Figur38, Förekomster av fågel och skogshare. Bilden visar planområdets tidigare utbredning, där nuvarande inventering genomförts.</w:t>
      </w:r>
    </w:p>
    <w:p>
      <w:pPr>
        <w:rPr>
          <w:rFonts w:ascii="Georgia" w:hAnsi="Georgia"/>
          <w:sz w:val="22"/>
          <w:szCs w:val="22"/>
        </w:rPr>
      </w:pPr>
    </w:p>
    <w:p>
      <w:pPr>
        <w:spacing w:lineRule="exact" w:line="300" w:after="160" w:beforeAutospacing="0" w:afterAutospacing="0"/>
        <w:rPr>
          <w:rFonts w:ascii="Georgia" w:hAnsi="Georgia"/>
          <w:sz w:val="22"/>
          <w:szCs w:val="22"/>
        </w:rPr>
      </w:pPr>
      <w:r>
        <w:rPr>
          <w:rFonts w:ascii="Georgia" w:hAnsi="Georgia"/>
          <w:noProof w:val="1"/>
          <w:sz w:val="22"/>
          <w:szCs w:val="22"/>
          <w:lang w:eastAsia="sv-SE"/>
        </w:rPr>
        <w:drawing>
          <wp:anchor xmlns:wp="http://schemas.openxmlformats.org/drawingml/2006/wordprocessingDrawing" distT="0" distB="0" distL="114300" distR="114300" simplePos="0" relativeHeight="52" behindDoc="0" locked="0" layoutInCell="1" allowOverlap="1">
            <wp:simplePos x="0" y="0"/>
            <wp:positionH relativeFrom="margin">
              <wp:posOffset>2056765</wp:posOffset>
            </wp:positionH>
            <wp:positionV relativeFrom="paragraph">
              <wp:posOffset>980440</wp:posOffset>
            </wp:positionV>
            <wp:extent cx="1625600" cy="2199005"/>
            <wp:effectExtent l="0" t="0" r="0" b="0"/>
            <wp:wrapTopAndBottom/>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42" cstate="print"/>
                    <a:srcRect/>
                    <a:stretch>
                      <a:fillRect/>
                    </a:stretch>
                  </pic:blipFill>
                  <pic:spPr bwMode="auto">
                    <a:xfrm>
                      <a:off x="0" y="0"/>
                      <a:ext cx="1625600" cy="2199005"/>
                    </a:xfrm>
                    <a:prstGeom prst="rect"/>
                    <a:noFill/>
                    <a:ln>
                      <a:noFill/>
                    </a:ln>
                  </pic:spPr>
                </pic:pic>
              </a:graphicData>
            </a:graphic>
          </wp:anchor>
        </w:drawing>
      </w:r>
      <w:r>
        <w:rPr>
          <w:rFonts w:ascii="Georgia" w:hAnsi="Georgia"/>
          <w:sz w:val="22"/>
          <w:szCs w:val="22"/>
        </w:rPr>
        <w:t>De skyddsvärda träd som identifierats under inventeringen är en gran och resterande tallar. Figur 13 nedan visar trädens placering.</w:t>
      </w:r>
      <w:r>
        <w:rPr>
          <w:rFonts w:ascii="Georgia" w:hAnsi="Georgia" w:cs="Georgia"/>
          <w:color w:val="000000"/>
          <w:sz w:val="18"/>
          <w:szCs w:val="18"/>
          <w:lang w:eastAsia="sv-SE"/>
        </w:rPr>
        <w:t xml:space="preserve"> </w:t>
      </w:r>
      <w:r>
        <w:rPr>
          <w:rFonts w:ascii="Georgia" w:hAnsi="Georgia"/>
          <w:sz w:val="22"/>
          <w:szCs w:val="22"/>
        </w:rPr>
        <w:t>Trädens äldre ålder har konstaterats utifrån storlek (höjd och diameter), barkens utseende samt grenarnas växtsätt.</w:t>
      </w:r>
    </w:p>
    <w:p>
      <w:pPr>
        <w:rPr>
          <w:rFonts w:ascii="Georgia" w:hAnsi="Georgia"/>
          <w:sz w:val="22"/>
          <w:szCs w:val="22"/>
        </w:rPr>
      </w:pPr>
      <w:r>
        <w:rPr>
          <w:rFonts w:ascii="Georgia" w:hAnsi="Georgia"/>
          <w:noProof w:val="1"/>
          <w:sz w:val="22"/>
          <w:szCs w:val="22"/>
          <w:lang w:eastAsia="sv-SE"/>
        </w:rPr>
        <w:drawing>
          <wp:anchor xmlns:wp="http://schemas.openxmlformats.org/drawingml/2006/wordprocessingDrawing" distT="0" distB="0" distL="114300" distR="114300" simplePos="0" relativeHeight="53" behindDoc="0" locked="0" layoutInCell="1" allowOverlap="1">
            <wp:simplePos x="0" y="0"/>
            <wp:positionH relativeFrom="column">
              <wp:posOffset>34290</wp:posOffset>
            </wp:positionH>
            <wp:positionV relativeFrom="paragraph">
              <wp:posOffset>250825</wp:posOffset>
            </wp:positionV>
            <wp:extent cx="1577975" cy="2247900"/>
            <wp:effectExtent l="0" t="0" r="3175" b="0"/>
            <wp:wrapTopAndBottom/>
            <wp:docPr id="192" name="Bildobjekt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43" cstate="print"/>
                    <a:srcRect/>
                    <a:stretch>
                      <a:fillRect/>
                    </a:stretch>
                  </pic:blipFill>
                  <pic:spPr bwMode="auto">
                    <a:xfrm>
                      <a:off x="0" y="0"/>
                      <a:ext cx="1577975" cy="2247900"/>
                    </a:xfrm>
                    <a:prstGeom prst="rect"/>
                    <a:noFill/>
                    <a:ln>
                      <a:noFill/>
                    </a:ln>
                  </pic:spPr>
                </pic:pic>
              </a:graphicData>
            </a:graphic>
          </wp:anchor>
        </w:drawing>
      </w:r>
      <w:r>
        <w:rPr>
          <w:rFonts w:ascii="Georgia" w:hAnsi="Georgia"/>
          <w:noProof w:val="1"/>
          <w:sz w:val="22"/>
          <w:szCs w:val="22"/>
          <w:lang w:eastAsia="sv-SE"/>
        </w:rPr>
        <mc:AlternateContent>
          <mc:Choice Requires="wps">
            <w:drawing>
              <wp:anchor xmlns:wp="http://schemas.openxmlformats.org/drawingml/2006/wordprocessingDrawing" distT="45720" distB="45720" distL="114300" distR="114300" simplePos="0" relativeHeight="54" behindDoc="0" locked="0" layoutInCell="1" allowOverlap="1">
                <wp:simplePos x="0" y="0"/>
                <wp:positionH relativeFrom="column">
                  <wp:posOffset>3637915</wp:posOffset>
                </wp:positionH>
                <wp:positionV relativeFrom="paragraph">
                  <wp:posOffset>1990090</wp:posOffset>
                </wp:positionV>
                <wp:extent cx="2360930" cy="1404620"/>
                <wp:effectExtent l="0" t="0" r="0" b="1270"/>
                <wp:wrapSquare wrapText="bothSides"/>
                <wp:docPr id="193" name="Textruta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noFill/>
                        <a:ln w="9525">
                          <a:no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iCs w:val="1"/>
                              </w:rPr>
                            </w:pPr>
                            <w:r>
                              <w:rPr>
                                <w:rFonts w:ascii="Georgia" w:hAnsi="Georgia"/>
                                <w:i w:val="1"/>
                                <w:iCs w:val="1"/>
                                <w:sz w:val="22"/>
                                <w:szCs w:val="22"/>
                              </w:rPr>
                              <w:t>Figur 39 och 40:</w:t>
                            </w:r>
                            <w:r>
                              <w:t xml:space="preserve"> </w:t>
                            </w:r>
                            <w:r>
                              <w:rPr>
                                <w:rFonts w:ascii="Georgia" w:hAnsi="Georgia"/>
                                <w:i w:val="1"/>
                                <w:iCs w:val="1"/>
                                <w:sz w:val="22"/>
                                <w:szCs w:val="22"/>
                              </w:rPr>
                              <w:t>Bilderna visar exempel på skyddsvärda träd</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xmlns:o="urn:schemas-microsoft-com:office:office" type="#_x0000_t202" id="Textruta 2" o:spid="_x0000_s1055" style="position:absolute;width:185.9pt;height:110.6pt;z-index:54;mso-wrap-distance-left:9pt;mso-wrap-distance-top:3.6pt;mso-wrap-distance-right:9pt;mso-wrap-distance-bottom:3.6pt;margin-left:286.45pt;margin-top:156.7pt;mso-position-horizontal:absolute;mso-position-horizontal-relative:text;mso-position-vertical:absolute;mso-position-vertical-relative:text;mso-width-relative:margin;mso-width-percent:400;mso-height-relative:margin;mso-height-percent:200" o:allowincell="t" filled="f" strokeweight="0.75pt" stroked="f">
                <v:textbox style="mso-fit-shape-to-text:t" inset="3mm,1mm,3mm,1mm">
                  <w:txbxContent>
                    <w:p>
                      <w:pPr>
                        <w:rPr>
                          <w:i w:val="1"/>
                          <w:iCs w:val="1"/>
                        </w:rPr>
                      </w:pPr>
                      <w:r>
                        <w:rPr>
                          <w:rFonts w:ascii="Georgia" w:hAnsi="Georgia"/>
                          <w:i w:val="1"/>
                          <w:iCs w:val="1"/>
                          <w:sz w:val="22"/>
                          <w:szCs w:val="22"/>
                        </w:rPr>
                        <w:t>Figur 39 och 40:</w:t>
                      </w:r>
                      <w:r>
                        <w:t xml:space="preserve"> </w:t>
                      </w:r>
                      <w:r>
                        <w:rPr>
                          <w:rFonts w:ascii="Georgia" w:hAnsi="Georgia"/>
                          <w:i w:val="1"/>
                          <w:iCs w:val="1"/>
                          <w:sz w:val="22"/>
                          <w:szCs w:val="22"/>
                        </w:rPr>
                        <w:t>Bilderna visar exempel på skyddsvärda träd</w:t>
                      </w:r>
                    </w:p>
                  </w:txbxContent>
                </v:textbox>
                <w10:wrap type="square"/>
              </v:shape>
            </w:pict>
          </mc:Fallback>
        </mc:AlternateContent>
      </w:r>
      <w:r>
        <w:rPr>
          <w:rFonts w:ascii="Georgia" w:hAnsi="Georgia"/>
          <w:sz w:val="22"/>
          <w:szCs w:val="22"/>
        </w:rPr>
        <w:t xml:space="preserve"> </w:t>
      </w:r>
    </w:p>
    <w:p>
      <w:pPr>
        <w:rPr>
          <w:rFonts w:ascii="Georgia" w:hAnsi="Georgia"/>
          <w:sz w:val="22"/>
          <w:szCs w:val="22"/>
        </w:rPr>
      </w:pPr>
      <w:r>
        <w:rPr>
          <w:rFonts w:ascii="Georgia" w:hAnsi="Georgia"/>
          <w:noProof w:val="1"/>
          <w:sz w:val="22"/>
          <w:szCs w:val="22"/>
          <w:lang w:eastAsia="sv-SE"/>
        </w:rPr>
        <w:drawing>
          <wp:anchor xmlns:wp="http://schemas.openxmlformats.org/drawingml/2006/wordprocessingDrawing" distT="0" distB="0" distL="114300" distR="114300" simplePos="0" relativeHeight="55" behindDoc="0" locked="0" layoutInCell="1" allowOverlap="1">
            <wp:simplePos x="0" y="0"/>
            <wp:positionH relativeFrom="margin">
              <wp:align>right</wp:align>
            </wp:positionH>
            <wp:positionV relativeFrom="paragraph">
              <wp:posOffset>233045</wp:posOffset>
            </wp:positionV>
            <wp:extent cx="5396230" cy="3717925"/>
            <wp:effectExtent l="19050" t="19050" r="13970" b="15875"/>
            <wp:wrapTopAndBottom/>
            <wp:docPr id="69" name="Bildobjekt 69"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objekt 29" descr="En bild som visar karta&#10;&#10;Automatiskt genererad beskrivning"/>
                    <pic:cNvPicPr/>
                  </pic:nvPicPr>
                  <pic:blipFill dpi="0">
                    <a:blip xmlns:r="http://schemas.openxmlformats.org/officeDocument/2006/relationships" r:embed="Relimage5"/>
                    <a:srcRect/>
                    <a:stretch>
                      <a:fillRect/>
                    </a:stretch>
                  </pic:blipFill>
                  <pic:spPr>
                    <a:xfrm>
                      <a:off x="0" y="0"/>
                      <a:ext cx="5396230" cy="3717925"/>
                    </a:xfrm>
                    <a:prstGeom prst="rect"/>
                    <a:ln>
                      <a:solidFill>
                        <a:schemeClr val="tx1"/>
                      </a:solidFill>
                    </a:ln>
                  </pic:spPr>
                </pic:pic>
              </a:graphicData>
            </a:graphic>
          </wp:anchor>
        </w:drawing>
      </w:r>
    </w:p>
    <w:p>
      <w:pPr>
        <w:rPr>
          <w:rFonts w:ascii="Georgia" w:hAnsi="Georgia"/>
          <w:b w:val="1"/>
          <w:i w:val="1"/>
          <w:iCs w:val="1"/>
          <w:sz w:val="22"/>
          <w:szCs w:val="22"/>
        </w:rPr>
      </w:pPr>
      <w:r>
        <w:rPr>
          <w:rFonts w:ascii="Georgia" w:hAnsi="Georgia"/>
          <w:i w:val="1"/>
          <w:iCs w:val="1"/>
          <w:sz w:val="22"/>
          <w:szCs w:val="22"/>
        </w:rPr>
        <w:t>Figur 41, Förekomster av skyddsvärda träd. Bilden visar planområdets tidigare utbredning, där nuvarande inventering genomförts.</w:t>
      </w:r>
    </w:p>
    <w:p>
      <w:pPr>
        <w:rPr>
          <w:rFonts w:ascii="Georgia" w:hAnsi="Georgia"/>
          <w:sz w:val="22"/>
          <w:szCs w:val="22"/>
        </w:rPr>
      </w:pPr>
    </w:p>
    <w:p>
      <w:pPr>
        <w:spacing w:lineRule="exact" w:line="300" w:after="160" w:beforeAutospacing="0" w:afterAutospacing="0"/>
        <w:rPr>
          <w:rFonts w:ascii="Georgia" w:hAnsi="Georgia"/>
          <w:sz w:val="22"/>
          <w:szCs w:val="22"/>
        </w:rPr>
      </w:pPr>
      <w:r>
        <w:rPr>
          <w:rFonts w:ascii="Georgia" w:hAnsi="Georgia"/>
          <w:sz w:val="22"/>
          <w:szCs w:val="22"/>
        </w:rPr>
        <w:t xml:space="preserve">Vid avverkning av trädbestånd kan lämnade träd som plötsligt blir utsatta för kraftigare vindar och lätt ta skada genom att brytas eller blåsa omkull. Träden som pekas ut som skyddsvärda i denna inventering är tydligt äldre än träden intill vilket skulle betyda att dessa träd påverkats av vind vid tidigare avverkning. Detta träd kan därmed med fördel sparas som växtlighet i en begravningsplats. Träden som pekas ut i denna inventering utgörs till största del av arten tall. Många arter av insekter lever på solbelysta äldre tallar. Genom att spara dessa träd samt avverka tilliggande träd kan man skapa biotoper för arter som kräver denna typ av miljö. </w:t>
      </w:r>
    </w:p>
    <w:p>
      <w:pPr>
        <w:spacing w:lineRule="exact" w:line="300" w:after="160" w:beforeAutospacing="0" w:afterAutospacing="0"/>
        <w:rPr>
          <w:rFonts w:ascii="Georgia" w:hAnsi="Georgia"/>
          <w:sz w:val="22"/>
          <w:szCs w:val="22"/>
        </w:rPr>
      </w:pPr>
      <w:r>
        <w:rPr>
          <w:rFonts w:ascii="Georgia" w:hAnsi="Georgia"/>
          <w:sz w:val="22"/>
          <w:szCs w:val="22"/>
        </w:rPr>
        <w:t>För att behålla biotoper för fåglar och skogsharen föreslås att låta fjällbjörk och enris växa i kanterna på begravningsplatsen.</w:t>
      </w:r>
    </w:p>
    <w:p>
      <w:pPr>
        <w:spacing w:lineRule="exact" w:line="300" w:after="160" w:beforeAutospacing="0" w:afterAutospacing="0"/>
        <w:rPr>
          <w:rFonts w:ascii="Georgia" w:hAnsi="Georgia"/>
          <w:sz w:val="22"/>
          <w:szCs w:val="22"/>
        </w:rPr>
      </w:pPr>
      <w:r>
        <w:rPr>
          <w:rFonts w:ascii="Georgia" w:hAnsi="Georgia"/>
          <w:sz w:val="22"/>
          <w:szCs w:val="22"/>
        </w:rPr>
        <w:t>Det är viktigt att de rekommendationer som tagits fram efterlevs för att bibehålla värdena i området och tillskapa en plats som är naturlig och rogivande.</w:t>
      </w:r>
    </w:p>
    <w:p>
      <w:pPr>
        <w:rPr>
          <w:rFonts w:ascii="Lucida Sans" w:hAnsi="Lucida Sans"/>
          <w:b w:val="1"/>
          <w:sz w:val="22"/>
          <w:szCs w:val="22"/>
        </w:rPr>
      </w:pPr>
      <w:r>
        <w:br w:type="page"/>
      </w:r>
    </w:p>
    <w:p>
      <w:pPr>
        <w:pStyle w:val="P16"/>
      </w:pPr>
      <w:bookmarkStart w:id="161" w:name="_Toc143176945"/>
      <w:r>
        <w:t>Landskap</w:t>
      </w:r>
      <w:bookmarkEnd w:id="161"/>
      <w:r>
        <w:br w:type="textWrapping"/>
      </w:r>
    </w:p>
    <w:p>
      <w:pPr>
        <w:pStyle w:val="P14"/>
      </w:pPr>
      <w:r>
        <w:t>Området är beläget i en nordsluttning norr om väg E 10 och Kiruna nya centrum. Platsen är idag en skogsbacke som sluttar ner mot myrmark, Tuollujänkä, i norr. Planområdet är sedan tidigare till största delen oexploaterat förutom ett dike, som kan liknas vid en bäck, belägen i planområdets östra del. Området avgränsas i väster av en skoterled mot den närbelägna avfallsanläggningen.</w:t>
      </w:r>
    </w:p>
    <w:p>
      <w:pPr>
        <w:pStyle w:val="P14"/>
      </w:pPr>
      <w:r>
        <w:t>De oexploaterade delarna utgörs i huvudsak av blandskog som domineras av gran och tall. Terrängen utgörs av skogsmark med låg förekomst av synliga ytblock.</w:t>
      </w:r>
    </w:p>
    <w:p>
      <w:pPr>
        <w:pStyle w:val="P14"/>
      </w:pPr>
    </w:p>
    <w:p>
      <w:pPr>
        <w:pStyle w:val="P15"/>
      </w:pPr>
      <w:bookmarkStart w:id="162" w:name="_Toc143176946"/>
      <w:r>
        <w:t>Fysisk miljö</w:t>
      </w:r>
      <w:bookmarkEnd w:id="162"/>
    </w:p>
    <w:p>
      <w:pPr>
        <w:pStyle w:val="P14"/>
      </w:pPr>
      <w:r>
        <w:t xml:space="preserve">Begravningsplatsen planeras att bli en parkmiljö med såväl gräsmattor som stora skogbevuxna områden. Tanken är att man ska kunna ströva i området och uppleva närheten till naturen liksom känna frid och ro samt få en stund för eftertanke. Alla ska kunna vistas i parkmiljön.  Se vidare under rubriken </w:t>
      </w:r>
      <w:r>
        <w:rPr>
          <w:i w:val="1"/>
          <w:iCs w:val="1"/>
        </w:rPr>
        <w:t>Bebyggelseområden</w:t>
      </w:r>
      <w:r>
        <w:t>.</w:t>
      </w:r>
    </w:p>
    <w:p>
      <w:pPr>
        <w:pStyle w:val="P15"/>
      </w:pPr>
      <w:bookmarkStart w:id="163" w:name="_Toc143176947"/>
      <w:r>
        <w:t>Sociala</w:t>
      </w:r>
      <w:bookmarkEnd w:id="163"/>
    </w:p>
    <w:p>
      <w:pPr>
        <w:pStyle w:val="P16"/>
      </w:pPr>
      <w:bookmarkStart w:id="164" w:name="_Toc143176948"/>
      <w:r>
        <w:t>Tillgänglighet</w:t>
      </w:r>
      <w:bookmarkEnd w:id="164"/>
    </w:p>
    <w:p>
      <w:pPr>
        <w:pStyle w:val="P14"/>
      </w:pPr>
      <w:r>
        <w:t>Området kommer i framtiden att få god tillgänglighet till kollektivtrafik. Området kommer att vara lättillgängligt för såväl bilister som gång- och cykeltrafikanter.</w:t>
      </w:r>
    </w:p>
    <w:p>
      <w:pPr>
        <w:pStyle w:val="P14"/>
      </w:pPr>
      <w:r>
        <w:t>Inom området finns ytor som är kuperade. Nya byggnader ska enligt lag utformas så att den är tillgänglig och användbar för personer med nedsatt rörelse- eller orienteringsförmåga. Tillgängligheten prövas i detalj vid bygglovsskedet och det tekniska samrådet.</w:t>
      </w:r>
    </w:p>
    <w:p>
      <w:pPr>
        <w:pStyle w:val="P16"/>
      </w:pPr>
      <w:bookmarkStart w:id="165" w:name="_Toc143176949"/>
      <w:r>
        <w:t>Barnperspektivet</w:t>
      </w:r>
      <w:bookmarkEnd w:id="165"/>
    </w:p>
    <w:p>
      <w:pPr>
        <w:pStyle w:val="P14"/>
      </w:pPr>
      <w:r>
        <w:t>Kiruna pastorat har tagit fram en enklare barnkonsekvensanalys som omfattar tankar kring området liksom trygghetsskapande och känslomässiga faktorer.</w:t>
      </w:r>
    </w:p>
    <w:p>
      <w:pPr>
        <w:pStyle w:val="P14"/>
      </w:pPr>
      <w:r>
        <w:t>Ett mål inom begravningsverksamheten ska vara att begravningsplatsen ska vara ett attraktivt besöksmål för både barn och vuxna. Det ska vara lätt att ta sig till kyrkogården och det ska vara lätt för alla besökare att vistas på kyrkogården. Det ska finnas anpassade toaletter, kapell, materialställningar, bänkar, utemöbler liksom redskap och utrustning som är anpassade för både vuxna och barn.</w:t>
      </w:r>
    </w:p>
    <w:p>
      <w:pPr>
        <w:pStyle w:val="P14"/>
      </w:pPr>
      <w:r>
        <w:t>Begravningsverksamheten har som mål att använda resurser på ett hållbart sätt och att arbeta för att påverka klimatet på ett positivt sätt, t.ex. genom att använda miljövänligt bränsle i våra fordon och maskiner.</w:t>
      </w:r>
    </w:p>
    <w:p>
      <w:pPr>
        <w:pStyle w:val="P14"/>
      </w:pPr>
      <w:r>
        <w:t>Redan i dag hålls utsläppen vid förbränningen i vårt krematorium på en minimal nivå och detta arbete kommer fortsättningsvis att följa med in i framtiden. Barnen är vår framtid och att arbeta för en miljövänlig verksamhet påverkar barn både på kort sikt och lång sikt.</w:t>
      </w:r>
    </w:p>
    <w:p>
      <w:pPr>
        <w:pStyle w:val="P14"/>
      </w:pPr>
      <w:r>
        <w:t>Tankar finns om att anlägga särskilda områden för barngravar, med friare regler kring utsmyckning och en inbjudande omgivning som särskilt vänder sig till de som förlorat sina barn och till barnens syskon.</w:t>
      </w:r>
    </w:p>
    <w:p>
      <w:pPr>
        <w:pStyle w:val="P14"/>
      </w:pPr>
      <w:r>
        <w:t>De säkerhetsåtgärder som man planerar att vidta gäller så väl barn som vuxna. Här har man valt att se ur barnets perspektiv och hur dessa ska skyddas:</w:t>
      </w:r>
    </w:p>
    <w:p>
      <w:pPr>
        <w:pStyle w:val="P14"/>
        <w:numPr>
          <w:ilvl w:val="0"/>
          <w:numId w:val="28"/>
        </w:numPr>
      </w:pPr>
      <w:r>
        <w:t xml:space="preserve">Gravar som är grävda och måste lämnas obevakade, skall täckas med en skyddsplåt för att säkerställa att ingen, i synnerhet inte barn, som kanske leker, faller ner i dessa.      </w:t>
      </w:r>
    </w:p>
    <w:p>
      <w:pPr>
        <w:pStyle w:val="P14"/>
        <w:numPr>
          <w:ilvl w:val="0"/>
          <w:numId w:val="28"/>
        </w:numPr>
      </w:pPr>
      <w:r>
        <w:t xml:space="preserve">Gravstenskontroller skall genomföras regelbundet för att säkerhetsställa att gravstenarna står säkert. </w:t>
      </w:r>
    </w:p>
    <w:p>
      <w:pPr>
        <w:pStyle w:val="P14"/>
        <w:numPr>
          <w:ilvl w:val="0"/>
          <w:numId w:val="28"/>
        </w:numPr>
      </w:pPr>
      <w:r>
        <w:t>Minimera fordonstrafiken dels arbetsmaskiner, dels biltrafiken. Det kommer finnas smala vägar, gångar, växtlighet och snöhögar som skymmer sikten när man framför ett fordon.</w:t>
      </w:r>
    </w:p>
    <w:p>
      <w:pPr>
        <w:pStyle w:val="P14"/>
        <w:numPr>
          <w:ilvl w:val="0"/>
          <w:numId w:val="28"/>
        </w:numPr>
      </w:pPr>
      <w:r>
        <w:t>På kyrkogården finns ofta levande ljus. Dessa ljusbärare ska vara barnsäkra.</w:t>
      </w:r>
    </w:p>
    <w:p>
      <w:pPr>
        <w:pStyle w:val="P16"/>
      </w:pPr>
      <w:bookmarkStart w:id="166" w:name="_Toc143176950"/>
      <w:r>
        <w:t>Trygghet och brottsförebyggande åtgärder</w:t>
      </w:r>
      <w:bookmarkEnd w:id="166"/>
    </w:p>
    <w:p>
      <w:pPr>
        <w:pStyle w:val="P14"/>
      </w:pPr>
      <w:r>
        <w:t xml:space="preserve">Det är viktigt att vidta åtgärder för att människor som vistas i parkområdet kan känna sig trygga och verka brottsförebyggande. Belysningen ska vara så pass god att den inte upplevs skum och att belysningspunkterna överlappar varandra så att det inte finns mörka områden. Viktigt att den även lyser upp områden utanför själva gångstigen eller motsvarande för att tidigt kunna upptäcka eventuella faror. </w:t>
      </w:r>
    </w:p>
    <w:p>
      <w:pPr>
        <w:pStyle w:val="P14"/>
      </w:pPr>
      <w:r>
        <w:t>Vegetationen bör inte vara för hög eller tät nära platser där människor vistas, exempelvis gångstigar. Man ska kunna överblicka platsen man befinner sig på eller är på väg till.</w:t>
      </w:r>
    </w:p>
    <w:p>
      <w:pPr>
        <w:pStyle w:val="P16"/>
      </w:pPr>
      <w:bookmarkStart w:id="167" w:name="_Toc143176951"/>
      <w:r>
        <w:t>Suicidprevention</w:t>
      </w:r>
      <w:bookmarkEnd w:id="167"/>
    </w:p>
    <w:p>
      <w:pPr>
        <w:pStyle w:val="P14"/>
      </w:pPr>
      <w:r>
        <w:t xml:space="preserve">Planområdet ligger lite avskilt och en begravningsplats i synnerhet kan väcka många tunga känslor. Enligt WHO kan självmord förhindras genom fysiska barriärer i omgivningen, då suicid många gånger är en känslostyrd handling där situationen känns outhärdlig. Sveriges kommuner och regioner har tagit fram en rapport för underlag i fysisk planering ”Förebygga suicid i fysisk miljö”. Här lyfter man fram att framförallt miljöer som möjliggör hopp från hög höjd och oskyddade trafikmiljöer är de platser som är mest frekvent använda. Just inom planområdet finns inga höga broar men närhet till väg E10. </w:t>
      </w:r>
    </w:p>
    <w:p>
      <w:pPr>
        <w:pStyle w:val="P14"/>
      </w:pPr>
      <w:r>
        <w:t>Inom planområdet kan det vara bra att tänka på att skydda öppna vattensamlingar, ha en avskärmning mot väg E10 samt, om möjligt, försöka ha någon form av barriär mot de vattendrag och den skog som ligger utanför planområdet.</w:t>
      </w:r>
    </w:p>
    <w:p>
      <w:pPr>
        <w:pStyle w:val="P16"/>
      </w:pPr>
      <w:bookmarkStart w:id="168" w:name="_Toc143176952"/>
      <w:r>
        <w:t>Jämställdhet</w:t>
      </w:r>
      <w:bookmarkEnd w:id="168"/>
    </w:p>
    <w:p>
      <w:pPr>
        <w:pStyle w:val="P14"/>
      </w:pPr>
      <w:r>
        <w:t>Länsstyrelsen i Norrbotten har tagit fram en strategi (Strategi för jämställdhet i Norrbotten 2018–2023) för arbetet med jämställdhetsintegrering i länet. I strategin finns det tre prioriteringar:</w:t>
      </w:r>
    </w:p>
    <w:p>
      <w:pPr>
        <w:pStyle w:val="P14"/>
      </w:pPr>
      <w:r>
        <w:t>1.</w:t>
        <w:tab/>
        <w:t>Jämställd utbildning</w:t>
      </w:r>
    </w:p>
    <w:p>
      <w:pPr>
        <w:pStyle w:val="P14"/>
      </w:pPr>
      <w:r>
        <w:t>2.</w:t>
        <w:tab/>
        <w:t xml:space="preserve">Jämställd hälsa </w:t>
      </w:r>
    </w:p>
    <w:p>
      <w:pPr>
        <w:pStyle w:val="P14"/>
      </w:pPr>
      <w:r>
        <w:t>3.</w:t>
        <w:tab/>
        <w:t>Mäns våld mot kvinnor ska upphöra.</w:t>
      </w:r>
    </w:p>
    <w:p>
      <w:pPr>
        <w:pStyle w:val="P14"/>
      </w:pPr>
      <w:r>
        <w:t xml:space="preserve">I allmänhet är Kiruna sett som en trygg stad enligt lokal undersökning från Polismyndigheten 2021.  Undersökningen pekar ut inventerade områden som upplevs som otrygga. Boverket anger i sin rapport ’Plats för trygghet - Inspiration för stadsutveckling’ att det finns gemensamma kännetecken mellan platser som upplevas som trygga:</w:t>
      </w:r>
    </w:p>
    <w:p>
      <w:pPr>
        <w:pStyle w:val="P14"/>
      </w:pPr>
      <w:r>
        <w:t>1.</w:t>
        <w:tab/>
        <w:t>Går att överblicka</w:t>
      </w:r>
    </w:p>
    <w:p>
      <w:pPr>
        <w:pStyle w:val="P14"/>
      </w:pPr>
      <w:r>
        <w:t>2.</w:t>
        <w:tab/>
        <w:t>Ger kontakt med omgivningen</w:t>
      </w:r>
    </w:p>
    <w:p>
      <w:pPr>
        <w:pStyle w:val="P14"/>
      </w:pPr>
      <w:r>
        <w:t>3.</w:t>
        <w:tab/>
        <w:t>Är befolkade</w:t>
      </w:r>
    </w:p>
    <w:p>
      <w:pPr>
        <w:pStyle w:val="P14"/>
      </w:pPr>
      <w:r>
        <w:t>4.</w:t>
        <w:tab/>
        <w:t>Går att orientera sig i</w:t>
      </w:r>
    </w:p>
    <w:p>
      <w:pPr>
        <w:pStyle w:val="P14"/>
      </w:pPr>
      <w:r>
        <w:t>5.</w:t>
        <w:tab/>
        <w:t>Blandar vägar och bebyggelse</w:t>
      </w:r>
    </w:p>
    <w:p>
      <w:pPr>
        <w:pStyle w:val="P14"/>
      </w:pPr>
      <w:r>
        <w:t>6.</w:t>
        <w:tab/>
        <w:t xml:space="preserve">Är välskötta. </w:t>
      </w:r>
    </w:p>
    <w:p>
      <w:pPr>
        <w:pStyle w:val="P14"/>
      </w:pPr>
      <w:r>
        <w:t xml:space="preserve">Dessa bedöms speglas i planområdet. En genomtänkt gatubelysning ska bidra till en tryggare stadsmiljö. Närheten till centrumskärman gör att området blir promenadvänligt och de funktionerna skapar ett kluster som genererar rörelser i de offentliga miljöerna. Dessa människoflöden ökar tryggheten i staden, och som följd, då de upplevs sannolikt mer befolkad och levande under både dags- och kvällstid, vardagar såväl som helger. Den funktionsblandade staden bidrar därmed till social hållbarhet. </w:t>
      </w:r>
    </w:p>
    <w:p>
      <w:pPr>
        <w:pStyle w:val="P14"/>
      </w:pPr>
      <w:r>
        <w:t xml:space="preserve">Inför planerandet av nya Kiruna centrum samlade kommunen in synpunkter genom enkätundersökningen ”Vilken är din bild av Kiruna”. Som ses i figur 30 var andelen kvinnor som svarade märkbart högre än män. </w:t>
      </w:r>
    </w:p>
    <w:p>
      <w:pPr>
        <w:pStyle w:val="P14"/>
      </w:pPr>
      <w:r>
        <w:t xml:space="preserve">Detta indikerar att kvinnor deltar aktivt i planprocessen och deras synpunkter beaktas. </w:t>
      </w:r>
    </w:p>
    <w:p>
      <w:pPr>
        <w:pStyle w:val="P14"/>
      </w:pPr>
      <w:r>
        <w:rPr>
          <w:noProof w:val="1"/>
          <w:lang w:eastAsia="sv-SE"/>
        </w:rPr>
        <w:drawing>
          <wp:anchor xmlns:wp="http://schemas.openxmlformats.org/drawingml/2006/wordprocessingDrawing" distT="0" distB="0" distL="114300" distR="114300" simplePos="0" relativeHeight="56" behindDoc="0" locked="0" layoutInCell="1" allowOverlap="1">
            <wp:simplePos x="0" y="0"/>
            <wp:positionH relativeFrom="column">
              <wp:posOffset>0</wp:posOffset>
            </wp:positionH>
            <wp:positionV relativeFrom="paragraph">
              <wp:posOffset>295275</wp:posOffset>
            </wp:positionV>
            <wp:extent cx="5387340" cy="3985260"/>
            <wp:effectExtent l="0" t="0" r="3810" b="0"/>
            <wp:wrapTopAndBottom/>
            <wp:docPr id="84" name="Bildobjekt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44"/>
                    <a:srcRect/>
                    <a:stretch>
                      <a:fillRect/>
                    </a:stretch>
                  </pic:blipFill>
                  <pic:spPr bwMode="auto">
                    <a:xfrm>
                      <a:off x="0" y="0"/>
                      <a:ext cx="5387340" cy="3985260"/>
                    </a:xfrm>
                    <a:prstGeom prst="rect"/>
                    <a:noFill/>
                    <a:ln>
                      <a:noFill/>
                    </a:ln>
                  </pic:spPr>
                </pic:pic>
              </a:graphicData>
            </a:graphic>
          </wp:anchor>
        </w:drawing>
      </w:r>
    </w:p>
    <w:p>
      <w:pPr>
        <w:pStyle w:val="P14"/>
        <w:rPr>
          <w:i w:val="1"/>
          <w:iCs w:val="1"/>
        </w:rPr>
      </w:pPr>
      <w:r>
        <w:rPr>
          <w:i w:val="1"/>
          <w:iCs w:val="1"/>
        </w:rPr>
        <w:t>Figur 42, Könsfördelning på enkät ”Vilken är din bild av Kiruna”.</w:t>
      </w:r>
    </w:p>
    <w:p>
      <w:pPr>
        <w:pStyle w:val="P14"/>
      </w:pPr>
      <w:r>
        <w:t>Kiruna kommun har tagit fram en kommunövergripande strategi gällande våld i nära relationer (antagen av kommunfullmäktige 2010-06-07, § 53, reviderad 2017-11-27, § 109). Det finns också ett åtgärdsprogram gällande våld i nära relationer (antagen av kommunfullmäktige 2014-03-31, § 45, reviderad 2017-11-27, § 109).</w:t>
      </w:r>
    </w:p>
    <w:p>
      <w:pPr>
        <w:pStyle w:val="P15"/>
      </w:pPr>
      <w:bookmarkStart w:id="169" w:name="_Toc143176953"/>
      <w:r>
        <w:t>Teknik</w:t>
      </w:r>
      <w:bookmarkEnd w:id="169"/>
    </w:p>
    <w:p>
      <w:pPr>
        <w:pStyle w:val="P16"/>
        <w:rPr>
          <w:rStyle w:val="C16"/>
          <w:sz w:val="22"/>
          <w:szCs w:val="22"/>
        </w:rPr>
      </w:pPr>
      <w:bookmarkStart w:id="170" w:name="_Toc143176954"/>
      <w:r>
        <w:rPr>
          <w:rStyle w:val="C16"/>
          <w:sz w:val="22"/>
          <w:szCs w:val="22"/>
        </w:rPr>
        <w:t>Vatten och avlopp</w:t>
      </w:r>
      <w:bookmarkEnd w:id="170"/>
    </w:p>
    <w:p>
      <w:pPr>
        <w:pStyle w:val="P14"/>
      </w:pPr>
      <w:r>
        <w:t xml:space="preserve">Planområdet ligger för närvarande utanför kommunens verksamhetsområde för VA men området ska anslutas. Utredning pågår om verksamhetsområdet ska utökas. Även om verksamhetsområdet inte utökas är det möjligt att ansluta planområdet till kommunalt VA genom avtal. TVAB anvisar då en förbindelsepunkt vid befintliga kommunala huvudledningar. </w:t>
      </w:r>
    </w:p>
    <w:p>
      <w:pPr>
        <w:pStyle w:val="P14"/>
        <w:rPr>
          <w:b w:val="1"/>
        </w:rPr>
      </w:pPr>
      <w:r>
        <w:t>Fastighetsägaren äger, ansvarar och bekostar ledningar från förbindelsepunkt till den egna fastigheten samt sköter drift och underhåll av dessa. Om ledningarna passerar annans fastighet åligger det fastighetsägaren att ansöka och bekosta nödvändiga servitut. Eventuell pumpning av spillvattnet utförs och bekostas av fastighetsägaren.</w:t>
      </w:r>
    </w:p>
    <w:p>
      <w:pPr>
        <w:pStyle w:val="P16"/>
        <w:rPr>
          <w:rStyle w:val="C16"/>
          <w:sz w:val="22"/>
          <w:szCs w:val="22"/>
        </w:rPr>
      </w:pPr>
      <w:bookmarkStart w:id="171" w:name="_Toc143176955"/>
      <w:r>
        <w:rPr>
          <w:rStyle w:val="C16"/>
          <w:sz w:val="22"/>
          <w:szCs w:val="22"/>
        </w:rPr>
        <w:t>Energi</w:t>
      </w:r>
      <w:bookmarkEnd w:id="171"/>
    </w:p>
    <w:p>
      <w:pPr>
        <w:pStyle w:val="P14"/>
      </w:pPr>
      <w:r>
        <w:t xml:space="preserve">För anslutning till elnätet bör exploatören ta kontakt med Vattenfall för vidare anvisningar. Samråd bör ske med Kiruna Kraft om möjlighet att ansluta till fjärrvärme. Kontakta energiingenjör på Kiruna Kraft, tel. 0980-707 87. </w:t>
      </w:r>
    </w:p>
    <w:p>
      <w:pPr>
        <w:pStyle w:val="P30"/>
        <w:spacing w:after="0" w:beforeAutospacing="0" w:afterAutospacing="0"/>
      </w:pPr>
    </w:p>
    <w:p>
      <w:pPr>
        <w:pStyle w:val="P16"/>
        <w:rPr>
          <w:rStyle w:val="C16"/>
          <w:sz w:val="22"/>
          <w:szCs w:val="22"/>
        </w:rPr>
      </w:pPr>
      <w:bookmarkStart w:id="172" w:name="_Toc143176956"/>
      <w:r>
        <w:rPr>
          <w:rStyle w:val="C16"/>
          <w:sz w:val="22"/>
          <w:szCs w:val="22"/>
        </w:rPr>
        <w:t>Avfall</w:t>
      </w:r>
      <w:bookmarkEnd w:id="172"/>
    </w:p>
    <w:p>
      <w:pPr>
        <w:pStyle w:val="P14"/>
      </w:pPr>
      <w:bookmarkStart w:id="173" w:name="_Hlk129239461"/>
      <w:r>
        <w:t>Insamling av mat- och restavfall sköts av Kiruna kommuns renhållare, Tekniska Verken. I nuläget sker insamling av mat- och restavfall genom tvåkärlssystem. Regeringen har fattat beslut om kommunalt insamlingsansvar för förpackningar med start 1 januari 2024 och senast utgången av december 2026 ska fastighetsnära insamling av förpackningar vara införd för samtliga hushåll och verksamheter som är samlokaliserade med hushåll. Det är i dagsläget oklart hur denna insamling kommer utformas, men ett eller flera kärl avsedda för denna insamling vid fastighet är trolig, alternativt kvartersnära insamlinglösning. Returpapper är ett kommunalt ansvar från och med 1 januari 2022. Insamling av returpapper sker vid återvinningsstationer och återvinningscentral, det går även att teckna avtal om fastighetsnära insamling av returpapper med den leverantör som är upphandlad av kommunen.</w:t>
      </w:r>
      <w:bookmarkEnd w:id="173"/>
      <w:r>
        <w:t xml:space="preserve"> I övrigt ska avfallshantering ske i enlighet med kommunens renhållningsordning.</w:t>
      </w:r>
    </w:p>
    <w:p>
      <w:pPr>
        <w:pStyle w:val="P14"/>
      </w:pPr>
      <w:bookmarkStart w:id="174" w:name="_Hlk129239547"/>
      <w:r>
        <w:t>Vid ny- och ombyggnation av avfallsutrymmen ska Avfall Sveriges ”Handbok för avfallsutrymmen” (2018) följas.</w:t>
      </w:r>
      <w:bookmarkEnd w:id="174"/>
      <w:r>
        <w:t xml:space="preserve"> Handboken reglerar lagkrav samt rekommendationer för transport, förvaring och dimensionering av avfallsutrymmen. Detta gäller eventuella kvartersnära insamlingslösningar för villor eller avfallsutrymmen för företag eller flerfamiljshus.</w:t>
      </w:r>
    </w:p>
    <w:p>
      <w:pPr>
        <w:pStyle w:val="P16"/>
      </w:pPr>
      <w:bookmarkStart w:id="175" w:name="_Toc143176957"/>
      <w:r>
        <w:t>Gatunät, gång-, cykel- och skotertrafik</w:t>
      </w:r>
      <w:bookmarkEnd w:id="175"/>
      <w:r>
        <w:t xml:space="preserve"> </w:t>
      </w:r>
    </w:p>
    <w:p>
      <w:pPr>
        <w:pStyle w:val="P14"/>
      </w:pPr>
      <w:r>
        <w:t>I dag finns en anslutningsväg från Kurravaaravägen mot bågskyttebanan och golfbanan. Idealistiskt vore att anlägga trottoar från Kurravaaravägen till gående. Under väg E 10 finns en gång- och cykelväg som ansluter västerut men som också kommer att ansluta mot nya Kiruna Centrum.</w:t>
      </w:r>
    </w:p>
    <w:p>
      <w:pPr>
        <w:pStyle w:val="P14"/>
      </w:pPr>
      <w:r>
        <w:rPr>
          <w:i w:val="1"/>
          <w:iCs w:val="1"/>
          <w:noProof w:val="1"/>
        </w:rPr>
        <w:drawing>
          <wp:anchor xmlns:wp="http://schemas.openxmlformats.org/drawingml/2006/wordprocessingDrawing" distT="0" distB="0" distL="114300" distR="114300" simplePos="0" relativeHeight="57" behindDoc="0" locked="0" layoutInCell="1" allowOverlap="1">
            <wp:simplePos x="0" y="0"/>
            <wp:positionH relativeFrom="column">
              <wp:posOffset>-3810</wp:posOffset>
            </wp:positionH>
            <wp:positionV relativeFrom="paragraph">
              <wp:posOffset>0</wp:posOffset>
            </wp:positionV>
            <wp:extent cx="5396230" cy="3502025"/>
            <wp:effectExtent l="0" t="0" r="0" b="3175"/>
            <wp:wrapTopAndBottom/>
            <wp:docPr id="67" name="Bildobjekt 67"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ildobjekt 67" descr="En bild som visar karta&#10;&#10;Automatiskt genererad beskrivning"/>
                    <pic:cNvPicPr/>
                  </pic:nvPicPr>
                  <pic:blipFill dpi="0">
                    <a:blip xmlns:r="http://schemas.openxmlformats.org/officeDocument/2006/relationships" r:embed="Relimage45"/>
                    <a:srcRect/>
                    <a:stretch>
                      <a:fillRect/>
                    </a:stretch>
                  </pic:blipFill>
                  <pic:spPr>
                    <a:xfrm>
                      <a:off x="0" y="0"/>
                      <a:ext cx="5396230" cy="3502025"/>
                    </a:xfrm>
                    <a:prstGeom prst="rect"/>
                  </pic:spPr>
                </pic:pic>
              </a:graphicData>
            </a:graphic>
          </wp:anchor>
        </w:drawing>
      </w:r>
      <w:r>
        <w:rPr>
          <w:i w:val="1"/>
          <w:iCs w:val="1"/>
        </w:rPr>
        <w:t>Figur 43, Planområdet markerat med röd linje. Vägar och beskrivning av anslutning visas i orange</w:t>
      </w:r>
      <w:r>
        <w:t>.</w:t>
      </w:r>
    </w:p>
    <w:p>
      <w:pPr>
        <w:pStyle w:val="P16"/>
      </w:pPr>
      <w:bookmarkStart w:id="176" w:name="_Toc143176958"/>
      <w:r>
        <w:t>Kollektivtrafik</w:t>
      </w:r>
      <w:bookmarkEnd w:id="176"/>
    </w:p>
    <w:p>
      <w:pPr>
        <w:pStyle w:val="P14"/>
      </w:pPr>
      <w:r>
        <w:t>I nya centrumkärnan finns lokalbussar och gång- och cykelväg under väg E 10 kommer inom en snar framtid att ansluta till begravningsplatsen. Möjlighet finns också att ta buss till Kurravaaravägen och gå efter anslutningsvägen.</w:t>
      </w:r>
    </w:p>
    <w:p>
      <w:pPr>
        <w:pStyle w:val="P16"/>
      </w:pPr>
      <w:bookmarkStart w:id="177" w:name="_Toc143176959"/>
      <w:r>
        <w:t>Parkering och utfarter</w:t>
      </w:r>
      <w:bookmarkEnd w:id="177"/>
    </w:p>
    <w:p>
      <w:pPr>
        <w:pStyle w:val="P14"/>
      </w:pPr>
      <w:r>
        <w:t>Parkering anordnas inom den egna fastigheten. Möjlighet att köra öster, väster och söder om området kommer att finnas för att underlätta tillgängligheten för funktionsvarierade liksom för att underlätta framkomligheten för jordfästningar, snöröjning och övriga åtgärder som krävs på en begravningsplats.</w:t>
      </w:r>
    </w:p>
    <w:p>
      <w:pPr>
        <w:pStyle w:val="P16"/>
      </w:pPr>
      <w:bookmarkStart w:id="178" w:name="_Toc143176960"/>
      <w:r>
        <w:t>Skoterleder</w:t>
      </w:r>
      <w:bookmarkEnd w:id="178"/>
    </w:p>
    <w:p>
      <w:pPr>
        <w:pStyle w:val="P14"/>
      </w:pPr>
      <w:r>
        <w:t xml:space="preserve">Väster om den planerade kyrkogården finns en befintlig skoterled. Denna kommer att tas bort och en ny anslutning att dras från befintlig skoterled i söder för att sedan dras om österut, vid golfbanan. </w:t>
      </w:r>
    </w:p>
    <w:p>
      <w:pPr>
        <w:pStyle w:val="P14"/>
      </w:pPr>
    </w:p>
    <w:p>
      <w:pPr>
        <w:rPr>
          <w:rFonts w:ascii="Lucida Sans" w:hAnsi="Lucida Sans"/>
          <w:b w:val="1"/>
          <w:sz w:val="36"/>
          <w:szCs w:val="36"/>
        </w:rPr>
      </w:pPr>
      <w:r>
        <w:br w:type="page"/>
      </w:r>
    </w:p>
    <w:p>
      <w:pPr>
        <w:pStyle w:val="P13"/>
      </w:pPr>
      <w:bookmarkStart w:id="179" w:name="_Toc143176961"/>
      <w:r>
        <w:t>Konsekvenser</w:t>
      </w:r>
      <w:bookmarkEnd w:id="179"/>
    </w:p>
    <w:p>
      <w:pPr>
        <w:pStyle w:val="P15"/>
      </w:pPr>
      <w:bookmarkStart w:id="180" w:name="_Toc143176962"/>
      <w:r>
        <w:t>Fastigheter och rättigheter</w:t>
      </w:r>
      <w:bookmarkEnd w:id="180"/>
    </w:p>
    <w:p>
      <w:pPr>
        <w:pStyle w:val="P14"/>
      </w:pPr>
      <w:r>
        <w:t>Nedan redovisas de fastighetsvisa konsekvenserna för detaljplaneläggningen.</w:t>
      </w:r>
    </w:p>
    <w:tbl>
      <w:tblPr>
        <w:tblStyle w:val="T2"/>
        <w:tblW w:w="0" w:type="auto"/>
        <w:tblLook w:val="04A0"/>
      </w:tblPr>
      <w:tblGrid/>
      <w:tr>
        <w:tc>
          <w:tcPr>
            <w:tcW w:w="2829" w:type="dxa"/>
          </w:tcPr>
          <w:p>
            <w:pPr>
              <w:pStyle w:val="P14"/>
            </w:pPr>
            <w:r>
              <w:t>Fastighet</w:t>
            </w:r>
          </w:p>
        </w:tc>
        <w:tc>
          <w:tcPr>
            <w:tcW w:w="2829" w:type="dxa"/>
          </w:tcPr>
          <w:p>
            <w:pPr>
              <w:pStyle w:val="P14"/>
            </w:pPr>
            <w:r>
              <w:t>Planbestämmelse</w:t>
            </w:r>
          </w:p>
        </w:tc>
        <w:tc>
          <w:tcPr>
            <w:tcW w:w="2830" w:type="dxa"/>
          </w:tcPr>
          <w:p>
            <w:pPr>
              <w:pStyle w:val="P14"/>
            </w:pPr>
            <w:r>
              <w:t>Fastighetsbildning</w:t>
            </w:r>
          </w:p>
        </w:tc>
      </w:tr>
      <w:tr>
        <w:tc>
          <w:tcPr>
            <w:tcW w:w="2829" w:type="dxa"/>
          </w:tcPr>
          <w:p>
            <w:pPr>
              <w:pStyle w:val="P14"/>
            </w:pPr>
            <w:r>
              <w:t>Kiruna 1:173</w:t>
            </w:r>
          </w:p>
        </w:tc>
        <w:tc>
          <w:tcPr>
            <w:tcW w:w="2829" w:type="dxa"/>
          </w:tcPr>
          <w:p>
            <w:pPr>
              <w:pStyle w:val="P14"/>
            </w:pPr>
            <w:r>
              <w:t>Ca 50 000 kvm av fastigheten har i planen lagts ut för Krematorium och begravningsplats; M</w:t>
            </w:r>
          </w:p>
        </w:tc>
        <w:tc>
          <w:tcPr>
            <w:tcW w:w="2830" w:type="dxa"/>
          </w:tcPr>
          <w:p>
            <w:pPr>
              <w:pStyle w:val="P14"/>
            </w:pPr>
            <w:r>
              <w:t>Området ska avstyckas till en egen fastighet och tillföras ett område av Kiruna 1:1</w:t>
            </w:r>
          </w:p>
        </w:tc>
      </w:tr>
      <w:tr>
        <w:tc>
          <w:tcPr>
            <w:tcW w:w="2829" w:type="dxa"/>
          </w:tcPr>
          <w:p>
            <w:pPr>
              <w:pStyle w:val="P14"/>
            </w:pPr>
            <w:r>
              <w:t>Kiruna 1:1</w:t>
            </w:r>
          </w:p>
        </w:tc>
        <w:tc>
          <w:tcPr>
            <w:tcW w:w="2829" w:type="dxa"/>
          </w:tcPr>
          <w:p>
            <w:pPr>
              <w:pStyle w:val="P14"/>
            </w:pPr>
            <w:r>
              <w:t>Ca 70 000 kvm av fastigheten har i planen lagts ut för Krematorium och begravningsplats; M</w:t>
            </w:r>
          </w:p>
        </w:tc>
        <w:tc>
          <w:tcPr>
            <w:tcW w:w="2830" w:type="dxa"/>
          </w:tcPr>
          <w:p>
            <w:pPr>
              <w:pStyle w:val="P14"/>
            </w:pPr>
            <w:r>
              <w:t xml:space="preserve">Området ska genom fastighetsreglering tillföras området som ska avstyckas från Kiruna 1:173. </w:t>
            </w:r>
          </w:p>
        </w:tc>
      </w:tr>
      <w:tr>
        <w:tc>
          <w:tcPr>
            <w:tcW w:w="2829" w:type="dxa"/>
          </w:tcPr>
          <w:p>
            <w:pPr>
              <w:pStyle w:val="P14"/>
            </w:pPr>
            <w:r>
              <w:t>Rättighet</w:t>
            </w:r>
          </w:p>
        </w:tc>
        <w:tc>
          <w:tcPr>
            <w:tcW w:w="2829" w:type="dxa"/>
          </w:tcPr>
          <w:p>
            <w:pPr>
              <w:pStyle w:val="P14"/>
            </w:pPr>
          </w:p>
        </w:tc>
        <w:tc>
          <w:tcPr>
            <w:tcW w:w="2830" w:type="dxa"/>
          </w:tcPr>
          <w:p>
            <w:pPr>
              <w:pStyle w:val="P14"/>
            </w:pPr>
          </w:p>
        </w:tc>
      </w:tr>
      <w:tr>
        <w:tc>
          <w:tcPr>
            <w:tcW w:w="2829" w:type="dxa"/>
          </w:tcPr>
          <w:p>
            <w:pPr>
              <w:pStyle w:val="P14"/>
            </w:pPr>
            <w:r>
              <w:t>P 2019/13 dagvattenledning</w:t>
            </w:r>
          </w:p>
        </w:tc>
        <w:tc>
          <w:tcPr>
            <w:tcW w:w="2829" w:type="dxa"/>
          </w:tcPr>
          <w:p>
            <w:pPr>
              <w:pStyle w:val="P14"/>
            </w:pPr>
            <w:r>
              <w:t>Ett u-område för allmän underjordisk ledning har lagts ut i planen för ledningen</w:t>
            </w:r>
          </w:p>
        </w:tc>
        <w:tc>
          <w:tcPr>
            <w:tcW w:w="2830" w:type="dxa"/>
          </w:tcPr>
          <w:p>
            <w:pPr>
              <w:pStyle w:val="P14"/>
              <w:rPr>
                <w:b w:val="1"/>
                <w:bCs w:val="1"/>
              </w:rPr>
            </w:pPr>
            <w:r>
              <w:t xml:space="preserve">Rättigheten är bildad genom vägplan 2019/13. </w:t>
            </w:r>
          </w:p>
        </w:tc>
      </w:tr>
      <w:tr>
        <w:tc>
          <w:tcPr>
            <w:tcW w:w="2829" w:type="dxa"/>
          </w:tcPr>
          <w:p>
            <w:pPr>
              <w:pStyle w:val="P14"/>
            </w:pPr>
            <w:r>
              <w:t>D 00337734-servis kraftledning</w:t>
            </w:r>
          </w:p>
        </w:tc>
        <w:tc>
          <w:tcPr>
            <w:tcW w:w="2829" w:type="dxa"/>
          </w:tcPr>
          <w:p>
            <w:pPr>
              <w:pStyle w:val="P14"/>
            </w:pPr>
            <w:r>
              <w:t>Ledningen ligger inom område för krematorium och begravningsplats; M</w:t>
            </w:r>
          </w:p>
        </w:tc>
        <w:tc>
          <w:tcPr>
            <w:tcW w:w="2830" w:type="dxa"/>
          </w:tcPr>
          <w:p>
            <w:pPr>
              <w:pStyle w:val="P14"/>
            </w:pPr>
            <w:r>
              <w:t xml:space="preserve">Ledningen försörjer bågskyttebanan och tas bort när banan flyttats. </w:t>
            </w:r>
          </w:p>
        </w:tc>
      </w:tr>
      <w:tr>
        <w:tc>
          <w:tcPr>
            <w:tcW w:w="2829" w:type="dxa"/>
          </w:tcPr>
          <w:p>
            <w:pPr>
              <w:pStyle w:val="P14"/>
            </w:pPr>
            <w:r>
              <w:t>Arrende</w:t>
            </w:r>
          </w:p>
        </w:tc>
        <w:tc>
          <w:tcPr>
            <w:tcW w:w="2829" w:type="dxa"/>
          </w:tcPr>
          <w:p>
            <w:pPr>
              <w:pStyle w:val="P14"/>
            </w:pPr>
          </w:p>
        </w:tc>
        <w:tc>
          <w:tcPr>
            <w:tcW w:w="2830" w:type="dxa"/>
          </w:tcPr>
          <w:p>
            <w:pPr>
              <w:pStyle w:val="P14"/>
            </w:pPr>
          </w:p>
        </w:tc>
      </w:tr>
      <w:tr>
        <w:tc>
          <w:tcPr>
            <w:tcW w:w="2829" w:type="dxa"/>
          </w:tcPr>
          <w:p>
            <w:pPr>
              <w:pStyle w:val="P14"/>
            </w:pPr>
            <w:r>
              <w:t>Område av Kiruna 1:173 och Kiruna 1:1-golfbanan, bågskyttebanan m m</w:t>
            </w:r>
          </w:p>
        </w:tc>
        <w:tc>
          <w:tcPr>
            <w:tcW w:w="2829" w:type="dxa"/>
          </w:tcPr>
          <w:p>
            <w:pPr>
              <w:pStyle w:val="P14"/>
            </w:pPr>
            <w:r>
              <w:t>Planområdet är utlagt för krematorium; M.</w:t>
            </w:r>
          </w:p>
        </w:tc>
        <w:tc>
          <w:tcPr>
            <w:tcW w:w="2830" w:type="dxa"/>
          </w:tcPr>
          <w:p>
            <w:pPr>
              <w:pStyle w:val="P14"/>
            </w:pPr>
            <w:r>
              <w:t>Planområdet ska genom avstyckning och fastighetsreglering bilda en egen fastighet. Arrendeområdet ska minskas med området inom detaljplanen.</w:t>
            </w:r>
          </w:p>
        </w:tc>
      </w:tr>
      <w:tr>
        <w:tc>
          <w:tcPr>
            <w:tcW w:w="2829" w:type="dxa"/>
          </w:tcPr>
          <w:p>
            <w:pPr>
              <w:pStyle w:val="P14"/>
            </w:pPr>
            <w:r>
              <w:t>Område av Kiruna 1:173-Bågskyttebana</w:t>
            </w:r>
          </w:p>
        </w:tc>
        <w:tc>
          <w:tcPr>
            <w:tcW w:w="2829" w:type="dxa"/>
          </w:tcPr>
          <w:p>
            <w:pPr>
              <w:pStyle w:val="P14"/>
            </w:pPr>
            <w:r>
              <w:t>Området är utlagt för krematorium; M.</w:t>
            </w:r>
          </w:p>
        </w:tc>
        <w:tc>
          <w:tcPr>
            <w:tcW w:w="2830" w:type="dxa"/>
          </w:tcPr>
          <w:p>
            <w:pPr>
              <w:pStyle w:val="P14"/>
            </w:pPr>
            <w:r>
              <w:t>Området ska ingå i nybildad fastighet för krematorium och begravningsplats.</w:t>
            </w:r>
          </w:p>
        </w:tc>
      </w:tr>
    </w:tbl>
    <w:p>
      <w:pPr>
        <w:pStyle w:val="P14"/>
        <w:rPr>
          <w:i w:val="1"/>
          <w:iCs w:val="1"/>
        </w:rPr>
      </w:pPr>
      <w:r>
        <w:rPr>
          <w:i w:val="1"/>
          <w:iCs w:val="1"/>
        </w:rPr>
        <w:t>Figur 44.</w:t>
      </w:r>
    </w:p>
    <w:p>
      <w:pPr>
        <w:rPr>
          <w:rFonts w:ascii="Lucida Sans" w:hAnsi="Lucida Sans"/>
          <w:b w:val="1"/>
        </w:rPr>
      </w:pPr>
      <w:r>
        <w:br w:type="page"/>
      </w:r>
    </w:p>
    <w:p>
      <w:pPr>
        <w:pStyle w:val="P15"/>
      </w:pPr>
      <w:bookmarkStart w:id="181" w:name="_Toc143176963"/>
      <w:r>
        <w:t>Miljö</w:t>
      </w:r>
      <w:bookmarkEnd w:id="181"/>
    </w:p>
    <w:p>
      <w:pPr>
        <w:pStyle w:val="P14"/>
      </w:pPr>
      <w:r>
        <w:t>Samtliga konsekvenser beskrivs under 7.2.1.Miljökonsekvensbeskrivning.</w:t>
      </w:r>
    </w:p>
    <w:p>
      <w:pPr>
        <w:pStyle w:val="P16"/>
      </w:pPr>
      <w:bookmarkStart w:id="182" w:name="_Toc143176964"/>
      <w:r>
        <w:t>Miljökonsekvensbeskrivning</w:t>
      </w:r>
      <w:bookmarkEnd w:id="182"/>
    </w:p>
    <w:p>
      <w:pPr>
        <w:pStyle w:val="P14"/>
        <w:rPr>
          <w:b w:val="1"/>
          <w:bCs w:val="1"/>
        </w:rPr>
      </w:pPr>
      <w:bookmarkStart w:id="183" w:name="_Toc102662017"/>
      <w:bookmarkStart w:id="184" w:name="ko_miljökonsekvensbeskrivning01"/>
      <w:r>
        <w:rPr>
          <w:b w:val="1"/>
          <w:bCs w:val="1"/>
        </w:rPr>
        <w:t>Eventuella konsekvenser av avvikelse från ÖP</w:t>
      </w:r>
      <w:bookmarkEnd w:id="183"/>
    </w:p>
    <w:p>
      <w:pPr>
        <w:pStyle w:val="P14"/>
      </w:pPr>
      <w:r>
        <w:t xml:space="preserve">I den kommunövergripande översiktsplanen, antagen 2018, är ett område direkt väster om det nu föreslagna området, utlagt som ett utredningsområde för nytt krematorium. I den fördjupade översiktsplanen för Kiruna C 2014 är området utlagt för idrott (golfbana, bågskytte, ridanläggning) samt tidigare buffertzon för ny väg E10. </w:t>
      </w:r>
    </w:p>
    <w:p>
      <w:pPr>
        <w:pStyle w:val="P14"/>
      </w:pPr>
      <w:r>
        <w:t xml:space="preserve">I övrigt är användningen av området, enligt ”Fördjupad översiktsplan Kiruna centralort 2014”, tänkt för idrott (golfbana, bågskytte, ridanläggning). Golfbanan har sin utvecklingsinriktning österut och påverkas inte. Bågskyttebanan kommer att flyttas till annan plats, dels för att inte påverka den nya begravningsplatsen, dels för att inte påverkas av den samma. Ridanläggningen ser ut att kunna vara kvar på nuvarande plats. I det fall det blir aktuellt att omlokalisera ridanläggningen i framtiden finns förslag på ny placering väster om Kurravaaravägen/norr om E10. </w:t>
      </w:r>
    </w:p>
    <w:p>
      <w:pPr>
        <w:pStyle w:val="P14"/>
      </w:pPr>
      <w:r>
        <w:t>Buffertzonen är inte längre aktuell då väg E10 redan byggts.</w:t>
      </w:r>
    </w:p>
    <w:p>
      <w:pPr>
        <w:pStyle w:val="P14"/>
      </w:pPr>
      <w:r>
        <w:t>Placeringen av nytt krematorium, ny begravningsplats, kolumbarium och minneslund sydost om nuvarande avfallsanläggning/återvinningscentral uppfyller samtliga förutsättningar.</w:t>
      </w:r>
    </w:p>
    <w:p>
      <w:pPr>
        <w:pStyle w:val="P14"/>
      </w:pPr>
      <w:bookmarkStart w:id="185" w:name="_Toc102662018"/>
      <w:r>
        <w:rPr>
          <w:b w:val="1"/>
          <w:bCs w:val="1"/>
        </w:rPr>
        <w:t>Miljökonsekvenser, sammanfattning av miljökonsekvensbeskrivningen</w:t>
      </w:r>
      <w:bookmarkEnd w:id="185"/>
      <w:r>
        <w:rPr>
          <w:b w:val="1"/>
          <w:bCs w:val="1"/>
        </w:rPr>
        <w:t xml:space="preserve"> </w:t>
      </w:r>
      <w:r>
        <w:rPr>
          <w:bCs w:val="1"/>
        </w:rPr>
        <w:br w:type="textWrapping"/>
      </w:r>
      <w:r>
        <w:t>Då planförslaget har bedömts medföra betydande miljöpåverkan har en miljökonsekvensbeskrivning upprättats (AFRY 2022). All information nedan är hämtad från denna. Läs mer: Miljökonsekvensbeskrivning Kiruna skogskyrkogård, kapitel 3.</w:t>
      </w:r>
    </w:p>
    <w:p>
      <w:pPr>
        <w:pStyle w:val="P14"/>
      </w:pPr>
      <w:r>
        <w:t>De miljöfaktorer som miljökonsekvensbeskrivningen behandlar är:</w:t>
      </w:r>
    </w:p>
    <w:p>
      <w:pPr>
        <w:pStyle w:val="P14"/>
      </w:pPr>
      <w:r>
        <w:t>• Riksintressen</w:t>
      </w:r>
    </w:p>
    <w:p>
      <w:pPr>
        <w:pStyle w:val="P14"/>
      </w:pPr>
      <w:r>
        <w:t>• Naturmiljö</w:t>
      </w:r>
    </w:p>
    <w:p>
      <w:pPr>
        <w:pStyle w:val="P14"/>
      </w:pPr>
      <w:r>
        <w:t>• Dagvatten</w:t>
      </w:r>
    </w:p>
    <w:p>
      <w:pPr>
        <w:pStyle w:val="P14"/>
      </w:pPr>
      <w:r>
        <w:t>• Hydrogeologi</w:t>
      </w:r>
    </w:p>
    <w:p>
      <w:pPr>
        <w:pStyle w:val="P14"/>
      </w:pPr>
      <w:r>
        <w:t>• Klimatpåverkan</w:t>
      </w:r>
    </w:p>
    <w:p>
      <w:pPr>
        <w:pStyle w:val="P14"/>
      </w:pPr>
      <w:r>
        <w:t>• Luftkvalitet</w:t>
      </w:r>
    </w:p>
    <w:p>
      <w:pPr>
        <w:pStyle w:val="P14"/>
      </w:pPr>
      <w:r>
        <w:t>• Risk och säkerhet</w:t>
      </w:r>
    </w:p>
    <w:p>
      <w:pPr>
        <w:pStyle w:val="P14"/>
      </w:pPr>
      <w:r>
        <w:t>• Buller</w:t>
      </w:r>
    </w:p>
    <w:p>
      <w:pPr>
        <w:pStyle w:val="P14"/>
      </w:pPr>
      <w:r>
        <w:t>• Avfall</w:t>
      </w:r>
    </w:p>
    <w:p>
      <w:pPr>
        <w:pStyle w:val="P14"/>
      </w:pPr>
      <w:r>
        <w:t>• Masshantering</w:t>
      </w:r>
    </w:p>
    <w:p>
      <w:pPr>
        <w:pStyle w:val="P14"/>
      </w:pPr>
      <w:r>
        <w:t>• Påverkan under byggtiden</w:t>
      </w:r>
    </w:p>
    <w:p>
      <w:pPr>
        <w:pStyle w:val="P14"/>
      </w:pPr>
      <w:r>
        <w:t>• Naturresurser</w:t>
      </w:r>
    </w:p>
    <w:p>
      <w:pPr>
        <w:pStyle w:val="P14"/>
      </w:pPr>
      <w:r>
        <w:t>• Befolkning och människors hälsa</w:t>
      </w:r>
    </w:p>
    <w:p>
      <w:pPr>
        <w:pStyle w:val="P14"/>
      </w:pPr>
      <w:r>
        <w:t>Miljökonsekvensbeskrivningen behandlar också den föreslagna markanvändningens överensstämmelse med relevanta miljökvalitetsmål, miljökvalitetsnormer och miljöbalkens hushållningsbestämmelser. I den mån indirekta effekter av planernas genomförande har identifierats beskrivs även dessa samt de kumulativa effekter som föreslagen markanvändning kan få i kombination med andra planerade eller pågående verksamheter.</w:t>
      </w:r>
    </w:p>
    <w:p>
      <w:pPr>
        <w:pStyle w:val="P14"/>
      </w:pPr>
      <w:r>
        <w:rPr>
          <w:b w:val="1"/>
          <w:bCs w:val="1"/>
          <w:u w:val="single"/>
        </w:rPr>
        <w:t>Nollalternativ</w:t>
      </w:r>
      <w:r>
        <w:rPr>
          <w:b w:val="1"/>
          <w:i w:val="1"/>
          <w:bCs w:val="1"/>
          <w:iCs w:val="1"/>
        </w:rPr>
        <w:br w:type="textWrapping"/>
      </w:r>
      <w:r>
        <w:t xml:space="preserve">Ett nollalternativ är ett jämförelsealternativ som beskriver konsekvenserna av den förväntade utvecklingen på platsen om den föreslagna detaljplanen inte genomförs. Ett nollalternativ betyder därför inte nödvändigtvis att allting förblir som i dagsläget utan handlar om vilken utveckling som är trolig i området för det fall att ingen begravningsplats anläggs inom det föreslagna planområdet. </w:t>
      </w:r>
    </w:p>
    <w:p>
      <w:pPr>
        <w:pStyle w:val="P14"/>
      </w:pPr>
      <w:r>
        <w:t xml:space="preserve">I denna MKB bedöms nollalternativet utifrån den övergripande mark och vattenanvändning som följer av gällande översikts- och detaljplan samt de befintliga verksamheter som är knutna till det föreslagna detaljplaneområdet. Det föreslagna området för begravningsplats antas därför förbli ett skogsmarksområde, om än inte fullt så opåverkat av mänsklig aktivitet som idag. </w:t>
      </w:r>
    </w:p>
    <w:p>
      <w:pPr>
        <w:pStyle w:val="P14"/>
      </w:pPr>
      <w:r>
        <w:t xml:space="preserve">I såväl den fördjupade översiktsplanen för Kiruna som den kommunövergripande översiktsplanen har det aktuella området avsatts för idrottsändamål: ”Idrott golfbana, bågskyttebana och ridanläggning”. Den bågskyttebana och golfanläggning som idag finns i närområdet förväntas därför fortsätta sin verksamhet även i ett nollalternativ. Därtill är området föreslaget som en potentiell plats för omlokalisering av ridstallet och dess verksamheter. </w:t>
      </w:r>
    </w:p>
    <w:p>
      <w:pPr>
        <w:pStyle w:val="P14"/>
      </w:pPr>
      <w:r>
        <w:t xml:space="preserve">En omlokalisering av ridstallet och dess verksamhet, tillsammans med en flytt av Kiruna centrum, medför att det aktuella området på sikt kan förväntas komma att besökas av fler människor. </w:t>
      </w:r>
    </w:p>
    <w:p>
      <w:pPr>
        <w:pStyle w:val="P14"/>
      </w:pPr>
      <w:r>
        <w:t>I söder angränsar det föreslagna detaljplaneområdet till väg E10. Väg E10 är en nationell väg av riksintresse för kommunikation, Europaväg samt ingår i TEN-T vägnätet (transeuropeiska transportnätet) vilket betyder att väg E10 är ett viktigt nationellt och internationellt transportstråk för gods- och persontrafik. Enligt Trafikverkets prognos kommer årsmedeldygnstrafiken (ÅMD) på den aktuella sträckan att uppgå till 5700 fordon (ÅMD) varav 31 % bedöms utgöras av tung trafik (</w:t>
      </w:r>
      <w:r>
        <w:rPr>
          <w:i w:val="1"/>
          <w:iCs w:val="1"/>
        </w:rPr>
        <w:t>Trafikverket, Vägplan för E10 vid Kiruna nya centrum, Kiruna kommun, Norrbottens län, Planbeskrivning 2018-05-14, Granskningshandling, TRV 2016/4236, sid. 15</w:t>
      </w:r>
      <w:r>
        <w:t xml:space="preserve">). Öppnandet av väg E10 tillsammans med Kiruna stadsomvandling kommer därför, även i ett nollalternativ, att innebära en betydande förändring av ljudbilden i området. </w:t>
      </w:r>
    </w:p>
    <w:p>
      <w:pPr>
        <w:pStyle w:val="P14"/>
      </w:pPr>
      <w:r>
        <w:t>I ett nollalternativ kvarstår behovet av att omlokalisera Kirunas krematorium som ligger inom deformationsområdet för pågående gruvbrytning i Kiirunavaaragruvan samt att skapa möjligheter för en ny begravningsplats då befintliga begravningsplatser i Kiruna och Poikkijärvi saknar utbyggnadsmöjligheter. De lokaliseringsalternativ som redovisas i Översiktsplan för Kiruna (</w:t>
      </w:r>
      <w:r>
        <w:rPr>
          <w:i w:val="1"/>
          <w:iCs w:val="1"/>
        </w:rPr>
        <w:t>Kiruna kommun, Översiktsplan 2018 – Mark- och vattenanvändning, beskrivning och rekommendationer, 2019</w:t>
      </w:r>
      <w:r>
        <w:t xml:space="preserve">) är samtliga belägna på ett avstånd överstigande fyra kilometer från Kiruna nya centrum, vilket bedöms försvåra tillgängligheten jämfört med det aktuella planförslaget.  </w:t>
      </w:r>
    </w:p>
    <w:p>
      <w:pPr>
        <w:pStyle w:val="P14"/>
      </w:pPr>
      <w:r>
        <w:rPr>
          <w:b w:val="1"/>
          <w:bCs w:val="1"/>
          <w:u w:val="single"/>
        </w:rPr>
        <w:t>Kumulativa effekter</w:t>
      </w:r>
      <w:r>
        <w:rPr>
          <w:b w:val="1"/>
          <w:i w:val="1"/>
          <w:bCs w:val="1"/>
          <w:iCs w:val="1"/>
        </w:rPr>
        <w:t xml:space="preserve"> </w:t>
      </w:r>
      <w:r>
        <w:br w:type="textWrapping"/>
        <w:t xml:space="preserve">Kumulativa effekter ska bedömas enligt 6 kap. miljöbalken samt miljöbedömningsförordningen (2017:966). </w:t>
      </w:r>
    </w:p>
    <w:p>
      <w:pPr>
        <w:pStyle w:val="P14"/>
      </w:pPr>
      <w:r>
        <w:t xml:space="preserve">Kumulativa effekter kan beskrivas som effekter som samverkar på olika sätt. Det kan handla om olika typer av effekter från en enskild verksamhet eller effekter från olika verksamheter. Dessa kumulativa effekter kan ge upphov till en förstärkning av påverkan, i vissa fall även en motverkan av påverkan och i ett tredje fall kan det bildas en synergieffekt där kombinationen av effekterna blir större än summan av de enskilda aktiviteterna. </w:t>
      </w:r>
    </w:p>
    <w:p>
      <w:pPr>
        <w:pStyle w:val="P14"/>
      </w:pPr>
      <w:r>
        <w:t xml:space="preserve">Ett exempel på en kumulativ effekt är att både buller och luftföroreningar påverkar hälsan. Ett annat exempel kan vara att en skyddsvärd naturmiljö påverkas både av utsläpp till vatten och av att markyta tas i anspråk. </w:t>
      </w:r>
    </w:p>
    <w:p>
      <w:pPr>
        <w:pStyle w:val="P14"/>
      </w:pPr>
      <w:r>
        <w:t>Med dagens aktuella klimatförändringar är det extra viktigt att ta hänsyn till kumulativa effekter i planer och program för att exempelvis planera för grön infrastruktur, möjligheten att ta hand om stora mängder vatten eller brist på vatten. I detaljplaner som innebär förtätningsprojekt kan kumulativa effekter spela stor roll. Detta på grund av att gator med fler byggnader kan motverka luftens rörelser och orsaka ökade luftmiljöproblem, ökade bullernivåer och därmed hälsokonsekvenser för befolkningen. Miljöeffekter vars konsekvenser som i dagsläget bedöms som små kan i kombination med andra miljöeffekter ge en mer betydande miljöpåverkan.</w:t>
      </w:r>
    </w:p>
    <w:p>
      <w:pPr>
        <w:pStyle w:val="P14"/>
      </w:pPr>
      <w:bookmarkEnd w:id="184"/>
      <w:r>
        <w:rPr>
          <w:b w:val="1"/>
          <w:bCs w:val="1"/>
          <w:u w:val="single"/>
        </w:rPr>
        <w:t>Riksintressen</w:t>
      </w:r>
      <w:r>
        <w:br w:type="textWrapping"/>
        <w:t>Läs mer: Miljökonsekvensbeskrivning Kiruna skogskyrkogård, kapitel 4.</w:t>
      </w:r>
    </w:p>
    <w:p>
      <w:pPr>
        <w:pStyle w:val="P14"/>
      </w:pPr>
      <w:r>
        <w:br w:type="textWrapping"/>
      </w:r>
      <w:r>
        <w:rPr>
          <w:b w:val="1"/>
          <w:bCs w:val="1"/>
        </w:rPr>
        <w:t>Riksintresse rennäring</w:t>
      </w:r>
      <w:r>
        <w:br w:type="textWrapping"/>
        <w:t xml:space="preserve">Planområdet angränsar till riksintresse för rennäringen. Riksintresseområdet nyttjas av Gabna sameby som året runtmarker. </w:t>
      </w:r>
    </w:p>
    <w:p>
      <w:pPr>
        <w:pStyle w:val="P14"/>
      </w:pPr>
      <w:r>
        <w:t>Den föreslagna detaljplanen medför ingen exploatering av, och därmed inga fysiska ingrepp i mark belägen inom område av riksintresse för rennäringen.</w:t>
      </w:r>
    </w:p>
    <w:p>
      <w:pPr>
        <w:pStyle w:val="P14"/>
      </w:pPr>
      <w:r>
        <w:t xml:space="preserve">Den föreslagna etableringen av begravningsplats innebär en ändrad markanvändning i nära anslutning till ett område som idag betraktas som en svår passage för rennäringen. Begreppet står för påverkan såsom fysiskt trånga områden, eller ljud, ljus, här avses hela Kiruna. </w:t>
      </w:r>
    </w:p>
    <w:p>
      <w:pPr>
        <w:pStyle w:val="P14"/>
      </w:pPr>
      <w:r>
        <w:t xml:space="preserve">En begravningsplats är dock en plats avsedd för stillhet. Att begravningsverksamheten ensam skulle orsaka någon påtaglig skada eller störning för rennäringen i området bedöms därför inte vara sannolikt. </w:t>
      </w:r>
    </w:p>
    <w:p>
      <w:pPr>
        <w:pStyle w:val="P14"/>
      </w:pPr>
      <w:r>
        <w:t xml:space="preserve">Den aktuella planen bör dock ses i sammanhanget av att Kiruna C flyttar österut och därmed närmar sig markområden som är av stort värde för rennäringens bedrivande. Det är därmed inte osannolikt att anta att planerad bebyggelse och exploateringar, av vilken den aktuella detaljplanen utgör en del, sammantaget kan komma att innebära en konflikt med rennäringens intressen i området på grund av störningar och fysisk utbredning. </w:t>
      </w:r>
    </w:p>
    <w:p>
      <w:pPr>
        <w:pStyle w:val="P14"/>
        <w:rPr>
          <w:i w:val="1"/>
          <w:iCs w:val="1"/>
        </w:rPr>
      </w:pPr>
      <w:r>
        <w:t xml:space="preserve">Avslutningsvis bör också framhållas att den nu föreslagna lokaliseringen av begravningsplats bedöms vara mer gynnsam ur ett rennäringsperspektiv än de lokaliseringsförslag för begravningsplats och krematorium som anvisats i Översiktsplan för Kiruna. Bedömningen grundar sig på att de tidigare lokaliseringsförslagen avser områden belägna inom område av riksintresse för rennäringen och därmed direkt riskerar att komma i konflikt med en flyttled. </w:t>
      </w:r>
    </w:p>
    <w:p>
      <w:pPr>
        <w:pStyle w:val="P14"/>
        <w:rPr>
          <w:i w:val="1"/>
          <w:iCs w:val="1"/>
        </w:rPr>
      </w:pPr>
      <w:r>
        <w:rPr>
          <w:b w:val="1"/>
          <w:bCs w:val="1"/>
        </w:rPr>
        <w:t>Riksintresse för kulturmiljövård</w:t>
      </w:r>
      <w:r>
        <w:br w:type="textWrapping"/>
        <w:t xml:space="preserve">Hela Kiruna centrum inklusive planområdet ligger inom riksintresse för kulturmiljövården enligt miljöbalken 3 kap. 6§. Området har namnet </w:t>
      </w:r>
      <w:r>
        <w:rPr>
          <w:i w:val="1"/>
          <w:iCs w:val="1"/>
        </w:rPr>
        <w:t>Kiruna – Kirunavaara.</w:t>
      </w:r>
    </w:p>
    <w:p>
      <w:pPr>
        <w:pStyle w:val="P14"/>
      </w:pPr>
      <w:r>
        <w:t>En stor del av Kirunas riksintressanta kulturarv är kopplat till Kiruna gamla centrum. Hit hör bland annat bostadsområden i Bolagsområdet som hyser ett stort bestånd av den hustyp som kallas för Bläckhorn samt Hjalmar Lundbohmsgården och Bolagshotellet. Andra uttryck för riksintresset är offentliga byggnader såsom Kiruna kyrka, den gamla brandstationen och stadshuset. Den pågående stadsomvandlingen innebär ofrånkomligen en påtaglig skada på riksintresset</w:t>
      </w:r>
      <w:r>
        <w:rPr>
          <w:i w:val="1"/>
          <w:iCs w:val="1"/>
        </w:rPr>
        <w:t xml:space="preserve">. </w:t>
      </w:r>
      <w:r>
        <w:t>Befintlig minneslund, Mariakapellet med tillhörande kolumbarium och krematorium kommer att beröras av gruvbrytningen vid samma tidpunkt som Kiruna kyrka.</w:t>
        <w:br w:type="textWrapping"/>
        <w:br w:type="textWrapping"/>
        <w:t xml:space="preserve">Det föreslagna området för ny begravningsplats berör inget av de värden som ger uttryck för riksintresset. Anläggandet av den nya begravningsplatsen bedöms därför kunna genomföras utan att någon skada uppstår på riksintresseområdet. </w:t>
      </w:r>
    </w:p>
    <w:p>
      <w:pPr>
        <w:pStyle w:val="P14"/>
      </w:pPr>
      <w:r>
        <w:rPr>
          <w:b w:val="1"/>
          <w:bCs w:val="1"/>
        </w:rPr>
        <w:t>Riksintresse för värdefulla ämnen och material</w:t>
      </w:r>
      <w:r>
        <w:br w:type="textWrapping"/>
        <w:t xml:space="preserve">Området omfattas av riksintresse för värdefulla ämnen och material, 3 kap 7 § miljöbalken. All form av förändrad mark- och vattenanvändning som försvårar eller förhindrar en framtida utvinning innebär en påtaglig skada för riksintresset. </w:t>
      </w:r>
    </w:p>
    <w:p>
      <w:pPr>
        <w:pStyle w:val="P14"/>
      </w:pPr>
      <w:r>
        <w:t xml:space="preserve">Enligt Miljöbalken 3 kap. 1§ ska mark- och vattenområden användas för det eller de ändamål de är mest lämpade för med hänsyn till beskaffenhet och läge samt föreliggande behov. </w:t>
      </w:r>
    </w:p>
    <w:p>
      <w:pPr>
        <w:pStyle w:val="P14"/>
        <w:rPr>
          <w:i w:val="1"/>
          <w:iCs w:val="1"/>
        </w:rPr>
      </w:pPr>
      <w:r>
        <w:t xml:space="preserve">Kommunen har gjort bedömningen att markområdet är mest lämpat för att användas till den föreslagna detaljplaneläggningen då platsen läge, markens beskaffenhet och framför allt föreliggande behov är starkt prioriterat. Krematoriebyggnaden med tillhörande begravningsplats är förvisso inte av riksintresse men har ett stort allmänintresse. Placeringen, med dess närhet till nya Kiruna centrum, har också ett mycket högt värde. </w:t>
      </w:r>
    </w:p>
    <w:p>
      <w:pPr>
        <w:pStyle w:val="P14"/>
      </w:pPr>
      <w:r>
        <w:rPr>
          <w:b w:val="1"/>
          <w:bCs w:val="1"/>
        </w:rPr>
        <w:t>Riksintresse för kommunikation</w:t>
      </w:r>
      <w:r>
        <w:br w:type="textWrapping"/>
        <w:t>Det föreslagna planområdet sammanfaller med område av riksintresse för kommunikation: Kiruna flygplats och väg E 10.</w:t>
      </w:r>
    </w:p>
    <w:p>
      <w:pPr>
        <w:pStyle w:val="P14"/>
      </w:pPr>
      <w:r>
        <w:t xml:space="preserve">Det aktuella planområdet berör MSA-yta för Kiruna flygplats. För området gäller höjdbegränsningar. Detaljplanen kommer att utformas så att angivna höjdbegränsningar innehålls. För att säkerställa att planförslaget inte påtagligt försvårar nyttjandet av flygplatsen kommer planbeskrivningen lämnas på remiss till Kiruna flygplats, det avser såväl militär som civil flygtrafik. </w:t>
      </w:r>
    </w:p>
    <w:p>
      <w:pPr>
        <w:pStyle w:val="P14"/>
      </w:pPr>
      <w:r>
        <w:t xml:space="preserve">Det utpekade riksintresset för väg avser en, av Trafikverket angiven, planeringskorridor för dragning av E10. Den aktuella vägen (E10) är nu byggd varför planeringskorridoren har spelat ut sin roll. Det aktuella planområdet berör inte vägområdet. Den föreslagna detaljplanen bedöms därför inte påtagligt skada riksintresset för väg. </w:t>
      </w:r>
    </w:p>
    <w:p>
      <w:pPr>
        <w:pStyle w:val="P14"/>
      </w:pPr>
      <w:r>
        <w:rPr>
          <w:b w:val="1"/>
          <w:bCs w:val="1"/>
        </w:rPr>
        <w:t>Riksintresse för totalförsvaret</w:t>
      </w:r>
      <w:r>
        <w:br w:type="textWrapping"/>
        <w:t>Området omfattas av riksintresse för totalförsvaret, 3 kap 9 § miljöbalken. Planområdet ligger helt under område med särskilt behov av hindersfrihet för civil flygplats (av betydelse för totalförsvaret) samt berörs i en liten del av ”övrigt påverkansområde”. Med ett övrigt påverkansområde avses ett område utanför riksintresseområdet för ett riksintresse vilkets funktion omfattas av sekretess, inom vilket en verksamhet eller åtgärd riskerar att påverka funktionen, tillträdet till eller möjligheten att utnyttja riksintresset. Det illustrerar även område där den verksamhet som bedrivs inom riksintresset kan påverka omgivningen.</w:t>
      </w:r>
    </w:p>
    <w:p>
      <w:pPr>
        <w:pStyle w:val="P14"/>
      </w:pPr>
      <w:r>
        <w:t xml:space="preserve">Det är endast Försvarsmakten som kan göra bedömningen av om en åtgärd medför påtaglig skada på ett riksintresse för totalförsvarets militära del. Detaljplanen ska därför remitteras till Försvarsmakten för bedömning. </w:t>
      </w:r>
    </w:p>
    <w:p>
      <w:pPr>
        <w:pStyle w:val="P14"/>
      </w:pPr>
      <w:r>
        <w:rPr>
          <w:b w:val="1"/>
          <w:bCs w:val="1"/>
          <w:u w:val="single"/>
        </w:rPr>
        <w:t>Miljökonsekvenser</w:t>
      </w:r>
      <w:r>
        <w:br w:type="textWrapping"/>
        <w:t>Läs mer: Miljökonsekvensbeskrivning Kiruna skogskyrkogård, kapitel 5.</w:t>
      </w:r>
    </w:p>
    <w:p>
      <w:pPr>
        <w:pStyle w:val="P14"/>
      </w:pPr>
      <w:r>
        <w:rPr>
          <w:b w:val="1"/>
          <w:bCs w:val="1"/>
        </w:rPr>
        <w:t>Naturmiljö</w:t>
      </w:r>
      <w:r>
        <w:br w:type="textWrapping"/>
        <w:t xml:space="preserve">Naturmiljön har tidigare beskrivits i planbeskrivningen. Därför kommer endast bedömningen och åtgärdsförslaget från miljökonsekvensbeskrivningen att sammanfattas här. </w:t>
      </w:r>
    </w:p>
    <w:p>
      <w:pPr>
        <w:pStyle w:val="P14"/>
      </w:pPr>
      <w:r>
        <w:t xml:space="preserve">Vid ett genomförande av planförslaget är bedömningen att det inte innebär intrång i några värdefulla naturområden då området inte är skyddat, och enligt naturvärdesinventeringen endast innehåller allmänna och låga naturvärden. Dock kommer vissa delar av området under anläggningsfasen omfattas av markbearbetning som är nödvändiga för gravplatser, samt andra delar av planområdet kommer exploateras för parkeringsplatser och servicebyggnader, som därför bedöms innebära en negativ konsekvens för naturmiljön. </w:t>
      </w:r>
    </w:p>
    <w:p>
      <w:pPr>
        <w:pStyle w:val="P14"/>
      </w:pPr>
      <w:r>
        <w:t xml:space="preserve">Planförslaget omfattar även en minneslund, vars askspridning kan ha påverkan på vegetationen i form av en gödslingseffekt. </w:t>
      </w:r>
    </w:p>
    <w:p>
      <w:pPr>
        <w:pStyle w:val="P14"/>
      </w:pPr>
      <w:r>
        <w:t>I jämförelse med ett nollalternativ bedöms planförslaget medföra en relativt liten till måttligt negativ konsekvens.</w:t>
      </w:r>
    </w:p>
    <w:p>
      <w:pPr>
        <w:pStyle w:val="P14"/>
      </w:pPr>
      <w:r>
        <w:t xml:space="preserve">För att stärka kopplingarna mellan omgivande naturmark och skapa sammanhängande spridningsvägar kommer Kiruna kommun enligt planförslaget dels i den mån det är möjligt spara skyddsvärda träd, dels sammanhängande vegetationsområden och trädbestånd. För att behålla biotoper för skyddsvärda arter, fåglar och skogshare som identifierats i området föreslås i naturvärdesinventeringen att fjällbjörk och enris tillåts växa i kanterna på begravningsplatsen. </w:t>
      </w:r>
    </w:p>
    <w:p>
      <w:pPr>
        <w:pStyle w:val="P14"/>
      </w:pPr>
      <w:r>
        <w:t xml:space="preserve">Utifrån den utförda naturvärdesinventeringen beskrivs det att vid avverkning av trädbestånd kan lämnade träd som plötsligt blir utsatta för kraftigare vindar lätt ta skada genom att brytas eller blåsa omkull då intilliggande träd som tidigare fungerat som skydd inte finns längre17. </w:t>
      </w:r>
    </w:p>
    <w:p>
      <w:pPr>
        <w:pStyle w:val="P14"/>
      </w:pPr>
      <w:r>
        <w:t xml:space="preserve">Träden som pekas ut som skyddsvärda i naturvärdesinventeringen är tydligt äldre än träden intill vilket skulle betyda att dessa träd redan påverkats av vind vid tidigare avverkning. Därför föreslås det att dessa träd med fördel sparas som växtlighet i en begravningsplats. Vidare är den största delen av de utpekade skyddsvärda träden av arten tall, och många insektsarter lever på just solbelysta äldre tallar, så ytterligare ett förslag som naturvärdesinventeringen föreslår är att genom att spara dessa träd samt avverka tilliggande träd kan man skapa biotoper för arter som kräver denna typ av miljö. </w:t>
      </w:r>
    </w:p>
    <w:p>
      <w:pPr>
        <w:pStyle w:val="P14"/>
      </w:pPr>
      <w:r>
        <w:t xml:space="preserve">Åtgärdsförslagen bedöms minska de negativa konsekvenser som planförslaget innebär för de skyddade arternas biotoper och spridningsvägar genom att åtgärdsförslagen syftar till att spara skyddsvärda träd och sammanhängande områden med vegetation. </w:t>
      </w:r>
    </w:p>
    <w:p>
      <w:pPr>
        <w:pStyle w:val="P14"/>
      </w:pPr>
      <w:r>
        <w:t>En plan för bevarande av vegetation och ett skötselprogram för att främja biotoperna föreslås.</w:t>
      </w:r>
    </w:p>
    <w:p>
      <w:pPr>
        <w:pStyle w:val="P14"/>
      </w:pPr>
      <w:r>
        <w:rPr>
          <w:b w:val="1"/>
          <w:bCs w:val="1"/>
        </w:rPr>
        <w:t>Dagvatten</w:t>
      </w:r>
      <w:r>
        <w:br w:type="textWrapping"/>
        <w:t xml:space="preserve">Dagvattensituationen har tidigare beskrivits i planbeskrivningen. Därför kommer endast bedömningen och åtgärdsförslaget från miljökonsekvensbeskrivningen att sammanfattas här. </w:t>
      </w:r>
      <w:r>
        <w:rPr>
          <w:i w:val="1"/>
          <w:iCs w:val="1"/>
        </w:rPr>
        <w:t>Mer information i Miljökonsekvensbeskrivning Kiruna skogskyrkogård, stycke 5.2.</w:t>
      </w:r>
    </w:p>
    <w:p>
      <w:pPr>
        <w:pStyle w:val="P14"/>
      </w:pPr>
      <w:r>
        <w:t xml:space="preserve">EU:s ramdirektiv för vatten (eller vattendirektivet) (2000/60/EG) och dotterdirektivet om miljökvalitetsnormer (2008/105/EG), definierar de svenska (och europeiska) målen för förvaltning av alla former av vatten. Målen har införlivats i svensk lagstiftning genom 5 kap. i miljöbalken, förordningen (2004:660) </w:t>
      </w:r>
      <w:r>
        <w:rPr>
          <w:i w:val="1"/>
          <w:iCs w:val="1"/>
        </w:rPr>
        <w:t xml:space="preserve">om förvaltning av kvaliteten på vattenmiljön </w:t>
      </w:r>
      <w:r>
        <w:t xml:space="preserve">och förordningen (2017:868) </w:t>
      </w:r>
      <w:r>
        <w:rPr>
          <w:i w:val="1"/>
          <w:iCs w:val="1"/>
        </w:rPr>
        <w:t>med länsstyrelseinstruktion</w:t>
      </w:r>
      <w:r>
        <w:t xml:space="preserve">. </w:t>
      </w:r>
    </w:p>
    <w:p>
      <w:pPr>
        <w:pStyle w:val="P14"/>
      </w:pPr>
      <w:r>
        <w:t xml:space="preserve">Sveriges ytvatten är idag indelade i geografiska delområden som kallas vattenförekomster och fem vattendelegationer har tagit beslut om kvalitetskrav (miljökvalitetsnormer) för ekologisk status och kemisk ytvattenstatus för vattenförekomsterna inom respektive distrikt. Aktuell status i förekomsterna bedöms och uppdateras fortlöpande av myndigheterna. </w:t>
      </w:r>
    </w:p>
    <w:p>
      <w:pPr>
        <w:pStyle w:val="P14"/>
      </w:pPr>
      <w:r>
        <w:t xml:space="preserve">Syftet med miljökvalitetsnormerna (MKN) är att tillståndet i våra vatten inte ska försämras och att alla vatten ska uppnå en bestämd miljökvalitet. Grundregeln är att MKN ska fastställas till ”god status”, och att normen ska uppnås innan aktuell förvaltningscykel är slut (för närvarande år 2021). Beroende på vattenförekomstens nuvarande status kan vattendelegationerna fastställa kvalitetskrav på en nivå som är lägre än god status alternativt att tiden för när god status ska vara uppnådd skjuts fram. </w:t>
      </w:r>
    </w:p>
    <w:p>
      <w:pPr>
        <w:pStyle w:val="P14"/>
      </w:pPr>
      <w:r>
        <w:t xml:space="preserve">God ekologisk status innebär att ytvattnets växt- och djurliv, vattnets flöden och förekomst av vandringshinder för fisk, struktur på bottnar och stränder, samt de fysikalisk-kemiska förhållandena i vattnet inte får uppvisa mer än små avvikelser från vad som betraktas som naturliga förhållanden för den typen av vatten i det området. Ekologisk status har följande klassningar: hög, god, måttlig, otillfredsställande och dålig. God kemisk status innebär att en vattenförekomst inte får ha högre halter av förorenande eller giftiga ämnen än vad miljökvalitetsnormen anger. De ämnen som ingår i klassificeringen av ytvatten är de 45 prioriterade ämnen som EU har satt upp gemensamma gränsvärden för (Direktivet 2013/39/EU). </w:t>
      </w:r>
    </w:p>
    <w:p>
      <w:pPr>
        <w:pStyle w:val="P14"/>
      </w:pPr>
      <w:r>
        <w:t>Gränsvärden för kvicksilver och polybromerade difenyletrar (PBDE) överskrids i alla Sveriges ytvattenförekomster pga. atmosfärisk deposition. Detta medför att samtliga ytvatten i Sverige klassificeras till ”Uppnår ej god kemisk status med avseende på kvicksilver och PBDE”.</w:t>
      </w:r>
    </w:p>
    <w:p>
      <w:pPr>
        <w:pStyle w:val="P14"/>
      </w:pPr>
      <w:r>
        <w:t>Enligt styrdokumentet ”Grundförutsättningar för dagvattenhantering i Nya Kiruna C”22 för dagvattenhantering inom nya Kiruna centrum ska skador orsakat av dagvatten förebyggas, ytlig avrinning ska eftersträvas och dagvattnet ska i största möjliga mån infiltreras eller fördröjas inom planområdet.</w:t>
      </w:r>
    </w:p>
    <w:p>
      <w:pPr>
        <w:pStyle w:val="P14"/>
      </w:pPr>
      <w:r>
        <w:t xml:space="preserve">I syfte att utvärdera planförslagets eventuella påverkan på MKN för Toullujoki har uppskattningar av föroreningsmängder före respektive efter exploatering genomförts. För befintlig markanvändning har antagits att hela planområdet utgörs av naturmark. För kommande markanvändning har schablonhalter för parkområden, takytor och parkering använts. </w:t>
      </w:r>
    </w:p>
    <w:p>
      <w:pPr>
        <w:pStyle w:val="P14"/>
      </w:pPr>
      <w:r>
        <w:t>Den planerade exploateringen av området kommer medföra att föroreningshalterna från området kommer öka. De största procentuella ökningarna står fosfor och kvicksilver för.</w:t>
      </w:r>
    </w:p>
    <w:p>
      <w:pPr>
        <w:pStyle w:val="P14"/>
        <w:rPr>
          <w:i w:val="1"/>
          <w:iCs w:val="1"/>
        </w:rPr>
      </w:pPr>
      <w:r>
        <w:t>Sammanfattningsvis bedöms den föreslagna dagvattenhanteringen vara i linje med styrdokumentet för dagvattenhantering i nya Kiruna centrum och innebär en säker avledning av dagvatten från planområdet vid både normalregn och skyfall.</w:t>
      </w:r>
    </w:p>
    <w:p>
      <w:pPr>
        <w:pStyle w:val="P14"/>
      </w:pPr>
      <w:r>
        <w:t>I jämförelse med ett nollalternativ bedöms planförslaget medföra en liten negativ konsekvens.</w:t>
      </w:r>
    </w:p>
    <w:p>
      <w:pPr>
        <w:pStyle w:val="P14"/>
      </w:pPr>
      <w:r>
        <w:t xml:space="preserve">Dagvattenutredningen ger följande åtgärdsrekommendationer: </w:t>
      </w:r>
    </w:p>
    <w:p>
      <w:pPr>
        <w:pStyle w:val="P14"/>
        <w:numPr>
          <w:ilvl w:val="0"/>
          <w:numId w:val="32"/>
        </w:numPr>
      </w:pPr>
      <w:r>
        <w:t xml:space="preserve">Byggnader och entréer höjdsätts så att de inte tar skada vid höga flöden. </w:t>
      </w:r>
    </w:p>
    <w:p>
      <w:pPr>
        <w:pStyle w:val="P14"/>
        <w:numPr>
          <w:ilvl w:val="0"/>
          <w:numId w:val="32"/>
        </w:numPr>
      </w:pPr>
      <w:r>
        <w:t xml:space="preserve">Ingen känslig bebyggelse ska placeras mellan gång- och hästtunneln under E10 och befintligt dagvattendike eftersom ytan utgör nödbräddning för dagvatten från nya Kiruna centrum. Parkeringsyta kan vara lämpligt. </w:t>
      </w:r>
    </w:p>
    <w:p>
      <w:pPr>
        <w:pStyle w:val="P14"/>
        <w:numPr>
          <w:ilvl w:val="0"/>
          <w:numId w:val="32"/>
        </w:numPr>
      </w:pPr>
      <w:r>
        <w:t xml:space="preserve">Utformningen och kapacitet för befintligt dagvattendike bör utredas ytterligare i syfte att säkerställa att diket har kapacitet att avleda tillkommande dagvatten från planområdet </w:t>
      </w:r>
    </w:p>
    <w:p>
      <w:pPr>
        <w:pStyle w:val="P14"/>
        <w:numPr>
          <w:ilvl w:val="0"/>
          <w:numId w:val="32"/>
        </w:numPr>
      </w:pPr>
      <w:r>
        <w:t xml:space="preserve">Att anlägga torra fördröjningsdammar dit dagvattnet från parkeringsytor, tak och grönområden avleds och fördröjs innan det släpps till befintligt dagvattendike. </w:t>
      </w:r>
    </w:p>
    <w:p>
      <w:pPr>
        <w:pStyle w:val="P14"/>
        <w:numPr>
          <w:ilvl w:val="0"/>
          <w:numId w:val="32"/>
        </w:numPr>
      </w:pPr>
      <w:r>
        <w:t xml:space="preserve">En lokal reningsanläggning för dräneringsvattnet från kistgravarna kan vara fördelaktigt i stället för att skicka i väg det till det kommunala avloppsreningsverket. </w:t>
      </w:r>
    </w:p>
    <w:p>
      <w:pPr>
        <w:pStyle w:val="P14"/>
      </w:pPr>
      <w:r>
        <w:t>I miljökonsekvensbeskrivningen rekommenderas att införa regelbunden skötsel på torrvattendammarna för att bibehålla maximal kapacitet. Då vissa tidsperioder kommer öka belastningen på dammarna, exempelvis vid snösmältning, blir detta en viktig åtgärd.</w:t>
      </w:r>
    </w:p>
    <w:p>
      <w:pPr>
        <w:pStyle w:val="P14"/>
      </w:pPr>
      <w:r>
        <w:rPr>
          <w:b w:val="1"/>
          <w:bCs w:val="1"/>
        </w:rPr>
        <w:t>Hydrogeologi</w:t>
      </w:r>
      <w:r>
        <w:br w:type="textWrapping"/>
        <w:t xml:space="preserve">Hydrogeologin har tidigare beskrivits i planbeskrivningen. Därför kommer endast bedömningen och åtgärdsförslaget från miljökonsekvensbeskrivningen att sammanfattas här. </w:t>
      </w:r>
    </w:p>
    <w:p>
      <w:pPr>
        <w:pStyle w:val="P14"/>
      </w:pPr>
      <w:r>
        <w:t>Inom planområdet finns inga grundvattenförekomster som är statusklassificerade enligt miljökonsekvensnormer. Den geotekniska undersökningen har dock påträffat grundvatten vid ett tillfälle inom den norra delen av planområdet vid ett djup på 2,2 meter under markytan. Detta medför att exploateringen av planområdet kan ha en påverkan på grundvattnet inom området då gravsättningen ligger vid 2,5 meter under markytan. Dräneringsvatten från begravningsplatser klassas enligt 9 kap miljöbalken som avloppsvatten och ska avledas till kommunala spillvattennätet alternativt hanteras på plats genom exempelvis markbädd. Grundvattensänkning genom dränering innebär att tillstånd för markavvattning behöver sökas enligt 11 kap miljöbalken.</w:t>
      </w:r>
    </w:p>
    <w:p>
      <w:pPr>
        <w:pStyle w:val="P14"/>
      </w:pPr>
      <w:r>
        <w:t>I jämförelse med ett nollalternativ bedöms planförslaget medföra en liten till måttligt negativ konsekvens.</w:t>
      </w:r>
    </w:p>
    <w:p>
      <w:pPr>
        <w:pStyle w:val="P14"/>
      </w:pPr>
      <w:r>
        <w:t>I miljökonsekvensbeskrivningen lämnas endast de föreslagna åtgärderna från den hydrogeologiska undersökningen:</w:t>
      </w:r>
    </w:p>
    <w:p>
      <w:pPr>
        <w:pStyle w:val="P14"/>
        <w:numPr>
          <w:ilvl w:val="0"/>
          <w:numId w:val="33"/>
        </w:numPr>
      </w:pPr>
      <w:r>
        <w:t>Att området vid kistgravarna schaktas upp i samband att området blockrensas och att ett dränerande lager om minst 300 mm anläggs naturligt lagrad morän och blockrensade massor med mellanliggande geotextil.</w:t>
      </w:r>
    </w:p>
    <w:p>
      <w:pPr>
        <w:pStyle w:val="P14"/>
        <w:numPr>
          <w:ilvl w:val="0"/>
          <w:numId w:val="33"/>
        </w:numPr>
      </w:pPr>
      <w:r>
        <w:t xml:space="preserve">Att mätningar av grundvattennivån utförs under ett år för att fånga årstidsvariationer samt att komplettera med installationer av grundvattenrör där det planeras för kistgravar. </w:t>
      </w:r>
    </w:p>
    <w:p>
      <w:pPr>
        <w:pStyle w:val="P14"/>
      </w:pPr>
      <w:r>
        <w:rPr>
          <w:b w:val="1"/>
          <w:bCs w:val="1"/>
          <w:u w:val="single"/>
        </w:rPr>
        <w:t>Klimatpåverkan</w:t>
      </w:r>
      <w:r>
        <w:rPr>
          <w:b w:val="1"/>
          <w:i w:val="1"/>
          <w:bCs w:val="1"/>
          <w:iCs w:val="1"/>
        </w:rPr>
        <w:br w:type="textWrapping"/>
      </w:r>
      <w:r>
        <w:t xml:space="preserve">Exploatering av planområdet kommer innebära en delvis avverkning av befintliga skog. Avverkning av skogen kommer att sannolikt minska skogens förmåga att binda och lagra kol men effekten är berörd av avverkningsgrad. </w:t>
      </w:r>
    </w:p>
    <w:p>
      <w:pPr>
        <w:pStyle w:val="P14"/>
      </w:pPr>
      <w:r>
        <w:t xml:space="preserve">Användningen av krematoriet och utsläpp som uppstår vid förbränning kan leda till en negativ klimatpåverkan. Sveriges kyrkogårds och krematorieförbundets målsättning att driva krematorier fossilfritt med att använda biobränsle i stället för fossilt bränsle kommer att begränsa den negativa klimatpåverkan från förbränning. Däremot kommer växthusgasutsläpp från förbränning av avlidnas kroppen samt kistan ha en liten negativ klimatpåverkan. </w:t>
      </w:r>
    </w:p>
    <w:p>
      <w:pPr>
        <w:pStyle w:val="P14"/>
      </w:pPr>
      <w:r>
        <w:t>Planerad begravningsplats och verksamheten som medföljer kommer sannolikt att leda till en ökning av trafikaktivitet i och runt planområdet. Ökad trafikaktivitet kommer främst att uppstå på grund av besökare men även bestå av fordon som behövs för att driva och underhålla begravningsplatsen. Fordonstrafik som drivs av fossilt bränsle och förbränningsmotorer har en negativ klimatpåverkan på grund av deras utsläpp av växthusgaser samt aerosoler.</w:t>
      </w:r>
    </w:p>
    <w:p>
      <w:pPr>
        <w:pStyle w:val="P14"/>
      </w:pPr>
      <w:r>
        <w:t xml:space="preserve">I jämförelse med ett nollalternativ bedöms planförslaget medföra en obetydlig till liten negativ konsekvens. Detta avser att planområdet är relativt liten (cirka 12 hektar) och även med exploatering kommer en stor del av vegetation som kan binda kol finnas kvar i form av trä, buskar samt gräs. </w:t>
      </w:r>
    </w:p>
    <w:p>
      <w:pPr>
        <w:pStyle w:val="P14"/>
      </w:pPr>
      <w:r>
        <w:t>Jämfört med ett nollalternativ är planförslaget närmare Kiruna centrum och därmed en bättre förutsättningen att nå området till fots eller med hjälp av cykel och därmed kan klimatavtrycket minskas.</w:t>
      </w:r>
    </w:p>
    <w:p>
      <w:pPr>
        <w:pStyle w:val="P14"/>
      </w:pPr>
      <w:r>
        <w:t xml:space="preserve">Med användning av förnybart bränsle i kremeringsprocessen kommer klimatpåverkan vara begränsad främst till det utsläpp som uppstår från föremål som blir kremerad. </w:t>
      </w:r>
    </w:p>
    <w:p>
      <w:pPr>
        <w:pStyle w:val="P14"/>
      </w:pPr>
      <w:r>
        <w:t xml:space="preserve">Planområdet är inom gång och cykelavstånd från Kiruna nya stadskärna samt Kirunas befintliga centrumkärna. Att ha bra tillgänglighet för gång- och cykeltrafikanter mellan Kiruna centrum och planområdet är viktigt för att underlätta en alternativ till motorfordon. </w:t>
      </w:r>
    </w:p>
    <w:p>
      <w:pPr>
        <w:pStyle w:val="P14"/>
      </w:pPr>
      <w:r>
        <w:t xml:space="preserve">Att använda elfordon när det bedöms vara lämpligt inom begravningsplatsens verksamhet skulle minska användningen av fossilt bränsle och därmed påverkan på klimatet. Att ha möjlighet för besökare att ladda fordon inom begravningsplatsens parkering skulle även minska beroendet av fossila bränslen. </w:t>
      </w:r>
    </w:p>
    <w:p>
      <w:pPr>
        <w:pStyle w:val="P14"/>
      </w:pPr>
      <w:r>
        <w:t xml:space="preserve">Att minimera avverkning av träd skulle begränsa exploateringspåverkan på planområdets förmåga att binda kol. Skog och träd som avverkas bör ersättas med andra växlighet som kan kompenseras för en minskning av kolbindning. </w:t>
      </w:r>
    </w:p>
    <w:p>
      <w:pPr>
        <w:pStyle w:val="P14"/>
      </w:pPr>
      <w:r>
        <w:t xml:space="preserve">Att använda förnybart bränsle istället för fossilt bränsle i krematorieverksamhet skulle minska klimatpåverkan. </w:t>
      </w:r>
    </w:p>
    <w:p>
      <w:pPr>
        <w:pStyle w:val="P14"/>
      </w:pPr>
      <w:r>
        <w:rPr>
          <w:b w:val="1"/>
          <w:bCs w:val="1"/>
        </w:rPr>
        <w:t>Luftkvalitet</w:t>
      </w:r>
      <w:r>
        <w:br w:type="textWrapping"/>
        <w:t xml:space="preserve">Luftkvaliteten i Norrbotten är generellt sett mycket god. Länsstyrelsen i Norrbotten bedömer att miljökvalitetsmålet </w:t>
      </w:r>
      <w:r>
        <w:rPr>
          <w:i w:val="1"/>
          <w:iCs w:val="1"/>
        </w:rPr>
        <w:t xml:space="preserve">Frisk Luft </w:t>
      </w:r>
      <w:r>
        <w:t>är nära att nås i länet som helhet. Åtta av miljömålets totalt tio preciseringar uppnåddes år 2020. De preciseringar som inte uppnåddes var marknära ozon och PM10.</w:t>
      </w:r>
    </w:p>
    <w:p>
      <w:pPr>
        <w:pStyle w:val="P14"/>
      </w:pPr>
      <w:r>
        <w:t>Mätning av luftkvaliteten i Kiruna genomfördes år 2015/2016 som en del av den luftkvalitetsövervakning som samordnas av Urbannätverket. Resultatet av mätningen som utfördes vid Centralskolan i Kiruna uppvisade generellt låga dygnsmedelvärden av NO2 (29 μg/m</w:t>
      </w:r>
      <w:r>
        <w:rPr>
          <w:vertAlign w:val="superscript"/>
        </w:rPr>
        <w:t>3</w:t>
      </w:r>
      <w:r>
        <w:t>) och inga överskridanden förelåg av vare sig miljökvalitetsnormer (MKN) eller utvärderingströsklarna för dygnsmedelvärden. Avseende PM10 uppvisades halter långt under MKN som årsmedelvärde (13 μg/m</w:t>
      </w:r>
      <w:r>
        <w:rPr>
          <w:vertAlign w:val="superscript"/>
        </w:rPr>
        <w:t>3</w:t>
      </w:r>
      <w:r>
        <w:t xml:space="preserve">).40 </w:t>
      </w:r>
    </w:p>
    <w:p>
      <w:pPr>
        <w:pStyle w:val="P14"/>
      </w:pPr>
      <w:r>
        <w:t>För Kiruna kommun är det enbart marknära ozon och bensapyren som bedöms överskrida miljömålet. Förekomsten av marknära ozon och förorenande luftmassor med ozonbildande ämnen i kommunen härrör huvudsakligen från utsläpp i andra länder. Möjligheterna för kommunen att reducera halterna av marknära ozon saknas därmed. Förekomsten av bensapyren orsakas främst av lokal vedeldning där halterna under kalla vinterdagar riskerar att bli höga även inom mindre orter. Det har emellertid inte gjorts några mätningar av bensapyren i utomhusluften i Norrbotten sedan 2012/2013. Vid detta tillfälle överskred haltnivåerna miljömålet i Kiruna.</w:t>
      </w:r>
    </w:p>
    <w:p>
      <w:pPr>
        <w:pStyle w:val="P14"/>
      </w:pPr>
      <w:r>
        <w:t>Idag består planområdet till huvudsak av skog, vilket sannolikt inte innebär några källor till luftföroreningar.</w:t>
      </w:r>
    </w:p>
    <w:p>
      <w:pPr>
        <w:pStyle w:val="P14"/>
      </w:pPr>
      <w:r>
        <w:t xml:space="preserve">Påverkan på luftkvaliteten kommer att uppstå i planområdet med omnejd till följd av kremeringsverksamhet och en ökning av fordonstrafik. </w:t>
      </w:r>
    </w:p>
    <w:p>
      <w:pPr>
        <w:pStyle w:val="P14"/>
      </w:pPr>
      <w:r>
        <w:t xml:space="preserve">De luftföroreningar som riskerar att släppas ut under kremationsprocessen och ge förhöjda haltnivåer i omgivningen bedöms vara partiklar (PM10), kväveoxider (NO2), kolmonoxid (CO), kvicksilver (Hg). </w:t>
      </w:r>
    </w:p>
    <w:p>
      <w:pPr>
        <w:pStyle w:val="P14"/>
      </w:pPr>
      <w:r>
        <w:t>Utsläpp till luft förekommer främst från förbränningen i samband med kremering. Krematorieugnarna är vanligtvis uppvärmda med stödbränsle i form av olja eller gas. Utsläpp från krematorier berörs av förbränningsteknik samt om anläggningen är försedd med rökgasrening. Utsläpp av kvicksilver (Hg) kan också förekomma under kremeringsprocessen men förväntas att minska i framtiden i takt med en minskad användning av amalgamtandfyllningar. En ökning av fordonstrafik på närliggande gator och vägar i samband med exploatering av planområdet bidrar till ett ökat utsläpp av partiklar (PM10) samt kväveoxider och därmed en försämrad luftkvalité.</w:t>
      </w:r>
    </w:p>
    <w:p>
      <w:pPr>
        <w:pStyle w:val="P14"/>
      </w:pPr>
      <w:r>
        <w:t>I jämförelse med ett nollalternativ bedöms planförslaget medföra en liten negativ konsekvens.</w:t>
      </w:r>
    </w:p>
    <w:p>
      <w:pPr>
        <w:pStyle w:val="P14"/>
        <w:rPr>
          <w:i w:val="1"/>
          <w:iCs w:val="1"/>
        </w:rPr>
      </w:pPr>
      <w:r>
        <w:t xml:space="preserve">Miljökonsekvensbeskrivningen anger följande med avseende på åtgärder: För planområdet har ingen luftutredning gjorts. Inför kommande tillståndsprövning för kremeringsverksamhet rekommenderas att en utförlig luftkvalitetsutredning genomförs för att kvantifiera luftföroreningar från planerad verksamhet. </w:t>
      </w:r>
    </w:p>
    <w:p>
      <w:pPr>
        <w:pStyle w:val="P14"/>
      </w:pPr>
      <w:r>
        <w:rPr>
          <w:u w:val="single"/>
        </w:rPr>
        <w:t>Risk och säkerhet</w:t>
      </w:r>
      <w:r>
        <w:br w:type="textWrapping"/>
        <w:t xml:space="preserve">De risker man titta på i miljökonsekvensbeskrivningen är transport av farligt gods, krematorieverksamheten, översvämningar samt eventuell brand på Kiruna avfallsanläggning. </w:t>
      </w:r>
    </w:p>
    <w:p>
      <w:pPr>
        <w:pStyle w:val="P14"/>
      </w:pPr>
      <w:r>
        <w:rPr>
          <w:b w:val="1"/>
          <w:bCs w:val="1"/>
        </w:rPr>
        <w:t xml:space="preserve">Transport av farligt gods </w:t>
      </w:r>
      <w:r>
        <w:rPr>
          <w:i w:val="1"/>
          <w:iCs w:val="1"/>
        </w:rPr>
        <w:br w:type="textWrapping"/>
      </w:r>
      <w:r>
        <w:t>Väg E10 är en primärt rekommenderad transportled för farligt gods. Farligt gods är ett samlingsbegrepp för ämnen och produkter som har sådana egenskaper att de kan skada människor, miljö och egendom vid en olycka eller felaktig hantering vid transport och lagring.</w:t>
      </w:r>
    </w:p>
    <w:p>
      <w:pPr>
        <w:pStyle w:val="P14"/>
      </w:pPr>
      <w:r>
        <w:t xml:space="preserve">Baserat på begravningsplatsens bedömning utifrån bland annat bebyggelsezon C (Normalkänslig verksamhet) ska ett invallat skyddsavstånd från vägen vara mellan 15–20 meter för ett tungt trafikflöde mellan 1600–2200 transporter/dygn. Enligt detaljplanen skall en s.k. bullervall anläggas med ett avstånd på cirka 35 meter efter resultaten från en bullerutredning. Detta innebär att säkerhetsavståndet uppfylls för den verksamhet som detaljplanen medger och konsekvensen bedöms därmed som obetydlig. </w:t>
      </w:r>
    </w:p>
    <w:p>
      <w:pPr>
        <w:pStyle w:val="P14"/>
      </w:pPr>
      <w:r>
        <w:t>I jämförelse med ett nollalternativ bedöms planförslaget medföra en obetydlig konsekvens för riskerna med transport av farligt gods längs E10. Detta eftersom själva begravningsplatsen inte bedöms bidra till eventuella olyckor på vägen.</w:t>
      </w:r>
    </w:p>
    <w:p>
      <w:pPr>
        <w:pStyle w:val="P14"/>
      </w:pPr>
      <w:r>
        <w:t>Mot väg E10 kommer en vall att anordnas, först och främst för att dämpa trafikbuller men också som ett skydd avseende risk för olycka vid transport. En bestämmelse har lagts in i plankartan för att säkerställa att vallen uppförs.</w:t>
      </w:r>
    </w:p>
    <w:p>
      <w:pPr>
        <w:pStyle w:val="P14"/>
      </w:pPr>
      <w:r>
        <w:rPr>
          <w:b w:val="1"/>
          <w:bCs w:val="1"/>
        </w:rPr>
        <w:t xml:space="preserve">Översvämningsrisker </w:t>
      </w:r>
      <w:r>
        <w:rPr>
          <w:i w:val="1"/>
          <w:iCs w:val="1"/>
        </w:rPr>
        <w:br w:type="textWrapping"/>
      </w:r>
      <w:r>
        <w:t>Huvuddelen av planområdet utgörs av morän med en medelhög genomsläpplighet. I dagsläget avvattnas området i nordöstlig riktning mot ett större våtmarksområde som slutligen mynnar i sjön Tuollujärvi. Längs östra delen av planområdet löper ett dagvattendike där dagvatten från ett större område inom nya Kiruna centrum avvattnas norrut mot våtmarksområdet. I diket mynnar även en ledning med dräneringsvatten från en gångbro under väg E10. Det finns inga trummor eller ledningar inom eller nedströms planområdet som påverkar dagvattenhanteringen.</w:t>
      </w:r>
    </w:p>
    <w:p>
      <w:pPr>
        <w:pStyle w:val="P14"/>
      </w:pPr>
      <w:r>
        <w:t>Utförd simulering av översvämningsrisker vid ett 100-årsregn visar att inga större vattenansamlingar riskerar uppstå inom planområdet21. En total fördröjningsvolym för hela planområdet har beräknats utifrån ett mål om att flödet inte får öka efter exploatering. För ett 20-årsregn med klimatfaktor 1,25 blir den totala fördröjningsvolymen ca 240 m</w:t>
      </w:r>
      <w:r>
        <w:rPr>
          <w:vertAlign w:val="superscript"/>
        </w:rPr>
        <w:t>3</w:t>
      </w:r>
      <w:r>
        <w:t xml:space="preserve">. Konsekvensen bedöms som liten negativ. </w:t>
      </w:r>
    </w:p>
    <w:p>
      <w:pPr>
        <w:pStyle w:val="P14"/>
      </w:pPr>
      <w:r>
        <w:t>I jämförelse med ett nollalternativ bedöms planförslaget medföra en liten negativ konsekvens. Detta eftersom marken kommer beredas med viss del hårdgjorda ytor och borttagande av befintlig vegetation.</w:t>
      </w:r>
    </w:p>
    <w:p>
      <w:pPr>
        <w:pStyle w:val="P14"/>
      </w:pPr>
      <w:r>
        <w:t xml:space="preserve">Genomförd dagvattenutredning visar att dagvatten inom planområdet vid skyfall lämpligast avleds genom ytlig avrinning. Områdets naturliga lutning åt norr medför att dagvattnet, likt idag, avvattnas mot våtmarksområdet i norr. </w:t>
      </w:r>
    </w:p>
    <w:p>
      <w:pPr>
        <w:pStyle w:val="P14"/>
      </w:pPr>
      <w:r>
        <w:t>För att kunna fördröja 240 m</w:t>
      </w:r>
      <w:r>
        <w:rPr>
          <w:vertAlign w:val="superscript"/>
        </w:rPr>
        <w:t>3</w:t>
      </w:r>
      <w:r>
        <w:t xml:space="preserve"> vatten rekommenderas det att anlägga torra fördröjningsdammar dit dagvattnet från parkeringsytor, tak och grönområden avleds och fördröjs innan det släpps till befintligt dagvattendike vid större skyfall. </w:t>
      </w:r>
    </w:p>
    <w:p>
      <w:pPr>
        <w:pStyle w:val="P14"/>
      </w:pPr>
      <w:r>
        <w:t>Torra fördröjningsdammar är nedsänkta gröna ytor med flacka slänter som fylls med vatten vid höga flöden varmed en tillfällig vattenspegel bildas för sen att försvinna successivt när tillrinningen avtar. De utformas med ett bottenutlopp som kan strypas varmed flödet nedströms regleras.</w:t>
      </w:r>
    </w:p>
    <w:p>
      <w:pPr>
        <w:pStyle w:val="P14"/>
      </w:pPr>
      <w:r>
        <w:rPr>
          <w:b w:val="1"/>
          <w:bCs w:val="1"/>
        </w:rPr>
        <w:t>Krematorieverksamhet</w:t>
      </w:r>
      <w:r>
        <w:t xml:space="preserve"> </w:t>
        <w:br w:type="textWrapping"/>
        <w:t>Syftet med detaljplanen är att skapa utrymme för en begravningsplats med tillhörande verksamheter. En av dessa verksamheter är ett nytt krematorium. Enligt Naturvårdverkets branschfaktablad för krematorieverksamhet46 använder svenska krematorieugnar framförallt oljebrännare eller gasbrännare med eldningsolja, rapsmetylester eller naturgas som stödbränsle vid kremering.</w:t>
      </w:r>
      <w:r>
        <w:rPr>
          <w:i w:val="1"/>
          <w:iCs w:val="1"/>
        </w:rPr>
        <w:t xml:space="preserve"> </w:t>
      </w:r>
    </w:p>
    <w:p>
      <w:pPr>
        <w:pStyle w:val="P14"/>
      </w:pPr>
      <w:r>
        <w:t xml:space="preserve">Brandfarligt stödbränsle utgör viss risk för spridning av brand och i värsta fall explosion. Konsekvensen av olyckor bedöms därför som måttligt negativ. </w:t>
      </w:r>
    </w:p>
    <w:p>
      <w:pPr>
        <w:pStyle w:val="P14"/>
      </w:pPr>
      <w:r>
        <w:t>På grund av lagring och hantering av brandfarligt stödbränsle som kan bidra till olyckor bedöms planförslaget medföra måttligt negativa konsekvenser i jämförelse med nollalternativet.</w:t>
      </w:r>
    </w:p>
    <w:p>
      <w:pPr>
        <w:pStyle w:val="P14"/>
      </w:pPr>
      <w:r>
        <w:t>Installationen av krematoriet, hanteringen och förvaringen av stödbränsle kommer följa gällande lagstiftning (SFS 2010:1011) och säkerhetsföreskrifter från Myndigheten för Samhällsskydd och beredskap. Dessa ställer höga säkerhetskrav på verksamheten vilket anses som tillräckligt som riskminskningsåtgärd.</w:t>
      </w:r>
    </w:p>
    <w:p>
      <w:pPr>
        <w:pStyle w:val="P14"/>
      </w:pPr>
      <w:r>
        <w:rPr>
          <w:b w:val="1"/>
          <w:bCs w:val="1"/>
        </w:rPr>
        <w:t xml:space="preserve">Risker vid eventuell brand Kiruna avfallsanläggning </w:t>
      </w:r>
      <w:r>
        <w:br w:type="textWrapping"/>
        <w:t>Väster om planområdet ligger Kiruna avfallsanläggning på ett avstånd om cirka 600–800 meter.</w:t>
      </w:r>
    </w:p>
    <w:p>
      <w:pPr>
        <w:pStyle w:val="P14"/>
      </w:pPr>
      <w:r>
        <w:rPr>
          <w:i w:val="1"/>
          <w:iCs w:val="1"/>
        </w:rPr>
        <w:t xml:space="preserve"> </w:t>
      </w:r>
      <w:r>
        <w:t>I händelse av brand vid den intilliggande avfallsanläggningen kan denna bli mycket svårsläckt och illaluktande och i vissa fall kan giftig rök förekomma. Verksamheter som ligger i rökens riktning måste utrymmas. Släckvatten som använts på plastbränder kommer innehålla gifter och kommer ge upphov till stora mängder av förorenat vatten som ska tas om hand. Konsekvensen av brand på närliggande anläggning bedöms därför som stort negativ.</w:t>
      </w:r>
    </w:p>
    <w:p>
      <w:pPr>
        <w:pStyle w:val="P14"/>
      </w:pPr>
      <w:r>
        <w:t>I jämförelse med ett nollalternativ bedöms planförslaget medföra en obetydlig konsekvens för riskerna med brand på avfallsanläggningen eftersom detaljplaneområdet inte bidrar till brandriskerna på anläggningen.</w:t>
      </w:r>
    </w:p>
    <w:p>
      <w:pPr>
        <w:pStyle w:val="P14"/>
      </w:pPr>
      <w:r>
        <w:t>Minskade effekter på spridning av brand och rök är den närliggande avfallsanläggningens och lokala räddningstjänstens ansvar. Som riskminskningsåtgärd i händelse av brand rekommenderas det att verksamheten tar fram en evakueringsplan för personal och besökare.</w:t>
      </w:r>
    </w:p>
    <w:p>
      <w:pPr>
        <w:pStyle w:val="P14"/>
      </w:pPr>
      <w:r>
        <w:rPr>
          <w:b w:val="1"/>
          <w:bCs w:val="1"/>
        </w:rPr>
        <w:t>Buller</w:t>
      </w:r>
      <w:r>
        <w:br w:type="textWrapping"/>
        <w:t>Det föreslagna området för begravningsplats är påverkat av buller orsakat av trafik på väg E10. Vägtrafikens påverkan på den ekvivalenta ljudnivån längs europaväg E10 har beräknats av Trafikverket inom ramen för ”</w:t>
      </w:r>
      <w:r>
        <w:rPr>
          <w:i w:val="1"/>
          <w:iCs w:val="1"/>
        </w:rPr>
        <w:t>Vägplan för E10 vid Kiruna nya centrum, Kiruna kommun, Norrbottens län</w:t>
      </w:r>
      <w:r>
        <w:t>”.</w:t>
      </w:r>
    </w:p>
    <w:p>
      <w:pPr>
        <w:pStyle w:val="P14"/>
      </w:pPr>
      <w:r>
        <w:t xml:space="preserve">På uppdrag av Kiruna kommun har ENSUCON AB utfört en bullerutredning för planområdet. I utredning ingick beräkning av vägtrafikbuller med 2022 års trafik, industribuller från avfallsanläggningen samt buller från begravningsplatsens verksamhet. </w:t>
      </w:r>
    </w:p>
    <w:p>
      <w:pPr>
        <w:pStyle w:val="P14"/>
      </w:pPr>
      <w:r>
        <w:t>En fördjupad trafikbullerutredning kommer kommunen att tillhandahålla efter samrådet.</w:t>
      </w:r>
    </w:p>
    <w:p>
      <w:pPr>
        <w:pStyle w:val="P14"/>
      </w:pPr>
      <w:r>
        <w:t xml:space="preserve">Buller från begravningsplatsens verksamhet är bedömd att kunna uppgå till 55 dBA under dagtid. Den beräknade sammanslagna bullernivån under dagtid beräknas kunna uppgå till ekvivalentnivå mellan cirka 45–55 dBA. </w:t>
      </w:r>
    </w:p>
    <w:p>
      <w:pPr>
        <w:pStyle w:val="P14"/>
      </w:pPr>
      <w:r>
        <w:t xml:space="preserve">Vid ett genomförande av planförslaget är bedömningen att ljudnivå under dagtid kan i värsta fall uppnå 45–55 dBA inom planområdet. Detta innebär att vid ett genomförande av planförslaget är bedömningen att det kommer vara inom naturvårdsverkets riktvärden för rekreationsområden (55 dBA) men kan i värsta fall under dagen överskrida riktvärden för friluftsområden (40 dBA). Buller inom begravningsplatsensverksamhet är bedömd att kommer främst i form av maskinbuller som är ansett att gå under cirka 30% av en hel dag. Under nattid finns där förmodligen liten till noll aktivitet inom begravningsplatsen. </w:t>
      </w:r>
    </w:p>
    <w:p>
      <w:pPr>
        <w:pStyle w:val="P14"/>
      </w:pPr>
      <w:r>
        <w:t xml:space="preserve">Eftersom det inte finns några bostäder i närområdet av begravningsplatsen kan en bedömning av buller från begravningsplatsen till bostäder inte görs. </w:t>
      </w:r>
    </w:p>
    <w:p>
      <w:pPr>
        <w:pStyle w:val="P14"/>
      </w:pPr>
      <w:r>
        <w:t>Bullernivån inom begravningsplats är bedömd att inte överskrida gränsvärden för risk för hörskada.</w:t>
      </w:r>
    </w:p>
    <w:p>
      <w:pPr>
        <w:pStyle w:val="P14"/>
      </w:pPr>
      <w:r>
        <w:t>I jämförelse med ett nollalternativ bedöms planförslaget medföra en obetydligt till liten negativ konsekvens.</w:t>
      </w:r>
    </w:p>
    <w:p>
      <w:pPr>
        <w:pStyle w:val="P14"/>
      </w:pPr>
      <w:r>
        <w:t xml:space="preserve">Ljudnivån från planerad verksamhet kommer inte överskrida riktvärden, varför inga särskilda åtgärder behövs. Däremot kommer den av Länsstyrelsen i Norrbottens läns önskvärda utgångspunkt om en ekvivalent ljudnivå på 40 dBA, inte att uppnås. Då det är särskilt önskvärt att begravningsplatser utformas som en rofylld och tyst miljö, kan bullerdämpande åtgärder därför ändå vara aktuella. </w:t>
      </w:r>
    </w:p>
    <w:p>
      <w:pPr>
        <w:pStyle w:val="P14"/>
      </w:pPr>
      <w:r>
        <w:t xml:space="preserve">För att sänka ljudnivån från omkringliggande trafik kan redan planerade bullervallar kompletteras med fler bullervallar och tät vegetation längs E10 och på östra och västra sidan av begravningsplatsen. Vidare skulle hastigheten på väg E10 kunna sänkas från 80 km/h till 60 km/h. Detta skulle ge en god bullerdämpande effekt, och skulle sänka de ekvivalenta ljudnivåerna inom planområdet med drygt 3 dBA. </w:t>
      </w:r>
    </w:p>
    <w:p>
      <w:pPr>
        <w:pStyle w:val="P14"/>
      </w:pPr>
      <w:r>
        <w:t>Ett annat sätt att sänka ljudnivån från vägtrafiken vore att anlägga ”tyst” asfalt på vägarna. Det skulle kunna dämpa ljudnivån med cirka 5 dBA när asfalten är nylagd. Effekten minskar dock kraftigt reda efter något/några år. För att minska den negativa effekten av bullerpåverkan från trafiken kan även vägbullret maskeras med porlande vatten. Vattenljud bedöms nämligen ha en mycket positiv påverkan på hur man upplever miljön. Ljudet av porlande vatten kan skapas med hjälp av till exempel fontäner och vattendrag.</w:t>
      </w:r>
    </w:p>
    <w:p>
      <w:pPr>
        <w:pStyle w:val="P14"/>
      </w:pPr>
      <w:r>
        <w:rPr>
          <w:b w:val="1"/>
          <w:bCs w:val="1"/>
        </w:rPr>
        <w:t>Avfall</w:t>
      </w:r>
      <w:r>
        <w:br w:type="textWrapping"/>
        <w:t>I begravningsplatsens verksamhet uppstår olika fraktioner av avfall såsom hushållsavfall, returpapper, trädgårdsavfall och visst farligt avfall från krematorieverksamheten samt fastighetsskötsel och underhåll av maskinparken.</w:t>
      </w:r>
    </w:p>
    <w:p>
      <w:pPr>
        <w:pStyle w:val="P14"/>
      </w:pPr>
      <w:r>
        <w:t xml:space="preserve">Avfallshantering kommer ske i enlighet med kommunens renhållningsföreskrifter. Enligt dessa ska allt avfall sorteras efter avfallstyp och hållas åtskilda från varandra i de avfallskärl som tillhandahålls från renhållaren.63 Insamling av mat- och restavfall sköts av Kiruna kommuns renhållare, Tekniska Verken. Begravningsverksamheten ansvarar för att behållare är uppställda så att hantering av insamlingssystemets utrustning är enkel att använda och att hämtningen underlättas. Verksamheten ser även till att renhållaren eller anlitad underentreprenör har tillträde till de utrymmen i fastigheten där avfallshämtning utförs. </w:t>
      </w:r>
    </w:p>
    <w:p>
      <w:pPr>
        <w:pStyle w:val="P14"/>
      </w:pPr>
      <w:r>
        <w:t>Trädgårdsavfall från parkskötsel såsom gräsklipp, rensat ogräs, löv och grenar från trimmade träd och buskage komposteras lokalt.</w:t>
      </w:r>
    </w:p>
    <w:p>
      <w:pPr>
        <w:pStyle w:val="P14"/>
      </w:pPr>
      <w:r>
        <w:t xml:space="preserve">Vid all verksamhet som omfattar begravningsplatser kommer avfall av olika typer att uppstå. Allt avfall kan potentiellt spridas till miljön eller orsaka läckage av oönskade ämnen. </w:t>
      </w:r>
    </w:p>
    <w:p>
      <w:pPr>
        <w:pStyle w:val="P14"/>
      </w:pPr>
      <w:r>
        <w:t>Genom att anlita en extern entreprenör för insamlingen av avfallsfraktionerna och följa de lokala föreskrifterna för källsortering och förvaring av uppkommet avfall bedöms risken för spridning av avfall och kontaminering av miljön som liten negativ.</w:t>
      </w:r>
    </w:p>
    <w:p>
      <w:pPr>
        <w:pStyle w:val="P14"/>
      </w:pPr>
      <w:r>
        <w:t>I jämförelse med nollalternativet, där det föreslagna området för begravningsplats antas förbli ett skogsmarksområde bedöms planförslaget medföra en måttligt negativ påverkan.</w:t>
      </w:r>
    </w:p>
    <w:p>
      <w:pPr>
        <w:pStyle w:val="P14"/>
      </w:pPr>
      <w:r>
        <w:t>Genom att införa skriftliga rutiner och checklistor för hantering, sortering, förvar och beställning av bortforsling av avfall säkerställs det att verksamheten följer de lokala avfallsföreskrifterna. All berörd personal medvetandegörs om rutinernas innehåll och hur de efterlevs med hjälp av internutbildningar eller personalhandbok.</w:t>
      </w:r>
    </w:p>
    <w:p>
      <w:pPr>
        <w:pStyle w:val="P14"/>
      </w:pPr>
      <w:r>
        <w:rPr>
          <w:b w:val="1"/>
          <w:bCs w:val="1"/>
        </w:rPr>
        <w:t>Masshantering</w:t>
      </w:r>
      <w:r>
        <w:br w:type="textWrapping"/>
        <w:t>Begravningsplatsen ska inrymma gravplatser för ca 5000 kistgravar, ett urngravfält om ca 2500 m2 samt en minneslund om ca 700 m2 för askbegravningar. Detta innebär att jordmassor kommer grävas upp och schaktas samt fylla gravar med. Upplag av massor uppstår för vilka mark behöver avsättas. Vid schaktningsarbetet och vid eventuellt vattenfyllda gravhål kan potentiellt skadliga ämnen och näringsämnen bundna i jordmånen läcka till omgivningen med vattenavrinning. Enligt planförslaget ska ett dräneringssystem under gravområdet anläggas.</w:t>
      </w:r>
    </w:p>
    <w:p>
      <w:pPr>
        <w:pStyle w:val="P14"/>
      </w:pPr>
      <w:r>
        <w:t>I dagsläget saknas information om kontamineringsstatus av jordmånen i det aktuella området. På grund av anläggning av ett dräneringsystem kopplat till vattenrening (antingen lokalt eller kommunalt) bedöms påverkan på miljön från masshanteringen som försumbar även om markföroreningar skulle detekteras</w:t>
      </w:r>
    </w:p>
    <w:p>
      <w:pPr>
        <w:pStyle w:val="P14"/>
      </w:pPr>
      <w:r>
        <w:t>I planförslaget grävs jordmassor upp upprepat inför jordfästningar vilket exponerar dessa och schakthålen för väder och vind medan nollalternativet innebär att marken lämnas ifred. I jämförelse med nollalternativet bedöms därför planförslaget medföra en måttligt negativ konsekvens. Bedömningen baseras på osäkerheten om huruvida den befintliga marken är förorenad eller ej.</w:t>
      </w:r>
    </w:p>
    <w:p>
      <w:pPr>
        <w:pStyle w:val="P14"/>
      </w:pPr>
      <w:r>
        <w:t>Enligt planförslaget ska området dräneras och vara kopplat till rening av dräneringsvattnet vilket anses vara tillräckligt för att minska påverkan av miljön.</w:t>
      </w:r>
    </w:p>
    <w:p>
      <w:pPr>
        <w:pStyle w:val="P14"/>
      </w:pPr>
      <w:r>
        <w:rPr>
          <w:b w:val="1"/>
          <w:bCs w:val="1"/>
        </w:rPr>
        <w:t>Påverkan under byggtiden</w:t>
      </w:r>
      <w:r>
        <w:br w:type="textWrapping"/>
        <w:t>Nybyggnationen av begravningsplatsen innebär att mark inom det befintliga skogsområdet tas i anspråk och bebyggs. Det planerade området för begravningsplatsen är idag oexploaterat och nybyggnationen innebär att helt ny bebyggelse bestående av begravningsplatser, servicebyggnader och parkeringsplatser uppförs på tidigare naturområde. Området ska anslutas till det kommunala vatten- och avloppsnätet och anslutning till fjärrvärme, optofiber och elnät är under utredning.</w:t>
      </w:r>
    </w:p>
    <w:p>
      <w:pPr>
        <w:pStyle w:val="P14"/>
      </w:pPr>
      <w:r>
        <w:t>Miljöaspekterna som påverkas under anläggningsskedet av planförslaget bedöms vara negativa. Eftersom byggskedet är avgränsat i tid bedöms dock effekten vara liten och därmed blir konsekvensen liten negativ.</w:t>
      </w:r>
    </w:p>
    <w:p>
      <w:pPr>
        <w:pStyle w:val="P14"/>
      </w:pPr>
      <w:r>
        <w:t>I jämförelse med nollalternativet bedöms planförslaget medföra stora negativa konsekvenser under byggskedet. Störningar i form av exempelvis buller och vibrationer, luftutsläpp och påverkan på vatten sker i högre omfattning jämfört med nollalternativet. Detta eftersom uppförandet av begravningsplatsen och tillhörande byggnader innebär mer transporter, buller och luftutsläpp under byggprocessen. Därmed bedöms en negativ förändring ske i jämförelse med nollalternativet.</w:t>
      </w:r>
    </w:p>
    <w:p>
      <w:pPr>
        <w:pStyle w:val="P14"/>
      </w:pPr>
      <w:r>
        <w:t xml:space="preserve">Icke-förorenade massor från schaktarbetet kan återanvändas i anläggningen av den nya parkmiljön till att exempelvis bygga upp nivåskillnader eller en bullervall som skydd mot den närliggande och tungt trafikerade motorvägen söder om området. Först behöver det dock säkerställas att marken inte innehåller några farliga föroreningar. </w:t>
      </w:r>
    </w:p>
    <w:p>
      <w:pPr>
        <w:pStyle w:val="P14"/>
      </w:pPr>
      <w:r>
        <w:t>Eventuellt bör en masshanteringsplan tas fram för planområdet. Om kommande markarbeten ger upphov till misstankar om föroreningar, genom iakttagande av annorlunda lukt- eller synintryck, ska kommunens miljö- och hälsoskyddsenhet kontaktas för en bedömning.</w:t>
      </w:r>
    </w:p>
    <w:p>
      <w:pPr>
        <w:pStyle w:val="P14"/>
      </w:pPr>
      <w:r>
        <w:t xml:space="preserve">För att förebygga större mängder av byggavfall bör projektet redan i projekteringsstadiet planeras utifrån att: </w:t>
      </w:r>
    </w:p>
    <w:p>
      <w:pPr>
        <w:pStyle w:val="P14"/>
        <w:numPr>
          <w:ilvl w:val="0"/>
          <w:numId w:val="34"/>
        </w:numPr>
      </w:pPr>
      <w:r>
        <w:t xml:space="preserve">Utforma byggnader med flexibla lösningar som minskar behovet av ombyggnad. </w:t>
      </w:r>
    </w:p>
    <w:p>
      <w:pPr>
        <w:pStyle w:val="P14"/>
        <w:numPr>
          <w:ilvl w:val="0"/>
          <w:numId w:val="34"/>
        </w:numPr>
      </w:pPr>
      <w:r>
        <w:t xml:space="preserve">Välja hållbara material och byggnadsdelar som går att underhålla och reparera vid skada eller slitage. </w:t>
      </w:r>
    </w:p>
    <w:p>
      <w:pPr>
        <w:pStyle w:val="P14"/>
        <w:numPr>
          <w:ilvl w:val="0"/>
          <w:numId w:val="34"/>
        </w:numPr>
      </w:pPr>
      <w:r>
        <w:t xml:space="preserve">Tänka på att de material och konstruktioner som väljs helst ska kunna återanvändas, alternativt återvinnas. </w:t>
      </w:r>
    </w:p>
    <w:p>
      <w:pPr>
        <w:pStyle w:val="P14"/>
        <w:numPr>
          <w:ilvl w:val="0"/>
          <w:numId w:val="34"/>
        </w:numPr>
      </w:pPr>
      <w:r>
        <w:t xml:space="preserve">Välja lösningar som underlättar återanvändning och återvinning vid eventuell framtida rivning, t.ex. se till materialen är sammanfogade så att de lätt kan separeras. </w:t>
      </w:r>
    </w:p>
    <w:p>
      <w:pPr>
        <w:pStyle w:val="P14"/>
        <w:numPr>
          <w:ilvl w:val="0"/>
          <w:numId w:val="34"/>
        </w:numPr>
      </w:pPr>
      <w:r>
        <w:t xml:space="preserve">Arbeta med logistik och materialhantering, t.ex. förvaring, så att mängden skadat material och svinn minskar. </w:t>
      </w:r>
    </w:p>
    <w:p>
      <w:pPr>
        <w:pStyle w:val="P14"/>
        <w:numPr>
          <w:ilvl w:val="0"/>
          <w:numId w:val="34"/>
        </w:numPr>
      </w:pPr>
      <w:r>
        <w:t xml:space="preserve">Ställa tydliga krav vid upphandlingen av entreprenör på avfallsförebyggande åtgärder under byggprocessen. </w:t>
      </w:r>
    </w:p>
    <w:p>
      <w:pPr>
        <w:pStyle w:val="P14"/>
      </w:pPr>
      <w:r>
        <w:t>Lämpliga reningsåtgärder för dagvatten och länshållningsvatten bör konkretiseras för området inför bygg- och anläggningsskedet, så att dagvatten och länshållningsvatten kan renas och hanteras under byggskeden. Gällande kommunala riktvärden för dagvatten ska tillämpas och uppfyllas.</w:t>
      </w:r>
    </w:p>
    <w:p>
      <w:pPr>
        <w:pStyle w:val="P14"/>
      </w:pPr>
      <w:r>
        <w:t>Tomgångskörning av arbetsmaskiner och fordon bör undvikas och krav bör ställas på entreprenörerna att de använder maskiner med så bra utsläppsvärden som möjligt för bl.a. kvävedioxid och partiklar. Drivmedel, oljor och andra kemiska produkter som uppfyller kriterier för miljömärkning bör väljas framför andra. Vid behov bör åtgärder vidtas för att så långt som möjligt undvika besvärande damning utanför området. Exempel på sådana åtgärder kan vara vattenbesprutning vid pålning, borrning, slipning m.m., renhållning av området och dammbindning. Byggverksamhet bör planeras så att den så långt möjligt förläggs till mindre störningskänslig tid. Ett lägre riktvärde och en lämplig begränsning av verksamhetstiden bör tillämpas under kvällstid, lördagar, söndagar och helgdagar, för att minimera störning i områden med boende.</w:t>
      </w:r>
    </w:p>
    <w:p>
      <w:pPr>
        <w:pStyle w:val="P14"/>
      </w:pPr>
      <w:r>
        <w:t>Entreprenörer och byggherrar bör ta fram miljöplaner och egenkontrollprogram inom vilket bland annat hantering av förorenande ämnen under byggskedet hanteras (förvaring av kemikalier, lagring av avfall, miljöanpassade drivmedel etc.). I detta ingår även att ta fram handlingsplan för buller och information till omkringliggande verksamheter etc. Upplagsplatser och etableringsområden lokaliseras lämpligast med hänsyn till såväl befintliga intilliggande naturområden, som mark- och vattenförhållanden samt lämpliga transportvägar. För att skydda naturvärdena i området så mycket som möjligt under byggtiden kan en skyddszon upprättas, där inte maskiner får köra eller materialupplag placeras.</w:t>
      </w:r>
    </w:p>
    <w:p>
      <w:pPr>
        <w:pStyle w:val="P14"/>
      </w:pPr>
      <w:r>
        <w:rPr>
          <w:b w:val="1"/>
          <w:bCs w:val="1"/>
        </w:rPr>
        <w:t>Naturresurser</w:t>
      </w:r>
      <w:r>
        <w:br w:type="textWrapping"/>
        <w:t xml:space="preserve">Planförslaget innebär en förtätning av tätort, och därmed också ett effektivt resursutnyttjande av mark, energi och förutsättningar för ett hållbart transportsystem. Närheten till väg E10 möjliggör en effektiv organisering av kollektivtrafik, och närheten till Kiruna nya stadskärna innebär gynnsamma förhållanden för både gående och cyklister att ta sig till planområdet. Planförslaget bedöms därför vara väl förenligt med hushållningsbestämmelserna i 3 och 4 kap miljöbalken där exempelvis 3 kap. 1 § anger att marken ska användas på bästa möjliga sätt avseende beskaffenhet och läge samt föreliggande behov. </w:t>
      </w:r>
    </w:p>
    <w:p>
      <w:pPr>
        <w:pStyle w:val="P14"/>
      </w:pPr>
      <w:r>
        <w:t xml:space="preserve">Planförslaget medför negativa konsekvenser för hushållning med naturresurser i och med förlust av naturvärden, och konsekvenser för de skyddade arternas biotoper och spridningsvägar som beskrivs i Naturmiljö. Detta innebär även en liten negativ påverkan på de ekosystemtjänster som träd bidrar med i form av exempelvis reglering av lokalklimat och vattenreglering (minskad översvämningsrisk). Avverkning av träd kommer även sannolikt minska skogens förmåga att binda och lagra kol, där effekten dock berörs av avverkningsgrad. Detta kan i sin tur ge en negativ klimatpåverkan, som också påverkas negativt av användningen av krematoriet och utsläpp som uppstår vid förbränning. Genom att i planförslaget bevara växtlighet och så många träd som möjligt kan negativ påverkan på ekosystemtjänster samt till viss del negativ klimatpåverkan minskas. </w:t>
      </w:r>
    </w:p>
    <w:p>
      <w:pPr>
        <w:pStyle w:val="P14"/>
      </w:pPr>
      <w:r>
        <w:t xml:space="preserve">Planförslaget kommer innebära att olika typer av avfall kommer att uppstå, där allt avfall potentiellt kan spridas till miljön eller orsaka läckage av oönskade ämnen. Genom att implementera åtgärder för att ta hand om avfallet på ett säkert sätt bedöms risken för spridning av avfall och kontaminering av miljön som försumbar. </w:t>
      </w:r>
    </w:p>
    <w:p>
      <w:pPr>
        <w:pStyle w:val="P14"/>
      </w:pPr>
      <w:r>
        <w:t>Sammantaget bedöms planförslaget medföra en liten positiv konsekvens för hushållning av naturresurser som främst beror på de positiva konsekvenserna från den förtätning och effektivt resursutnyttjande av mark som planförslaget innebär. De negativa konsekvenserna som planförslaget innebär för huvudsakligen ekosystemtjänster och klimat bedöms vägas upp av de åtgärder som planeras i planförslaget samt på grund av att naturvärdena i planområdet bedöms som låga och allmänna.</w:t>
      </w:r>
    </w:p>
    <w:p>
      <w:pPr>
        <w:pStyle w:val="P14"/>
      </w:pPr>
      <w:r>
        <w:t>Nollalternativet innebär att det inte sker någon desto större ianspråktagande av naturvärden, trots att den mänskliga aktiviteten i planområdet bedöms öka i jämförelse med idag. Inom planområdet förekommer det allmänna och låga naturvärden med undantag för ett femtiotal skyddsvärda träd, vilket gör att värdet på naturresurser bedöms som lågt. Detta innebär att planområdet är lämpligt för förtätning och till det ändamål som planförslaget innebär, istället för att begravningsplatsen i nollalternativet får en annan lokalisering som inte är lika lämpligt och därmed att planområdet ifråga inte kommer nyttjas. Sammantaget bedöms därför planförslaget medföra en liten positiv konsekvens i jämförelse med ett nollalternativ.</w:t>
      </w:r>
    </w:p>
    <w:p>
      <w:pPr>
        <w:pStyle w:val="P14"/>
      </w:pPr>
      <w:r>
        <w:t>De åtgärdsförslag som tas upp under Naturmiljö är relevanta även ur detta perspektiv. Bevarande av träd minskar även de negativa konsekvenser som planförslaget innebär för vissa reglerande ekosystemtjänster och bidrar till att skapa en parkkaraktär i begravningsplatsen som möjliggör ett bibehållande av trädens funktioner som reglerande av stora vattenmängder och svalkande vid höga temperaturer.</w:t>
      </w:r>
    </w:p>
    <w:p>
      <w:pPr>
        <w:pStyle w:val="P14"/>
      </w:pPr>
      <w:r>
        <w:rPr>
          <w:b w:val="1"/>
          <w:bCs w:val="1"/>
        </w:rPr>
        <w:t>Befolkning och människors hälsa</w:t>
      </w:r>
      <w:r>
        <w:br w:type="textWrapping"/>
        <w:t xml:space="preserve">Planförslaget innebär att en ny begravningsplats innefattande ett nytt krematorium, kapell, kolumbarium, minneslund och kyrkogård anläggs cirka en kilometer från Kiruna nya stadskärna. Detta innebär flera positiva aspekter gällande både goda transportförutsättningar för kollektivtrafik, samt gående och cyklister, men planförslaget kan också komma att medföra en liten positiv konsekvens för rekreation och friluftsliv eftersom den nya, stadsnära kyrkogården innebär en grönskande och rofylld plats som blir en tillgång i miljön. Detta skapar även bra förutsättningar för en levande stadsmiljö eftersom begravningsplatsen knyts ihop med Kiruna nya stadskärna. Denna förtätning kan även medföra en ökad trygghetskänsla, då fler personer kommer röra sig i området. Trygghetsaspekten är en viktig fråga då området i och med planförslaget blir mer tillgängligt, vilket gör att åtgärder i form av belysning och vegetation blir relevanta. Planområdet ligger något avskilt och kan väcka många tunga känslor hos besökare, vilket gör att suicidpreventionsåtgärder bör arbetas in i planförslaget för att öka trygghetskänslan i området. Bedömningen är att planförslaget och de inarbetade åtgärder som rekommenderas genomföras medför en liten positiv konsekvens för en ökad trygghetskänsla i området. </w:t>
      </w:r>
    </w:p>
    <w:p>
      <w:pPr>
        <w:pStyle w:val="P14"/>
      </w:pPr>
      <w:r>
        <w:t xml:space="preserve">Området är delvis bullerutsatt från väg E10 och närliggande avfallsanläggning. Då planförslaget innebär att vissa delar av naturområdet tas i anspråk påverkas bullersituationen ytterligare i området. På en begravningsplats eller minneslund finns behov för frid och rofylldhet, som ofta är förknippat med tystnad. Detta kan därmed påverkas negativt av buller, vilket gör att det är av stor vikt att inte överskrida riktvärden för buller. Bedömningen om buller kan ses i kapitel 6.7 miljökonsekvensbeskrivning för Kiruna skogskyrkogård där det beskrivs att bedömningen för buller är att genomförandet av planförslaget kommer vara inom naturvårdsverkets riktvärden för rekreationsområden (55 dBA) men i värsta fall under dagtid kan överskrida riktvärden för friluftsområden (40 dBA). </w:t>
      </w:r>
    </w:p>
    <w:p>
      <w:pPr>
        <w:pStyle w:val="P14"/>
      </w:pPr>
      <w:r>
        <w:t xml:space="preserve">En ökning av fordonstrafik på närliggande gator och vägar i samband med exploatering av planområdet bidrar till ett ökat utsläpp av partiklar samt kväveoxider, och själva krematorieprocessen riskerar att ge förhöjda haltnivåer i form av partiklar, kväveoxider, kolmonoxid samt kvicksilver. Mer om luft- och luktutsläpp återfinns i kapitel 6.5. </w:t>
      </w:r>
    </w:p>
    <w:p>
      <w:pPr>
        <w:pStyle w:val="P14"/>
      </w:pPr>
      <w:r>
        <w:t xml:space="preserve">Planförslaget bedöms inte medföra några luktutsläpp från krematoriet, vilket innebär att planförslaget ifråga om buller och luktutsläpp bedöms medföra en obetydligt till liten negativ konsekvens för människors hälsa. I jämförelse med ett nollalternativ så bedöms planförslaget generera något mer buller och luftföroreningar, dock inga luktutsläpp, vilket gör att dessa faktorer bedöms ge en liten negativ konsekvens för människors hälsa. </w:t>
      </w:r>
    </w:p>
    <w:p>
      <w:pPr>
        <w:pStyle w:val="P14"/>
      </w:pPr>
      <w:r>
        <w:t xml:space="preserve">När det gäller miljöpåverkan från det tillkommande krematoriet, bland annat avseende buller och utsläpp till luft, kommer det att prövas och regleras i kommande miljöprövning enligt 9 kap MB. </w:t>
      </w:r>
    </w:p>
    <w:p>
      <w:pPr>
        <w:pStyle w:val="P14"/>
      </w:pPr>
      <w:r>
        <w:t>Naturmiljön kommer att förändras något genom att delar av det befintliga skogsområdet ersätts av gravplatser med tillhörande parkeringsplats och servicebyggnader. Även en ökad trygghet skapas genom planförslaget vilket medför en positiv förändring. Eftersom närheten till Kiruna nya stadskärna innebär närhet till bostäder, skola och sjukhus samt ovan nämnda konsekvenser bedöms aspekten befolkning och människors hälsa ha ett högt värde. Vid en avvägning av positiva och negativa förändringar bedöms den sammanlagda effekten bli en liten negativ effekt. Därmed bedöms planförslaget medföra en liten negativ konsekvens.</w:t>
      </w:r>
    </w:p>
    <w:p>
      <w:pPr>
        <w:pStyle w:val="P14"/>
      </w:pPr>
      <w:r>
        <w:t xml:space="preserve">I nollalternativet antas planområdet förbli ett skogsmarksområde för idrottsändamål, där golfbanan och bågskyttebanans verksamheter bedöms fortsätta. En eventuell omlokalisering av ridstallet kan bli aktuell till planområdet, vilket hade ökat den mänskliga närvaron i jämförelse med idag, men hade inte möjliggjort fler antal arbetstillfällen vilket gör att planförslaget och nollalternativet i det hänseendet bedöms likvärdiga. I ett nollalternativ bibehålls en större del av naturmiljön inom området, men kommer samtidigt innebära att tillgängligheten till området ökar vilket kan innebära att en något större andel buller och luftutsläpp genereras i jämförelse med idag. Genomförande av planförslaget kommer medföra en ökad mängd utsläpp av partiklar och kvävedioxider som bedöms kunna påverka den lokala luftkvaliteten, vilket innebär att planförslaget i jämförelse med ett nollalternativ bedöms medföra en liten negativ konsekvens för luftkvaliteten. Negativa konsekvenser avseende buller kommer i planförslaget vara något högre än i jämförelse med ett nollalternativ, men där konsekvensen ändå bedöms som en obetydligt till liten negativ konsekvens i jämförelse med nollalternativet. </w:t>
      </w:r>
    </w:p>
    <w:p>
      <w:pPr>
        <w:pStyle w:val="P14"/>
      </w:pPr>
      <w:r>
        <w:t xml:space="preserve">Tillgängligheten till planområdet som i ett nollalternativ främst kommer användas till idrottsändamål och huvudsakligen bestå av skogsmark innebär även små positiva sociala effekter för människors hälsa samt möjlighet till rekreation och fritid. De positiva konsekvenserna för rekreation och fritid bedöms vara likvärdiga i planförslaget och ett nollalternativ. </w:t>
      </w:r>
    </w:p>
    <w:p>
      <w:pPr>
        <w:pStyle w:val="P14"/>
      </w:pPr>
      <w:r>
        <w:t xml:space="preserve">Skogsmarksområdet i planområdet i ett nollalternativ bidrar till reglering av lokalklimat, bullerdämpning och luftrening för nuvarande och framtida omkringliggande bebyggelse. Detta gör att nollalternativet ger en ökad tillgänglighet till bostadsnära grönområden, samt bidrar till positiva effekter då området är bullerutsatt från både avfallsanläggningen och väg E10. </w:t>
      </w:r>
    </w:p>
    <w:p>
      <w:pPr>
        <w:pStyle w:val="P14"/>
      </w:pPr>
      <w:r>
        <w:t xml:space="preserve">Planförslaget bedöms- bidra till en ökad trygghet inom området främst på grund av de åtgärdsförslag som planförslaget innebär i form av belysning och suicidprevention. Åtgärder i form av belysning kan dock påverka insekter och fåglar negativt. Planområdet ligger cirka en kilometer från Kiruna nya stadskärna, där det i närområdet idag finns bostäder, samt att både skola och sjukhus kommer byggas i närtid vilket gör att aspekten befolkning och människors hälsa bedöms ha högt värde. </w:t>
      </w:r>
    </w:p>
    <w:p>
      <w:pPr>
        <w:pStyle w:val="P14"/>
      </w:pPr>
      <w:r>
        <w:t xml:space="preserve">I nollalternativet så kvarstår behovet att omlokalisera Kirunas krematorium och en ny begravningsplats, där samtliga alternativa lokaliseringsalternativ ligger minst fyra kilometer från Kiruna nya stadskärna. Detta innebär att tillgängligheten försvåras och ger sämre förutsättningar för gående och cyklister att ta sig till området, vilket betyder en ökad trafikmängd och att en större andel buller och luftutsläpp kan komma att genereras. </w:t>
      </w:r>
    </w:p>
    <w:p>
      <w:pPr>
        <w:pStyle w:val="P14"/>
      </w:pPr>
      <w:r>
        <w:t>Vid en avvägning av positiva och negativa förändringar bedöms det sammantaget bli en liten positiv effekt. Därmed bedöms nollalternativet medföra en liten positiv konsekvens.</w:t>
      </w:r>
    </w:p>
    <w:p>
      <w:pPr>
        <w:pStyle w:val="P14"/>
      </w:pPr>
      <w:r>
        <w:t xml:space="preserve">De åtgärdsförslag som tas upp under Naturmiljö är relevanta även ur detta perspektiv för att behålla sammanhängande naturområden. </w:t>
      </w:r>
    </w:p>
    <w:p>
      <w:pPr>
        <w:pStyle w:val="P14"/>
      </w:pPr>
      <w:r>
        <w:t xml:space="preserve">Gällande buller så kommer inte ljudnivån från den planerade verksamhet överskrida riktvärden vilket innebär att inga särskilda åtgärdsförslag behövs. Eftersom det finns särskilda behov för frid och rofylldhet på en begravningsplats kan det dock åtgärder ändå implementeras för att stärka känslan av rofylldhet på platsen genom att exempelvis arbeta med så kallade ”tysta miljöer”, som exempelvis trädavskiljning. </w:t>
      </w:r>
    </w:p>
    <w:p>
      <w:pPr>
        <w:pStyle w:val="P14"/>
      </w:pPr>
      <w:r>
        <w:t xml:space="preserve">Åtgärdsförslag för luftkvalitet saknas. </w:t>
      </w:r>
    </w:p>
    <w:p>
      <w:pPr>
        <w:pStyle w:val="P14"/>
      </w:pPr>
      <w:r>
        <w:t xml:space="preserve">Åtgärder som rekommenderas för att människor som vistas i området ska känna sig trygga och verka brottsförebyggande gäller både belysning och vegetation. Belysningen ska vara så pass god att den inte upplevs skum och att belysningspunkterna överlappar varandra så att det inte finns mörka områden. Viktigt att den även lyser upp områden utanför själva gångstigen eller motsvarande för att tidigt kunna upptäcka eventuella faror. Vegetationen bör inte vara för hög eller tät nära platser där människor vistas, utan det ska finnas möjlighet att kunna överblicka platsen man befinner sig på eller är på väg till. </w:t>
      </w:r>
    </w:p>
    <w:p>
      <w:pPr>
        <w:pStyle w:val="P14"/>
      </w:pPr>
      <w:r>
        <w:t xml:space="preserve">Åtgärdsförslag för suicidprevention som Sveriges kommuner och regioner har tagit fram i form av en rapport för underlag i fysisk planering ”Förebygga suicid i fysisk miljö” innebär för planförslaget att skydda öppna vattensamlingar, ha en avskärmning mot väg E10 samt, i möjligaste mån, verka för att ha någon form av barriär mot de vattendrag och den skog som ligger utanför planområdet. </w:t>
      </w:r>
    </w:p>
    <w:p>
      <w:pPr>
        <w:pStyle w:val="P14"/>
      </w:pPr>
      <w:r>
        <w:t>I övrigt rekommenderas åtgärder för att förverkliga potentialen för hållbart vardagsresande för de som besöker begravningsplatsen, men också personal som arbetar där. Detta kan förverkligas i form av möjlighet till kollektivtrafik, närliggande busshållplats, gång- och cykelbanor till och från området, samt cykelparkeringar.</w:t>
      </w:r>
    </w:p>
    <w:p>
      <w:pPr>
        <w:pStyle w:val="P14"/>
      </w:pPr>
      <w:r>
        <w:rPr>
          <w:b w:val="1"/>
          <w:i w:val="1"/>
          <w:bCs w:val="1"/>
          <w:iCs w:val="1"/>
        </w:rPr>
        <w:t>Kumulativa effekter</w:t>
        <w:br w:type="textWrapping"/>
      </w:r>
      <w:r>
        <w:t xml:space="preserve">Läs mer: </w:t>
      </w:r>
      <w:r>
        <w:rPr>
          <w:i w:val="1"/>
          <w:iCs w:val="1"/>
        </w:rPr>
        <w:t>Miljökonsekvensbeskrivning Kiruna skogskyrkogård, kapitel 6</w:t>
      </w:r>
      <w:r>
        <w:t>.</w:t>
        <w:br w:type="textWrapping"/>
        <w:t xml:space="preserve">Inom detaljplaneområdet kommer användningen av området bidra till avverkning av skog. Det planeras att spara vissa skyddsvärda träd, vilket kommer bidra till en bibehållen kolbalans och biologisk mångfald. En begravningsplats innehåller ofta stora öppna ytor med omkringliggande växtlighet i form av träd och buskar. Om planeringen av växtlighet anpassas till området kan det skapa en god förutsättning att främja den biologiska mångfalden inom detaljplaneområdet. Plantering av buskar och annan växtlighet kommer även kunna skapa ett bullerdämpande effekt. </w:t>
      </w:r>
    </w:p>
    <w:p>
      <w:pPr>
        <w:pStyle w:val="P14"/>
      </w:pPr>
      <w:r>
        <w:t xml:space="preserve">Användningen av området kommer att introducera askspridning i minneslundar. Detta bidrar till en förändrad kvävebalans som kan främja vissa arter och missgynna andra som redan finns i området. Klimatförändringar i kombination med planförslagets störningar på naturmiljön i form av förändrad kvävebalans, avverkning av träd, samt förändrad markanvändning kan ge ökad negativ påverkan på naturvärden och arter inom området. Planförslaget kan medföra undanträngningseffekter och potentiellt öka konkurrens och tryck på kringliggande naturområden då arter som tidigare haft sin hemvist i planområdet söker sig till andra områden. Vid ett genomförande av planförslaget kommer skogsmark som idag fungerar som kolsänka försvinna vilket ger negativa kumulativa effekter på klimatet, samtidigt som planförslaget även bidrar till miljövänliga transporter och ett effektivt marknyttjande som innebär bättre möjligheter till kollektivtrafik och gående och cyklister att ta sig till planområdet. Avverkningen av skogen inom detaljplaneområdet i kombination med en ökad andel hårdgjorda ytor kommer även medföra till en ökad dagvattenavrinning då växtligheten minskas. </w:t>
      </w:r>
    </w:p>
    <w:p>
      <w:pPr>
        <w:pStyle w:val="P14"/>
      </w:pPr>
      <w:r>
        <w:t xml:space="preserve">Kumulativa effekter kan även uppstå till följd av den pågående byggnationen av Kirunas nya stadskärna där nya verksamheter kommer etableras. Tillsammans med planförslaget kan dessa ge kumulativa effekter såsom en ökad andel hårdgjorda ytor, högre bullernivåer och sämre luftkvalitet. I samband med Kirunas nya stadskärna finns det även risk att intilliggande områden tas i anspråk, där det beroende på vilka verksamheter som etablerar sig i nya verksamhetsområden, finns risk för att även detta innebär kumulativa negativa effekter för naturmiljön och de arter som lever där. I förlängningen kan de kumulativa effekterna potentiellt medföra att en tröskeleffekt nås, där andelen bevarad naturmark blir för liten för att långsiktigt kunna upprätthålla lokala livskraftiga populationer av vissa arter. </w:t>
      </w:r>
    </w:p>
    <w:p>
      <w:pPr>
        <w:pStyle w:val="P14"/>
      </w:pPr>
      <w:r>
        <w:t xml:space="preserve">Förlusten av naturliga habitat såsom att skog försvinner i samband med exploatering kan påverka biologisk mångfald i ett större område i såväl kommunen som regionen eftersom området utgör spridningsvägar för arter knutna till denna naturtyp. Iordningsställande och säkring av spridningsvägar kan dock mildra effekterna för den biologiska mångfalden i ett regionalt perspektiv. </w:t>
      </w:r>
    </w:p>
    <w:p>
      <w:pPr>
        <w:pStyle w:val="P14"/>
      </w:pPr>
      <w:r>
        <w:t>Planförslagets genomförande i kombination med den pågående byggnationen av Kirunas nya stadskärna kan även ge positiva kumulativa effekter på rekreation och fritid, där den ökade tillgängligheten till området kan öppna upp för andra aktiviteter som i sin tur bidrar positivt för människors möjlighet till rekreation.</w:t>
      </w:r>
    </w:p>
    <w:p>
      <w:pPr>
        <w:pStyle w:val="P14"/>
      </w:pPr>
      <w:r>
        <w:rPr>
          <w:b w:val="1"/>
          <w:bCs w:val="1"/>
        </w:rPr>
        <w:t>Nationella miljökvalitetsmål och kommunala miljömål</w:t>
        <w:br w:type="textWrapping"/>
      </w:r>
      <w:r>
        <w:t>Läs mer: Miljökonsekvensbeskrivning Kiruna skogskyrkogård, kapitel 7.</w:t>
      </w:r>
    </w:p>
    <w:p>
      <w:pPr>
        <w:pStyle w:val="P14"/>
      </w:pPr>
      <w:r>
        <w:br w:type="textWrapping"/>
        <w:t xml:space="preserve">De miljökvalitetsmål som i första hand berörs av en exploatering enligt planförslaget är: </w:t>
      </w:r>
    </w:p>
    <w:p>
      <w:pPr>
        <w:pStyle w:val="P14"/>
        <w:numPr>
          <w:ilvl w:val="0"/>
          <w:numId w:val="35"/>
        </w:numPr>
      </w:pPr>
      <w:r>
        <w:t xml:space="preserve">Myllrande våtmarker </w:t>
      </w:r>
    </w:p>
    <w:p>
      <w:pPr>
        <w:pStyle w:val="P14"/>
        <w:numPr>
          <w:ilvl w:val="0"/>
          <w:numId w:val="35"/>
        </w:numPr>
      </w:pPr>
      <w:r>
        <w:t xml:space="preserve">Ett rikt växt- och djurliv </w:t>
      </w:r>
    </w:p>
    <w:p>
      <w:pPr>
        <w:pStyle w:val="P14"/>
        <w:numPr>
          <w:ilvl w:val="0"/>
          <w:numId w:val="35"/>
        </w:numPr>
      </w:pPr>
      <w:r>
        <w:t xml:space="preserve">Grundvatten av god kvalitet </w:t>
      </w:r>
    </w:p>
    <w:p>
      <w:pPr>
        <w:pStyle w:val="P14"/>
        <w:numPr>
          <w:ilvl w:val="0"/>
          <w:numId w:val="35"/>
        </w:numPr>
      </w:pPr>
      <w:r>
        <w:t xml:space="preserve">Levande sjöar och vattendrag </w:t>
      </w:r>
    </w:p>
    <w:p>
      <w:pPr>
        <w:pStyle w:val="P14"/>
        <w:numPr>
          <w:ilvl w:val="0"/>
          <w:numId w:val="35"/>
        </w:numPr>
      </w:pPr>
      <w:r>
        <w:t xml:space="preserve">Ingen övergödning </w:t>
      </w:r>
    </w:p>
    <w:p>
      <w:pPr>
        <w:pStyle w:val="P14"/>
        <w:numPr>
          <w:ilvl w:val="0"/>
          <w:numId w:val="35"/>
        </w:numPr>
      </w:pPr>
      <w:r>
        <w:t xml:space="preserve">Levande skogar </w:t>
      </w:r>
    </w:p>
    <w:p>
      <w:pPr>
        <w:pStyle w:val="P14"/>
        <w:numPr>
          <w:ilvl w:val="0"/>
          <w:numId w:val="35"/>
        </w:numPr>
      </w:pPr>
      <w:r>
        <w:t xml:space="preserve">God bebyggd miljö </w:t>
      </w:r>
    </w:p>
    <w:p>
      <w:pPr>
        <w:pStyle w:val="P14"/>
        <w:numPr>
          <w:ilvl w:val="0"/>
          <w:numId w:val="35"/>
        </w:numPr>
      </w:pPr>
      <w:r>
        <w:t xml:space="preserve">Giftfri miljö </w:t>
      </w:r>
    </w:p>
    <w:p>
      <w:pPr>
        <w:pStyle w:val="P14"/>
        <w:numPr>
          <w:ilvl w:val="0"/>
          <w:numId w:val="35"/>
        </w:numPr>
      </w:pPr>
      <w:r>
        <w:t xml:space="preserve">Begränsad klimatpåverkan </w:t>
      </w:r>
    </w:p>
    <w:p>
      <w:pPr>
        <w:pStyle w:val="P14"/>
      </w:pPr>
      <w:r>
        <w:t>Med de nationella miljökvalitetsmålen som grund har Kiruna kommun antagit dessa som sina egna lokala miljömål, där de för varje miljökvalitetsmål formulerat ett kortsiktigt mål samt ett långsiktigt mål.</w:t>
      </w:r>
    </w:p>
    <w:p>
      <w:pPr>
        <w:pStyle w:val="P14"/>
      </w:pPr>
      <w:r>
        <w:rPr>
          <w:b w:val="1"/>
          <w:bCs w:val="1"/>
        </w:rPr>
        <w:t>Myllrande våtmarker</w:t>
      </w:r>
      <w:r>
        <w:br w:type="textWrapping"/>
        <w:t>Detaljplanens genomförande i jämförelse med nollalternativet kan till viss del påverka uppfyllandet av målet negativt. Detta eftersom dränering av området och avverkningen av skog kommer påverka dagvattenavrinningen med riktning mot det våtmarksområde som är recipient. Exploateringen av området skapar en något högre föroreningshalt som tillkommer recipienten. För att undvika en negativ utveckling av miljömålet bör dagvattnet från de hårdgjorda ytorna och dräneringen fördröjas för möjlighet till infiltration.</w:t>
      </w:r>
    </w:p>
    <w:p>
      <w:pPr>
        <w:pStyle w:val="P14"/>
      </w:pPr>
      <w:r>
        <w:rPr>
          <w:b w:val="1"/>
          <w:bCs w:val="1"/>
        </w:rPr>
        <w:t>Ett rikt växt- och djurliv</w:t>
      </w:r>
      <w:r>
        <w:br w:type="textWrapping"/>
        <w:t xml:space="preserve">Detaljplanens genomförande i jämförelse med ett nollalternativ bedöms inte bidra till en direkt uppfyllelse av miljömålet, och kan påverka måluppfyllelsen något negativt. Detaljplanen bedöms inte göra intrång i värdefulla naturområden, dock kommer naturvärden förloras i samband med planförslagets genomförande eftersom detta innebär exploatering av tidigare oexploaterad mark. Vissa skogsområden i planområdet tas i anspråk för byggnation, parkeringsplatser eller får ett förändrat nyttjande. </w:t>
      </w:r>
    </w:p>
    <w:p>
      <w:pPr>
        <w:pStyle w:val="P14"/>
      </w:pPr>
      <w:r>
        <w:t>För att undvika en negativ utveckling av miljömålet och skydda den biologiska mångfalden planerar Kiruna kommun vid genomförandet av detaljplanen spara sammanhängande skogsområden och skyddsvärda träd för att på så sätt minska konsekvenser för de skyddade arternas biotoper och spridningsvägar.</w:t>
      </w:r>
    </w:p>
    <w:p>
      <w:pPr>
        <w:pStyle w:val="P14"/>
      </w:pPr>
      <w:r>
        <w:rPr>
          <w:b w:val="1"/>
          <w:bCs w:val="1"/>
        </w:rPr>
        <w:t>Grundvatten av god kvalitet</w:t>
      </w:r>
      <w:r>
        <w:br w:type="textWrapping"/>
        <w:t xml:space="preserve">Detaljplanens genomförande i jämförelse med nollalternativet kan till viss del påverka uppfyllandet av målet negativt eftersom planalternativet kommer innebära markbearbetning som behöver säkerställa vattenfria gravar. Detta medför dränering från området som i sin tur påverkar infiltrationen av grundvatten inom området. Det finns ingen grundvattenförekomst inom området men ändringen av vattenbalansen inom området kan påverka förekomster i nättheten. </w:t>
      </w:r>
    </w:p>
    <w:p>
      <w:pPr>
        <w:pStyle w:val="P14"/>
      </w:pPr>
      <w:r>
        <w:t>För att undvika en negativ utveckling av miljömålet bör infiltrationen i de torra fördröjningsdammarna som föreslås av dagvattenutredningen implementeras.</w:t>
      </w:r>
    </w:p>
    <w:p>
      <w:pPr>
        <w:pStyle w:val="P14"/>
      </w:pPr>
      <w:r>
        <w:rPr>
          <w:b w:val="1"/>
          <w:bCs w:val="1"/>
        </w:rPr>
        <w:t>Levande sjöar och vattendrag</w:t>
      </w:r>
      <w:r>
        <w:br w:type="textWrapping"/>
        <w:t xml:space="preserve">Detaljplanens genomförande i jämförelse med nollalternativet kan till viss del påverka uppfyllandet av målet negativt eftersom dräneringen från området kommer öka föroreningar som PAH16 vilket är ett samlingsbegrepp för polycykliska aromatiska kolväten som har flera versioner som kan vara cancerframkallande för människor. </w:t>
      </w:r>
    </w:p>
    <w:p>
      <w:pPr>
        <w:pStyle w:val="P14"/>
      </w:pPr>
      <w:r>
        <w:t>Hur mycket detta påverkar målet beror på vilka skyddsåtgärder som vidtas för rening av dagvatten. För att undvika en negativ utveckling av miljömålet bör dagvattnet från de hårdgjorda ytorna och dräneringen fördröjas för möjlighet till infiltration i torra fördröjningsdammar, vilket kan skydda recipienten från den något ökande halten av föroreningar som PAH16. PAH16 kommer inte överskrida koncentrationer av riktvärden även utan infiltration, vilket gör att det finns goda förutsättningar att inte påverka målet negativt med få åtgärder. Enligt dagvattenutredningen förväntas dock alla värden ligga under riktvärdet efter rening i föreslagen dagvattenlösning.</w:t>
      </w:r>
    </w:p>
    <w:p>
      <w:pPr>
        <w:pStyle w:val="P14"/>
      </w:pPr>
      <w:r>
        <w:rPr>
          <w:b w:val="1"/>
          <w:bCs w:val="1"/>
        </w:rPr>
        <w:t>Ingen övergödning</w:t>
      </w:r>
      <w:r>
        <w:br w:type="textWrapping"/>
        <w:t>Detaljplanens genomförande i jämförelse med nollalternativet kan till viss del påverka uppfyllandet av målet negativt. Detta eftersom planens genomförande innebär ökade halter av fosfor och kväve. Då det inte finns några riktvärden för kväve och fosfor för särskilt förorenande ämnen i inlandsytvatten går det inte att säga något om den förväntade ökningen är för hög eller inom ramen för vad som är utan påverkan. Övergödningen av recipienten kan minimeras om fördröjningslösningar för dagvatten implementeras som torra fördröjningsdammar.</w:t>
      </w:r>
    </w:p>
    <w:p>
      <w:pPr>
        <w:pStyle w:val="P14"/>
      </w:pPr>
      <w:r>
        <w:rPr>
          <w:b w:val="1"/>
          <w:bCs w:val="1"/>
        </w:rPr>
        <w:t>Levande skogar</w:t>
      </w:r>
      <w:r>
        <w:br w:type="textWrapping"/>
        <w:t xml:space="preserve">Planförslagets genomförande kan påverka möjligheten att uppfylla miljömålet något negativt på grund av den exploatering och avverkning av skog som planförslaget innebär. I jämförelse med ett nollalternativ där området antas förbli ett skogsmarksområde kan genomförandet av detaljplaneområdet antas medföra att möjligheten till en uppfyllelse av målet påverkas negativt eftersom delar av området får en förändrad markanvändning. Detaljplanens genomförande kan dock påverka målet positivt i det avseende att begravningsplatsen innebär en ökad tillgänglighet till en tätortsnära plats för rekreation och friluftsliv, där utformningen av detaljplanen även innebär att behålla biotoper för skyddsvärda arter för att på så sätt skydda den biologiska mångfalden. </w:t>
      </w:r>
    </w:p>
    <w:p>
      <w:pPr>
        <w:pStyle w:val="P14"/>
      </w:pPr>
      <w:r>
        <w:t>För att undvika att det sker en negativ utveckling av miljömålet kommer Kiruna kommun i möjligaste mån spara sammanhängande skogsområden och skyddsvärda träd vid genomförandet av planområdet.</w:t>
      </w:r>
    </w:p>
    <w:p>
      <w:pPr>
        <w:pStyle w:val="P14"/>
      </w:pPr>
      <w:r>
        <w:rPr>
          <w:b w:val="1"/>
          <w:bCs w:val="1"/>
        </w:rPr>
        <w:t>God bebyggd miljö</w:t>
      </w:r>
      <w:r>
        <w:br w:type="textWrapping"/>
        <w:t xml:space="preserve">värsta fall uppnå 45–55 dBA inom planområdet. Detta innebär att vid ett genomförande av planförslaget är bedömningen att det kommer vara inom naturvårdsverkets riktvärden för rekreationsområden (55 dBA) men kan i värsta fall under dagen överskrida riktvärden för friluftsområden (40 dBA). </w:t>
      </w:r>
    </w:p>
    <w:p>
      <w:pPr>
        <w:pStyle w:val="P14"/>
      </w:pPr>
      <w:r>
        <w:t xml:space="preserve">Ett genomförande av planförslaget kan påverka förutsättningarna att uppfylla målet positivt eftersom detta innebär goda transportförutsättningar för kollektivtrafik, samt gående och cyklister, men planförslaget innebär också positiva konsekvenser för människors rekreation och friluftsliv eftersom den nya, stadsnära kyrkogården innebär en grönskande och rofylld plats nära den nya stadskärnan. Detta skapar även bra förutsättningar för en levande stadsmiljö eftersom begravningsplatsen knyts ihop med Kiruna nya stadskärna och som därför kan medföra en ökad trygghetskänsla då fler personer kommer röra sig i området. Planförslaget som innebär en förtätning av tätort, innebär därmed också ett effektivt resursutnyttjande av mark, energi och förutsättningar för ett hållbart transportsystem. </w:t>
      </w:r>
    </w:p>
    <w:p>
      <w:pPr>
        <w:pStyle w:val="P14"/>
      </w:pPr>
      <w:r>
        <w:t xml:space="preserve">De naturvärden i form av vegetation och träd som finns i planområdet bedöms bidra med ekosystemtjänster i form av exempelvis reglering av lokalklimat och vattenreglering, och är aspekter som bör tas hänsyn till i bebyggd miljö. Dessa kommer att påverkas av planförslaget då viss avverkning av träd kommer att ske. För att undvika en negativ utveckling av miljömålet gällande ekosystemtjänster som har påverkan på människors hälsa kommer Kiruna kommun i möjligaste mån spara sammanhängande skogsområden och skyddsvärda träd </w:t>
      </w:r>
    </w:p>
    <w:p>
      <w:pPr>
        <w:pStyle w:val="P14"/>
      </w:pPr>
      <w:r>
        <w:t>Sammantaget bedöms planförslaget kunna bidra till möjligheten att uppfylla miljömålet positivt eftersom planförslaget innebär effektivt resursutnyttjande av mark och goda förutsättningar för ett hållbart transportsystem.</w:t>
      </w:r>
    </w:p>
    <w:p>
      <w:pPr>
        <w:pStyle w:val="P14"/>
      </w:pPr>
      <w:r>
        <w:rPr>
          <w:b w:val="1"/>
          <w:bCs w:val="1"/>
        </w:rPr>
        <w:t>Giftfri miljö</w:t>
      </w:r>
      <w:r>
        <w:br w:type="textWrapping"/>
        <w:t xml:space="preserve">För att undvika inträngande grundvatten i gravschakten kommer området för gravarna att dräneras. Dräneringsvatten från begravningsplatser kan innehålla patogener, tungmetaller, samt höga halter av fosfor och kväve. </w:t>
      </w:r>
    </w:p>
    <w:p>
      <w:pPr>
        <w:pStyle w:val="P14"/>
      </w:pPr>
      <w:r>
        <w:t xml:space="preserve">I jämförelse med ett nollalternativ bedöms planförslaget inte bidra till en direkt uppfyllelse av miljömålet, men för att undvika negativ utveckling av miljömålet kommer antingen en pumpstation som möjliggör pumpning av dräneringsvattnet till det kommunala reningsverket, alternativt en lokal reningsanläggning att anläggas. </w:t>
      </w:r>
    </w:p>
    <w:p>
      <w:pPr>
        <w:pStyle w:val="P14"/>
      </w:pPr>
      <w:r>
        <w:t xml:space="preserve">Genom att följa lokala avfallsföreskrifter avseende sortering och förvaring av avfallsfraktioner förhindras utsläpp av skadliga ämnen från det avfall som uppstår i begravningsverksamheten och från krematoriet. </w:t>
      </w:r>
    </w:p>
    <w:p>
      <w:pPr>
        <w:pStyle w:val="P14"/>
      </w:pPr>
      <w:r>
        <w:t xml:space="preserve">I jämförelse med nollalternativet bedöms planförslaget inte bidra till en direkt uppfyllelse av miljömålet, men åtgärderna med att följa föreskrifterna samt att anlita Tekniska verken som avfallsentreprenör bedöms minska de negativa effekterna av det uppkomna avfallet. Genom att arbeta förebyggande för att minska byggavfallet under anläggningstiden och genom att ställa krav på att anlitade byggentreprenörer arbetar utifrån miljöplaner och egenkontrollprogram vilka omfattar hanteringen av material innehållande giftiga ämnen, förvaring av kemikalier samt säker lagring av avfall minskar risken för förorenande utsläpp. </w:t>
      </w:r>
    </w:p>
    <w:p>
      <w:pPr>
        <w:pStyle w:val="P14"/>
      </w:pPr>
      <w:r>
        <w:t>I jämförelse med nollalternativet bedöms planförslaget inte bidra till en direkt uppfyllelse av miljömålet, men åtgärderna bedöms minska de negativa effekterna av kontaminerande ämnen eftersom arbetet förebygger utsläpp.</w:t>
      </w:r>
    </w:p>
    <w:p>
      <w:pPr>
        <w:pStyle w:val="P14"/>
      </w:pPr>
      <w:r>
        <w:rPr>
          <w:b w:val="1"/>
          <w:bCs w:val="1"/>
        </w:rPr>
        <w:t>Begränsad klimatpåverkan</w:t>
      </w:r>
      <w:r>
        <w:br w:type="textWrapping"/>
        <w:t xml:space="preserve">Planförslaget med dess nya lokalisering av kyrkogården och närhet till Kiruna nya centrum bedöms medföra en något mindre påverkan på trafiksituationen i jämförelse med nuvarande centrumkärna och den befintliga kyrkogårdens lokalisering. Den befintliga kyrkogården ligger ca. 3 km från den befintliga centrumkärnan, medan planförslagets lokalisering av kyrkogården hade inneburit ett närmare avstånd från det nya Kiruna centrum med ca. 1 km närmare avstånd mätt från stadshuset till södra delen av detaljplaneområdet. </w:t>
      </w:r>
    </w:p>
    <w:p>
      <w:pPr>
        <w:pStyle w:val="P14"/>
      </w:pPr>
      <w:r>
        <w:t xml:space="preserve">Däremot kommer förslaget och etableringen av kyrkogården innebära omfattande markarbeten som innebär att flera träd och annan växtlighet kommer behövas huggas ned. Träd och växter binder koldioxid eftersom kol finns lagrat i trädens stammar, grenar, barr, löv och rötter, men även i dött organiskt material och i jordmånen. Genom att kolet är bundet i träd och annan växtlighet bidrar det inte till växthuseffekten i atmosfären, men när träden huggs ner återinförs kol till atmosfären i form av koldioxid. Trots den exploatering planförslaget innebär kommer en stor del av vegetation som kan binda kol finnas kvar. Träd ska sparas i möjligaste mån för att behålla kollagringskapacitet. </w:t>
      </w:r>
    </w:p>
    <w:p>
      <w:pPr>
        <w:pStyle w:val="P14"/>
      </w:pPr>
      <w:r>
        <w:t>Användningen av krematoriet och utsläpp som uppstår vid förbränning kan leda till en negativ klimatpåverkan. Att använda biobränsle i stället för fossilt bränsle kommer att begränsa den negativa klimatpåverkan från förbränning.</w:t>
      </w:r>
    </w:p>
    <w:p>
      <w:pPr>
        <w:rPr>
          <w:rFonts w:ascii="Georgia" w:hAnsi="Georgia"/>
          <w:b w:val="1"/>
          <w:i w:val="1"/>
          <w:bCs w:val="1"/>
          <w:iCs w:val="1"/>
          <w:sz w:val="22"/>
          <w:szCs w:val="20"/>
        </w:rPr>
      </w:pPr>
      <w:bookmarkStart w:id="186" w:name="ko_miljökonsekvensbeskrivning02"/>
      <w:r>
        <w:rPr>
          <w:b w:val="1"/>
          <w:i w:val="1"/>
          <w:bCs w:val="1"/>
          <w:iCs w:val="1"/>
        </w:rPr>
        <w:br w:type="page"/>
      </w:r>
    </w:p>
    <w:p>
      <w:pPr>
        <w:pStyle w:val="P14"/>
      </w:pPr>
      <w:r>
        <w:rPr>
          <w:b w:val="1"/>
          <w:i w:val="1"/>
          <w:bCs w:val="1"/>
          <w:iCs w:val="1"/>
        </w:rPr>
        <w:t>Samlad bedömning</w:t>
        <w:br w:type="textWrapping"/>
      </w:r>
      <w:r>
        <w:t xml:space="preserve">Läs mer: </w:t>
      </w:r>
      <w:r>
        <w:rPr>
          <w:i w:val="1"/>
          <w:iCs w:val="1"/>
        </w:rPr>
        <w:t>Miljökonsekvensbeskrivning Kiruna skogskyrkogård, kapitel 8</w:t>
      </w:r>
      <w:r>
        <w:t>.</w:t>
        <w:br w:type="textWrapping"/>
        <w:t xml:space="preserve">I tabellerna nedan redogörs en samlad konsekvensbedömning av miljöaspekter där nollalternativet jämförs med planförslaget. Bedömningen är gjord enligt kapitel 2.2.1 Bedömningsgrunder och åtgärder är inräknade i bedömningarna i </w:t>
      </w:r>
      <w:r>
        <w:rPr>
          <w:i w:val="1"/>
          <w:iCs w:val="1"/>
        </w:rPr>
        <w:t>Miljökonsekvensbeskrivning avseende detaljplan för ny begravningsplats, AFRY 2022-04-28.</w:t>
      </w:r>
    </w:p>
    <w:p>
      <w:pPr>
        <w:pStyle w:val="P14"/>
      </w:pPr>
      <w:r>
        <w:t>Samlad konsekvensbedömning där nollalternativet jämförs mot planförslaget med stöd av bedömningsgrunderna. röd = stor negativ konsekvens orange= måttlig negativ konsekvens gul = liten negativ konsekvens grön = ingen eller positiv konsekvens</w:t>
      </w:r>
    </w:p>
    <w:p>
      <w:pPr>
        <w:pStyle w:val="P14"/>
      </w:pPr>
      <w:r>
        <w:rPr>
          <w:noProof w:val="1"/>
        </w:rPr>
        <w:drawing>
          <wp:anchor xmlns:wp="http://schemas.openxmlformats.org/drawingml/2006/wordprocessingDrawing" distT="0" distB="0" distL="114300" distR="114300" simplePos="0" relativeHeight="3" behindDoc="0" locked="0" layoutInCell="1" allowOverlap="1">
            <wp:simplePos x="0" y="0"/>
            <wp:positionH relativeFrom="margin">
              <wp:align>left</wp:align>
            </wp:positionH>
            <wp:positionV relativeFrom="paragraph">
              <wp:posOffset>212090</wp:posOffset>
            </wp:positionV>
            <wp:extent cx="5760720" cy="6715125"/>
            <wp:effectExtent l="0" t="0" r="0" b="9525"/>
            <wp:wrapTopAndBottom/>
            <wp:docPr id="77" name="Bildobjekt 77"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Bildobjekt 77" descr="En bild som visar diagram&#10;&#10;Automatiskt genererad beskrivning"/>
                    <pic:cNvPicPr/>
                  </pic:nvPicPr>
                  <pic:blipFill dpi="0">
                    <a:blip xmlns:r="http://schemas.openxmlformats.org/officeDocument/2006/relationships" r:embed="Relimage46"/>
                    <a:srcRect/>
                    <a:stretch>
                      <a:fillRect/>
                    </a:stretch>
                  </pic:blipFill>
                  <pic:spPr>
                    <a:xfrm>
                      <a:off x="0" y="0"/>
                      <a:ext cx="5760720" cy="6715125"/>
                    </a:xfrm>
                    <a:prstGeom prst="rect"/>
                  </pic:spPr>
                </pic:pic>
              </a:graphicData>
            </a:graphic>
          </wp:anchor>
        </w:drawing>
      </w:r>
    </w:p>
    <w:p>
      <w:pPr>
        <w:pStyle w:val="P14"/>
      </w:pPr>
      <w:r>
        <w:rPr>
          <w:noProof w:val="1"/>
        </w:rPr>
        <w:drawing>
          <wp:anchor xmlns:wp="http://schemas.openxmlformats.org/drawingml/2006/wordprocessingDrawing" distT="0" distB="0" distL="114300" distR="114300" simplePos="0" relativeHeight="5" behindDoc="0" locked="0" layoutInCell="1" allowOverlap="1">
            <wp:simplePos x="0" y="0"/>
            <wp:positionH relativeFrom="column">
              <wp:posOffset>251460</wp:posOffset>
            </wp:positionH>
            <wp:positionV relativeFrom="paragraph">
              <wp:posOffset>76200</wp:posOffset>
            </wp:positionV>
            <wp:extent cx="5687060" cy="7839710"/>
            <wp:effectExtent l="0" t="0" r="8890" b="8890"/>
            <wp:wrapTopAndBottom/>
            <wp:docPr id="85" name="Bildobjekt 85"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Bildobjekt 85" descr="En bild som visar diagram&#10;&#10;Automatiskt genererad beskrivning"/>
                    <pic:cNvPicPr/>
                  </pic:nvPicPr>
                  <pic:blipFill dpi="0">
                    <a:blip xmlns:r="http://schemas.openxmlformats.org/officeDocument/2006/relationships" r:embed="Relimage47"/>
                    <a:srcRect/>
                    <a:stretch>
                      <a:fillRect/>
                    </a:stretch>
                  </pic:blipFill>
                  <pic:spPr>
                    <a:xfrm>
                      <a:off x="0" y="0"/>
                      <a:ext cx="5687219" cy="7840169"/>
                    </a:xfrm>
                    <a:prstGeom prst="rect"/>
                  </pic:spPr>
                </pic:pic>
              </a:graphicData>
            </a:graphic>
          </wp:anchor>
        </w:drawing>
      </w:r>
    </w:p>
    <w:p>
      <w:pPr>
        <w:pStyle w:val="P14"/>
      </w:pPr>
    </w:p>
    <w:p>
      <w:pPr>
        <w:pStyle w:val="P14"/>
      </w:pPr>
    </w:p>
    <w:p>
      <w:pPr>
        <w:pStyle w:val="P14"/>
      </w:pPr>
      <w:r>
        <w:rPr>
          <w:noProof w:val="1"/>
        </w:rPr>
        <w:drawing>
          <wp:anchor xmlns:wp="http://schemas.openxmlformats.org/drawingml/2006/wordprocessingDrawing" distT="0" distB="0" distL="114300" distR="114300" simplePos="0" relativeHeight="7" behindDoc="0" locked="0" layoutInCell="1" allowOverlap="1">
            <wp:simplePos x="0" y="0"/>
            <wp:positionH relativeFrom="column">
              <wp:posOffset>137160</wp:posOffset>
            </wp:positionH>
            <wp:positionV relativeFrom="paragraph">
              <wp:posOffset>0</wp:posOffset>
            </wp:positionV>
            <wp:extent cx="5668010" cy="4972685"/>
            <wp:effectExtent l="0" t="0" r="8890" b="0"/>
            <wp:wrapTopAndBottom/>
            <wp:docPr id="86" name="Bildobjekt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dpi="0">
                    <a:blip xmlns:r="http://schemas.openxmlformats.org/officeDocument/2006/relationships" r:embed="Relimage48"/>
                    <a:srcRect/>
                    <a:stretch>
                      <a:fillRect/>
                    </a:stretch>
                  </pic:blipFill>
                  <pic:spPr>
                    <a:xfrm>
                      <a:off x="0" y="0"/>
                      <a:ext cx="5668167" cy="4972744"/>
                    </a:xfrm>
                    <a:prstGeom prst="rect"/>
                  </pic:spPr>
                </pic:pic>
              </a:graphicData>
            </a:graphic>
          </wp:anchor>
        </w:drawing>
      </w:r>
    </w:p>
    <w:p>
      <w:pPr>
        <w:pStyle w:val="P14"/>
      </w:pPr>
    </w:p>
    <w:p>
      <w:r>
        <w:br w:type="page"/>
      </w:r>
    </w:p>
    <w:p>
      <w:pPr>
        <w:rPr>
          <w:rFonts w:ascii="Georgia" w:hAnsi="Georgia"/>
          <w:sz w:val="22"/>
          <w:szCs w:val="20"/>
        </w:rPr>
      </w:pPr>
      <w:r>
        <w:rPr>
          <w:noProof w:val="1"/>
        </w:rPr>
        <w:drawing>
          <wp:anchor xmlns:wp="http://schemas.openxmlformats.org/drawingml/2006/wordprocessingDrawing" distT="0" distB="0" distL="114300" distR="114300" simplePos="0" relativeHeight="9" behindDoc="0" locked="0" layoutInCell="1" allowOverlap="1">
            <wp:simplePos x="0" y="0"/>
            <wp:positionH relativeFrom="column">
              <wp:posOffset>365760</wp:posOffset>
            </wp:positionH>
            <wp:positionV relativeFrom="paragraph">
              <wp:posOffset>0</wp:posOffset>
            </wp:positionV>
            <wp:extent cx="5715635" cy="6553835"/>
            <wp:effectExtent l="0" t="0" r="0" b="0"/>
            <wp:wrapTopAndBottom/>
            <wp:docPr id="92" name="Bildobjekt 92"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Bildobjekt 92" descr="En bild som visar diagram&#10;&#10;Automatiskt genererad beskrivning"/>
                    <pic:cNvPicPr/>
                  </pic:nvPicPr>
                  <pic:blipFill dpi="0">
                    <a:blip xmlns:r="http://schemas.openxmlformats.org/officeDocument/2006/relationships" r:embed="Relimage49"/>
                    <a:srcRect/>
                    <a:stretch>
                      <a:fillRect/>
                    </a:stretch>
                  </pic:blipFill>
                  <pic:spPr>
                    <a:xfrm>
                      <a:off x="0" y="0"/>
                      <a:ext cx="5715635" cy="6553835"/>
                    </a:xfrm>
                    <a:prstGeom prst="rect"/>
                  </pic:spPr>
                </pic:pic>
              </a:graphicData>
            </a:graphic>
          </wp:anchor>
        </w:drawing>
      </w:r>
      <w:r>
        <w:br w:type="page"/>
      </w:r>
      <w:bookmarkEnd w:id="186"/>
    </w:p>
    <w:p>
      <w:pPr>
        <w:pStyle w:val="P16"/>
      </w:pPr>
      <w:bookmarkStart w:id="187" w:name="_Toc143176965"/>
      <w:r>
        <w:t>Miljöbedömning</w:t>
      </w:r>
      <w:bookmarkEnd w:id="187"/>
    </w:p>
    <w:p>
      <w:pPr>
        <w:pStyle w:val="P14"/>
      </w:pPr>
      <w:r>
        <w:t xml:space="preserve">Enligt 6 kap. 3 § miljöbalken (MB) ska en strategisk miljöbedömning göras för planer och planprogram om dess genomförande kan antas medföra en betydande miljöpåverkan. En undersökning är den analys som leder fram till ställningstagandet om huruvida en strategisk miljöbedömning behöver göras eller inte. Undersökningen ska identifiera omständigheter som talar för eller emot en betydande miljöpåverkan. Vid en undersökning ska samråd ske med de kommuner, länsstyrelser och andra myndigheter som på grund av sitt särskilda miljöansvar kan antas bli berörda av planen. Syftet med miljöbedömningen är att integrera miljöaspekter i planeringen så att en hållbar utveckling främjas. Bedömningen ska göras enligt de kriterier som anges i </w:t>
      </w:r>
      <w:r>
        <w:rPr>
          <w:i w:val="1"/>
        </w:rPr>
        <w:t>förordning 1998:905 om miljökonsekvensbeskrivningar</w:t>
      </w:r>
      <w:r>
        <w:t xml:space="preserve"> och ska alltid utmynna i ett motiverat ställningstagande.</w:t>
      </w:r>
    </w:p>
    <w:p>
      <w:pPr>
        <w:pStyle w:val="P14"/>
      </w:pPr>
      <w:r>
        <w:t>Efter undersökningen ska kommunen ta ett särskilt beslut i frågan om planens genomförande kan antas medföra en betydande miljöpåverkan.</w:t>
      </w:r>
    </w:p>
    <w:p>
      <w:pPr>
        <w:pStyle w:val="P14"/>
      </w:pPr>
      <w:r>
        <w:t xml:space="preserve">Om förändringen antas innebära betydande miljöpåverkan ska det upprättas en miljökonsekvensbeskrivning (MKB) för detaljplanen där konsekvenserna ska identifieras, beskrivas och bedömas. Krav på innehållet återfinns i 6 kap. 12–13§ MB. Hänvisning till detta finns även i plan och bygglagens (2010:900) 4 kap. (34§). Regeringen får därutöver meddela föreskrifter om vilka slags planer och program som alltid kan antas medföra en betydande miljöpåverkan. </w:t>
      </w:r>
    </w:p>
    <w:p>
      <w:pPr>
        <w:pStyle w:val="P14"/>
      </w:pPr>
      <w:r>
        <w:t>En undersökning av risk för betydande miljöpåverkan (BMP) för hela planområdet har upprättats av stadsbyggnadsavdelningen i Kiruna kommun. I denna bedöms genomförandet av detaljplanen kunna leda till betydande miljöpåverkan enligt Miljöbalken i 6 kap. 12–13§. Samråd har skett med länsstyrelsen som delar kommunens bedömning av miljökonsekvensbeskrivningens avgränsning.</w:t>
      </w:r>
    </w:p>
    <w:p>
      <w:pPr>
        <w:pStyle w:val="P14"/>
      </w:pPr>
      <w:r>
        <w:t>Följande aspekter har utretts vidare i MKB integrerat med detaljplanearbetet:</w:t>
      </w:r>
    </w:p>
    <w:p>
      <w:pPr>
        <w:pStyle w:val="P14"/>
        <w:numPr>
          <w:ilvl w:val="0"/>
          <w:numId w:val="30"/>
        </w:numPr>
      </w:pPr>
      <w:r>
        <w:t>Nationella miljömålen</w:t>
      </w:r>
    </w:p>
    <w:p>
      <w:pPr>
        <w:pStyle w:val="P14"/>
        <w:numPr>
          <w:ilvl w:val="0"/>
          <w:numId w:val="30"/>
        </w:numPr>
      </w:pPr>
      <w:r>
        <w:t>Riksintresset kulturmiljö, ämnen och mineraler samt totalförsvaret</w:t>
      </w:r>
    </w:p>
    <w:p>
      <w:pPr>
        <w:pStyle w:val="P14"/>
        <w:numPr>
          <w:ilvl w:val="0"/>
          <w:numId w:val="30"/>
        </w:numPr>
      </w:pPr>
      <w:r>
        <w:t>Sociala aspekter</w:t>
      </w:r>
    </w:p>
    <w:p>
      <w:pPr>
        <w:pStyle w:val="P14"/>
        <w:numPr>
          <w:ilvl w:val="0"/>
          <w:numId w:val="30"/>
        </w:numPr>
      </w:pPr>
      <w:r>
        <w:t>Klimat</w:t>
      </w:r>
    </w:p>
    <w:p>
      <w:pPr>
        <w:pStyle w:val="P14"/>
        <w:numPr>
          <w:ilvl w:val="0"/>
          <w:numId w:val="30"/>
        </w:numPr>
      </w:pPr>
      <w:r>
        <w:t>Dag- och grundvatten</w:t>
      </w:r>
    </w:p>
    <w:p>
      <w:pPr>
        <w:pStyle w:val="P14"/>
        <w:numPr>
          <w:ilvl w:val="0"/>
          <w:numId w:val="30"/>
        </w:numPr>
      </w:pPr>
      <w:r>
        <w:t>Naturmiljön</w:t>
      </w:r>
    </w:p>
    <w:p>
      <w:pPr>
        <w:pStyle w:val="P14"/>
        <w:numPr>
          <w:ilvl w:val="0"/>
          <w:numId w:val="30"/>
        </w:numPr>
      </w:pPr>
      <w:r>
        <w:t>Trafiksituationen inklusive farligt gods</w:t>
      </w:r>
    </w:p>
    <w:p>
      <w:pPr>
        <w:pStyle w:val="P14"/>
        <w:numPr>
          <w:ilvl w:val="0"/>
          <w:numId w:val="30"/>
        </w:numPr>
      </w:pPr>
      <w:r>
        <w:t>Avfall och masshantering</w:t>
      </w:r>
    </w:p>
    <w:p>
      <w:pPr>
        <w:pStyle w:val="P14"/>
        <w:numPr>
          <w:ilvl w:val="0"/>
          <w:numId w:val="30"/>
        </w:numPr>
      </w:pPr>
      <w:r>
        <w:t>Risk och säkerhet</w:t>
      </w:r>
    </w:p>
    <w:p>
      <w:pPr>
        <w:pStyle w:val="P14"/>
        <w:numPr>
          <w:ilvl w:val="0"/>
          <w:numId w:val="30"/>
        </w:numPr>
      </w:pPr>
      <w:r>
        <w:t xml:space="preserve">Störningar </w:t>
      </w:r>
    </w:p>
    <w:p>
      <w:pPr>
        <w:pStyle w:val="P14"/>
        <w:numPr>
          <w:ilvl w:val="0"/>
          <w:numId w:val="30"/>
        </w:numPr>
      </w:pPr>
      <w:r>
        <w:t>Luft</w:t>
      </w:r>
    </w:p>
    <w:p>
      <w:pPr>
        <w:pStyle w:val="P14"/>
        <w:numPr>
          <w:ilvl w:val="0"/>
          <w:numId w:val="30"/>
        </w:numPr>
      </w:pPr>
      <w:r>
        <w:t xml:space="preserve">Miljökvalitetsnormer (MKN) </w:t>
      </w:r>
    </w:p>
    <w:p>
      <w:pPr>
        <w:pStyle w:val="P14"/>
      </w:pPr>
      <w:r>
        <w:t>Länsstyrelsen framförde vidare nedanstående kompletterande synpunkter:</w:t>
      </w:r>
    </w:p>
    <w:p>
      <w:pPr>
        <w:pStyle w:val="P14"/>
        <w:numPr>
          <w:ilvl w:val="0"/>
          <w:numId w:val="31"/>
        </w:numPr>
      </w:pPr>
      <w:r>
        <w:rPr>
          <w:i w:val="1"/>
          <w:iCs w:val="1"/>
        </w:rPr>
        <w:t>Markavvattning och rening</w:t>
        <w:br w:type="textWrapping"/>
      </w:r>
      <w:r>
        <w:t>I samband med etablering av ny kyrkogård behöver marken sannolikt dräneras. Vatten som avleds för avvattning av en begravningsplats är klassat som avloppsvatten enligt 9 kap. 2 § miljöbalken och innehåller höga halter av närsalter, bakterier och ev. tungmetaller. Innan det avleds vidare kommer det att behöva genomgå rening, och det kan vara bra om det avsätts utrymme på plankartan för en avloppsreningsanläggning förutsatt att vattnet inte ska ledas till det kommunala spillvattennätet.</w:t>
      </w:r>
    </w:p>
    <w:p>
      <w:pPr>
        <w:pStyle w:val="P14"/>
        <w:numPr>
          <w:ilvl w:val="0"/>
          <w:numId w:val="31"/>
        </w:numPr>
      </w:pPr>
      <w:r>
        <w:rPr>
          <w:i w:val="1"/>
          <w:iCs w:val="1"/>
        </w:rPr>
        <w:t>Buller</w:t>
        <w:br w:type="textWrapping"/>
      </w:r>
      <w:r>
        <w:t>En begravningsplats eller minneslund och så även ett kolumbarium (ett gravvalv med nischer avsedda för förvaring av de gravurnor i vilka de kremerade avlidnas aska finns) bör vara en plats för frid. Frid är ofta förknippat med tystnad. På en begravningsplats, minneslund och kolumbarium bör det finnas utrymme att fridfullt kunna sörja eller meditera.</w:t>
      </w:r>
    </w:p>
    <w:p>
      <w:pPr>
        <w:pStyle w:val="P14"/>
        <w:numPr>
          <w:ilvl w:val="0"/>
          <w:numId w:val="31"/>
        </w:numPr>
      </w:pPr>
      <w:r>
        <w:t>Med ovanstående som utgångspunkt har man dels att ta hänsyn till det buller som kan alstras inom kyrkogårdsverksamheten för skötsel av gräsmattor, gravar, m.m. Här bör man ta höjd för att ha sådana tekniska lösningar som minimerar den ljudnivå som uppkommer och sprids inom begravningsplatsen men även utanför denna. Det kan även vara värt att tänka att om det i framtiden planeras för bostäder närmare begravningsplatsen och i så fall göra en bedömning av eventuell påverkan gentemot omgivningen. Notera att även buller kan uppkomma från fläktar och skorstenar, vilket innebär att man bör granska detta i samband med etableringen av krematoriet för att minimera eventuellt buller.</w:t>
      </w:r>
    </w:p>
    <w:p>
      <w:pPr>
        <w:pStyle w:val="P14"/>
        <w:numPr>
          <w:ilvl w:val="0"/>
          <w:numId w:val="31"/>
        </w:numPr>
      </w:pPr>
      <w:r>
        <w:t>Man behöver även ta hänsyn till trafikbuller som uppkommer från väg E10 och det är rimligt att det görs en bedömning hur detta buller påverkar den frid som bör finnas på en begravningsplats för att det ska finnas utrymme för att kunna sörja eller meditera. Då frid på en begravningsplats är en viktig faktor, utgör en låg ljudnivå en särskild kvalitet. Därför anser länsstyrelsen att det inte är orimligt att ha utgångspunkten om 40 dBA ekvivalent ljudnivå, eventuellt med maximala ljudnivåer över 50 dBA men dock inte i så stor utsträckning.</w:t>
      </w:r>
    </w:p>
    <w:p>
      <w:pPr>
        <w:pStyle w:val="P14"/>
        <w:numPr>
          <w:ilvl w:val="0"/>
          <w:numId w:val="31"/>
        </w:numPr>
      </w:pPr>
      <w:r>
        <w:t>Det skulle vara positivt om en bullerutredning/bullerbedömning görs särskilt med de faktorer som angetts ovan.</w:t>
      </w:r>
    </w:p>
    <w:p>
      <w:pPr>
        <w:pStyle w:val="P14"/>
        <w:numPr>
          <w:ilvl w:val="0"/>
          <w:numId w:val="31"/>
        </w:numPr>
      </w:pPr>
      <w:r>
        <w:rPr>
          <w:i w:val="1"/>
          <w:iCs w:val="1"/>
        </w:rPr>
        <w:t>Kulturmiljö</w:t>
        <w:br w:type="textWrapping"/>
      </w:r>
      <w:r>
        <w:t xml:space="preserve">Länsstyrelsen förstår inte kommentaren i handlingarna om att riksintresse kulturmiljö försvinner. Riksintresse kulturmiljö ska inte betraktas som försvunnet, däremot kommer det bli kraftigt påverkat. </w:t>
      </w:r>
    </w:p>
    <w:p>
      <w:pPr>
        <w:pStyle w:val="P14"/>
        <w:numPr>
          <w:ilvl w:val="0"/>
          <w:numId w:val="31"/>
        </w:numPr>
      </w:pPr>
      <w:r>
        <w:rPr>
          <w:i w:val="1"/>
          <w:iCs w:val="1"/>
        </w:rPr>
        <w:t>Naturmiljö</w:t>
        <w:br w:type="textWrapping"/>
      </w:r>
      <w:r>
        <w:t>Det behöver redovisas i MKB:n hur naturmiljön kommer att påverkas av planens genomförande. Länsstyrelsen tar gärna del av eventuell inventering. Planen behöver även beskriva hur och om tex gamla träd ska bevaras på den nya begravningsplatsen.</w:t>
      </w:r>
    </w:p>
    <w:p>
      <w:pPr>
        <w:pStyle w:val="P14"/>
        <w:numPr>
          <w:ilvl w:val="0"/>
          <w:numId w:val="31"/>
        </w:numPr>
      </w:pPr>
      <w:r>
        <w:rPr>
          <w:i w:val="1"/>
          <w:iCs w:val="1"/>
        </w:rPr>
        <w:t>Klimatanpassning</w:t>
        <w:br w:type="textWrapping"/>
      </w:r>
      <w:r>
        <w:t>Vid hårdgörande av ytor som tidigare varit natur, behöver det tillskapas en dagvattenhantering som klarar av framtida förändrade nederbördsmängder utan att risk uppstår för människa, miljö och egendom.</w:t>
      </w:r>
    </w:p>
    <w:p>
      <w:pPr>
        <w:pStyle w:val="P14"/>
        <w:numPr>
          <w:ilvl w:val="0"/>
          <w:numId w:val="31"/>
        </w:numPr>
      </w:pPr>
      <w:r>
        <w:rPr>
          <w:i w:val="1"/>
          <w:iCs w:val="1"/>
        </w:rPr>
        <w:t>Arkeologi</w:t>
        <w:br w:type="textWrapping"/>
      </w:r>
      <w:r>
        <w:t xml:space="preserve">Det finns kulturhistoriska lämningar inom planområdet. Kommunen behöver redovisa lämningarna, ev. skyddsåtgärder eller om dem påverkas av planerna och i så fall ska omfattningen av påverkan beskrivas. </w:t>
      </w:r>
    </w:p>
    <w:p>
      <w:pPr>
        <w:pStyle w:val="P14"/>
        <w:numPr>
          <w:ilvl w:val="0"/>
          <w:numId w:val="31"/>
        </w:numPr>
      </w:pPr>
      <w:r>
        <w:t>Området för begravningsplatsen ingick i de utredningar som utfördes 2005–2006 inför omdragning av väg E10. Inga ytterligare arkeologiska utredningar krävs.</w:t>
      </w:r>
    </w:p>
    <w:p>
      <w:pPr>
        <w:pStyle w:val="P14"/>
        <w:rPr>
          <w:b w:val="1"/>
          <w:i w:val="1"/>
          <w:iCs w:val="1"/>
        </w:rPr>
      </w:pPr>
      <w:r>
        <w:t>Kommunen har tagit hänsyn till dessa synpunkter i miljökonsekvensbeskrivningen (MKB:n). En bullerutredning för industribuller och det egenproducerade bullret har tagits fram. I denna ingår även enklare bedömning av trafikbuller från väg E10. En trafikbullerutredning har tagits fram inför granskningen, med avseende på så väl biltrafik som skoter.</w:t>
      </w:r>
    </w:p>
    <w:p>
      <w:pPr>
        <w:rPr>
          <w:rFonts w:ascii="Georgia" w:hAnsi="Georgia"/>
          <w:sz w:val="20"/>
          <w:szCs w:val="20"/>
        </w:rPr>
      </w:pPr>
    </w:p>
    <w:p>
      <w:pPr>
        <w:pStyle w:val="P15"/>
      </w:pPr>
      <w:bookmarkStart w:id="188" w:name="_Toc143176966"/>
      <w:r>
        <w:t>Miljökvalitetsnormer</w:t>
      </w:r>
      <w:bookmarkEnd w:id="188"/>
    </w:p>
    <w:p>
      <w:pPr>
        <w:pStyle w:val="P16"/>
      </w:pPr>
      <w:bookmarkStart w:id="189" w:name="_Toc143176967"/>
      <w:r>
        <w:t>Luft</w:t>
      </w:r>
      <w:bookmarkEnd w:id="189"/>
    </w:p>
    <w:p>
      <w:pPr>
        <w:pStyle w:val="P14"/>
      </w:pPr>
      <w:r>
        <w:t xml:space="preserve">I jämförelse med ett nollalternativ bedöms planförslaget medföra en liten negativ konsekvens. Planförslaget bedöms medföra en ökad mängd trafik både under byggtiden och verksamhetsfasen vilket innebär att utsläppen inom aktuellt område kommer öka. Vid ett genomförande av planförslaget medför en ökad mängd utsläpp av partiklar och kvävedioxider från krematorieverksamheten samt trafik som bedöms kunna påverka den lokala luftkvaliteten. </w:t>
      </w:r>
    </w:p>
    <w:p>
      <w:pPr>
        <w:pStyle w:val="P14"/>
      </w:pPr>
      <w:r>
        <w:t>Planförslaget innebär en kremeringsverksamhet som kan ha en negativ påverkan på luftkvaliteten i närområdet. Kremeringsverksamhetens påverkan på luftkvaliteten berörs av hur effektiv rökgasreningsutrustningen är samt i hur stor omfattning den används.</w:t>
      </w:r>
    </w:p>
    <w:p>
      <w:pPr>
        <w:pStyle w:val="P16"/>
      </w:pPr>
      <w:bookmarkStart w:id="190" w:name="_Toc143176968"/>
      <w:r>
        <w:t>Vatten</w:t>
      </w:r>
      <w:bookmarkEnd w:id="190"/>
    </w:p>
    <w:p>
      <w:pPr>
        <w:pStyle w:val="P14"/>
      </w:pPr>
      <w:bookmarkStart w:id="191" w:name="_Hlk129179779"/>
      <w:r>
        <w:t xml:space="preserve">Beräkningsresultatet visar att föroreningsbelastningen är avsevärt lägre än angivna riktvärden för samtliga jämförda ämnen. Planerad exploatering bedöms därför inte försämra miljökvalitetsnormen för vatten i Tuollujoki. </w:t>
      </w:r>
    </w:p>
    <w:p>
      <w:pPr>
        <w:pStyle w:val="P16"/>
      </w:pPr>
      <w:bookmarkEnd w:id="191"/>
      <w:bookmarkStart w:id="192" w:name="_Toc143176969"/>
      <w:r>
        <w:t>Buller</w:t>
      </w:r>
      <w:bookmarkEnd w:id="192"/>
    </w:p>
    <w:p>
      <w:pPr>
        <w:pStyle w:val="P14"/>
      </w:pPr>
      <w:r>
        <w:t>I jämförelse med ett nollalternativ bedöms planförslaget medföra en obetydligt till liten negativ konsekvens. Detta avser att planområdet har en ekvivalent ljudnivå på cirka 45 dBA till 55 dBA på grund av närliggande avfallsanläggning, väg E10 samt skoterleder. Vid ett genomförande av planförslaget kommer ljudnivån möjligtvis att öka marginellt under kortare perioder under dagtid på grund av maskinarbete, men överskrider inte riktvärdet om 55 dBA.</w:t>
      </w:r>
    </w:p>
    <w:p>
      <w:pPr>
        <w:pStyle w:val="P15"/>
      </w:pPr>
      <w:bookmarkStart w:id="193" w:name="_Toc143176970"/>
      <w:r>
        <w:t>Hälsa och säkerhet</w:t>
      </w:r>
      <w:bookmarkEnd w:id="193"/>
    </w:p>
    <w:p>
      <w:pPr>
        <w:pStyle w:val="P16"/>
      </w:pPr>
      <w:bookmarkStart w:id="194" w:name="_Toc143176971"/>
      <w:r>
        <w:t>Översvämning</w:t>
      </w:r>
      <w:bookmarkEnd w:id="194"/>
    </w:p>
    <w:p>
      <w:pPr>
        <w:pStyle w:val="P14"/>
      </w:pPr>
      <w:r>
        <w:t>Utförd simulering av översvämningsrisker vid ett 100-årsregn visar att inga större vattenansamlingar riskerar uppstå inom planområdet. 21 En total fördröjningsvolym för hela planområdet har beräknats utifrån ett mål om att flödet inte får öka efter exploatering. För ett 20-årsregn med klimatfaktor 1,25 blir den totala fördröjningsvolymen cirka 240 m3. Konsekvensen bedöms som liten negativ.</w:t>
      </w:r>
    </w:p>
    <w:p>
      <w:pPr>
        <w:pStyle w:val="P16"/>
      </w:pPr>
      <w:bookmarkStart w:id="195" w:name="_Toc143176972"/>
      <w:r>
        <w:t>Olyckor</w:t>
      </w:r>
      <w:bookmarkEnd w:id="195"/>
    </w:p>
    <w:p>
      <w:pPr>
        <w:pStyle w:val="P14"/>
      </w:pPr>
      <w:r>
        <w:rPr>
          <w:i w:val="1"/>
          <w:iCs w:val="1"/>
        </w:rPr>
        <w:t xml:space="preserve">Transport av farligt gods </w:t>
        <w:br w:type="textWrapping"/>
      </w:r>
      <w:r>
        <w:t>I jämförelse med ett nollalternativ bedöms planförslaget medföra en obetydlig konsekvens för riskerna med transport av farligt gods längs E10. Detta eftersom själva begravningsplatsen inte bedöms bidra till eventuella olyckor på vägen.</w:t>
      </w:r>
    </w:p>
    <w:p>
      <w:pPr>
        <w:pStyle w:val="P14"/>
      </w:pPr>
      <w:r>
        <w:rPr>
          <w:i w:val="1"/>
          <w:iCs w:val="1"/>
        </w:rPr>
        <w:t xml:space="preserve">Krematorieverksamhet </w:t>
        <w:br w:type="textWrapping"/>
      </w:r>
      <w:r>
        <w:t>På grund av lagring och hantering av brandfarligt stödbränsle som kan genom brand eller explosion bidra till olyckor bedöms planförslaget medföra måttligt negativa konsekvenser i jämförelse med nollalternativet.</w:t>
      </w:r>
    </w:p>
    <w:p>
      <w:pPr>
        <w:pStyle w:val="P14"/>
        <w:rPr>
          <w:i w:val="1"/>
          <w:iCs w:val="1"/>
        </w:rPr>
      </w:pPr>
      <w:r>
        <w:rPr>
          <w:i w:val="1"/>
          <w:iCs w:val="1"/>
        </w:rPr>
        <w:t xml:space="preserve">Risker vid eventuell brand Kiruna avfallsanläggning </w:t>
        <w:br w:type="textWrapping"/>
      </w:r>
      <w:r>
        <w:t>I jämförelse med ett nollalternativ bedöms planförslaget medföra en obetydlig konsekvens för riskerna med brand på avfallsanläggningen eftersom detaljplaneområdet inte bidrar till brandriskerna på anläggningen.</w:t>
      </w:r>
    </w:p>
    <w:p>
      <w:pPr>
        <w:rPr>
          <w:rFonts w:ascii="Georgia" w:hAnsi="Georgia"/>
          <w:sz w:val="20"/>
          <w:szCs w:val="20"/>
        </w:rPr>
      </w:pPr>
    </w:p>
    <w:p>
      <w:pPr>
        <w:pStyle w:val="P15"/>
      </w:pPr>
      <w:bookmarkStart w:id="196" w:name="_Toc143176973"/>
      <w:r>
        <w:t>Riksintressen</w:t>
      </w:r>
      <w:bookmarkEnd w:id="196"/>
    </w:p>
    <w:p>
      <w:pPr>
        <w:pStyle w:val="P16"/>
      </w:pPr>
      <w:bookmarkStart w:id="197" w:name="_Toc143176974"/>
      <w:r>
        <w:t>Rennäring</w:t>
      </w:r>
      <w:bookmarkEnd w:id="197"/>
    </w:p>
    <w:p>
      <w:pPr>
        <w:pStyle w:val="P14"/>
      </w:pPr>
      <w:r>
        <w:t xml:space="preserve">Den föreslagna etableringen av begravningsplats innebär en ändrad markanvändning i nära anslutning till ett område som idag betraktas som en svår passage för rennäringen. Begreppet står för påverkan såsom fysiskt trånga områden, eller ljud, ljus, här avses hela Kiruna. </w:t>
      </w:r>
    </w:p>
    <w:p>
      <w:pPr>
        <w:pStyle w:val="P14"/>
      </w:pPr>
      <w:r>
        <w:t>En begravningsplats är dock en plats avsedd för stillhet. Att begravningsverksamheten ensam skulle orsaka någon påtaglig skada eller störning för rennäringen i området bedöms därför inte vara sannolikt.</w:t>
      </w:r>
    </w:p>
    <w:p>
      <w:pPr>
        <w:pStyle w:val="P16"/>
      </w:pPr>
      <w:bookmarkStart w:id="198" w:name="_Toc143176975"/>
      <w:r>
        <w:t>Kulturmiljövård</w:t>
      </w:r>
      <w:bookmarkEnd w:id="198"/>
    </w:p>
    <w:p>
      <w:pPr>
        <w:pStyle w:val="P14"/>
      </w:pPr>
      <w:r>
        <w:t xml:space="preserve">Den pågående stadsomvandlingen innebär ofrånkomligen en påtaglig skada på riksintresset </w:t>
      </w:r>
      <w:r>
        <w:rPr>
          <w:i w:val="1"/>
          <w:iCs w:val="1"/>
        </w:rPr>
        <w:t xml:space="preserve">Kiruna – Kiirunavaara. </w:t>
      </w:r>
      <w:r>
        <w:t xml:space="preserve">Befintlig minneslund, Mariakapellet med tillhörande kolumbarium och krematorium kommer att beröras av gruvbrytningen vid samma tidpunkt som Kiruna kyrka. </w:t>
      </w:r>
    </w:p>
    <w:p>
      <w:pPr>
        <w:pStyle w:val="P14"/>
      </w:pPr>
      <w:r>
        <w:t>Ett nytt kapell kommer därför att behöva byggas och kolumbariet flyttas. Den pågående stadsomvandlingen medför negativa effekter avseende den kulturhistoriska läsbarheten</w:t>
      </w:r>
      <w:r>
        <w:rPr>
          <w:b w:val="1"/>
          <w:bCs w:val="1"/>
        </w:rPr>
        <w:t xml:space="preserve">. </w:t>
      </w:r>
    </w:p>
    <w:p>
      <w:pPr>
        <w:pStyle w:val="P14"/>
      </w:pPr>
      <w:r>
        <w:t>Kiruna är i detta avseende ett tydligt exempel på två riksintressen som ställs mot varandra. Den gruvverksamhet som historiskt möjliggjort stadens framväxt och de kulturmiljövärden som är kopplade till densamma utgör idag också det största hotet.</w:t>
      </w:r>
    </w:p>
    <w:p>
      <w:pPr>
        <w:pStyle w:val="P14"/>
      </w:pPr>
      <w:r>
        <w:t>Anläggandet av en ny begravningsplats motiveras inte enbart av den pågående stadsomvandlingen. Befintliga begravningsplatser i Kiruna och Poikkijärvi saknar utbyggnadsmöjligheter. Det föreslagna området för ny begravningsplats berör inget av de värden som ger uttryck för riksintresset. Anläggandet av den nya begravningsplatsen bedöms därför kunna genomföras utan att någon skada uppstår på riksintresseområdet.</w:t>
      </w:r>
    </w:p>
    <w:p>
      <w:pPr>
        <w:pStyle w:val="P16"/>
      </w:pPr>
      <w:bookmarkStart w:id="199" w:name="_Toc143176976"/>
      <w:r>
        <w:t>Fyndigheter av ämnen och material</w:t>
      </w:r>
      <w:bookmarkEnd w:id="199"/>
    </w:p>
    <w:p>
      <w:pPr>
        <w:pStyle w:val="P14"/>
      </w:pPr>
      <w:r>
        <w:t>Området omfattas av riksintresse för värdefulla ämnen och material, 3 kap 7 § miljöbalken. All form av förändrad mark- och vattenanvändning som försvårar eller förhindrar en framtida utvinning innebär en påtaglig skada för riksintresset. Enligt Miljöbalken 3 kap. 1§ ska mark- och vattenområden användas för det eller de ändamål de är mest lämpade för med hänsyn till beskaffenhet och läge samt föreliggande behov. Kommunen har gjort bedömningen att markområdet är mest lämpat för att användas till den föreslagna detaljplaneläggningen då platsen läge, markens beskaffenhet och framför allt föreliggande behov är starkt prioriterat. Krematoriebyggnaden med tillhörande begravningsplats är förvisso inte av riksintresse men har ett stort allmänintresse.</w:t>
      </w:r>
    </w:p>
    <w:p>
      <w:pPr>
        <w:pStyle w:val="P16"/>
      </w:pPr>
      <w:bookmarkStart w:id="200" w:name="_Toc143176977"/>
      <w:r>
        <w:t>Trafikkommunikation</w:t>
      </w:r>
      <w:bookmarkEnd w:id="200"/>
    </w:p>
    <w:p>
      <w:pPr>
        <w:pStyle w:val="P14"/>
      </w:pPr>
      <w:r>
        <w:t xml:space="preserve">Det aktuella planområdet berör MSA-yta för Kiruna flygplats. För området gäller höjdbegränsningar. Detaljplanen kommer att utformas så att angivna höjdbegränsningar innehålls. För att säkerställa att planförslaget inte påtagligt försvårar nyttjandet av flygplatsen kommer planbeskrivningen lämnas på remiss till Kiruna flygplats, det avser såväl militär som civil flygtrafik. </w:t>
      </w:r>
    </w:p>
    <w:p>
      <w:pPr>
        <w:pStyle w:val="P14"/>
      </w:pPr>
      <w:r>
        <w:t>Det utpekade riksintresset för väg avser väg E10. Det aktuella planområdet berör inte vägområdet. Den föreslagna detaljplanen bedöms därför inte påtagligt skada riksintresset för väg.</w:t>
      </w:r>
    </w:p>
    <w:p>
      <w:pPr>
        <w:pStyle w:val="P16"/>
      </w:pPr>
      <w:bookmarkStart w:id="201" w:name="_Toc143176978"/>
      <w:r>
        <w:t>Totalförsvar</w:t>
      </w:r>
      <w:bookmarkEnd w:id="201"/>
    </w:p>
    <w:p>
      <w:pPr>
        <w:pStyle w:val="P14"/>
      </w:pPr>
      <w:r>
        <w:t>Se Det är endast Försvarsmakten som kan göra bedömningen av om en åtgärd medför påtaglig skada på ett riksintresse för totalförsvarets militära del.</w:t>
      </w:r>
    </w:p>
    <w:p>
      <w:pPr>
        <w:pStyle w:val="P14"/>
      </w:pPr>
    </w:p>
    <w:p>
      <w:pPr>
        <w:pStyle w:val="P15"/>
      </w:pPr>
      <w:bookmarkStart w:id="202" w:name="_Toc143176979"/>
      <w:r>
        <w:t>Trafik</w:t>
      </w:r>
      <w:bookmarkEnd w:id="202"/>
    </w:p>
    <w:p>
      <w:pPr>
        <w:pStyle w:val="P14"/>
        <w:rPr>
          <w:bCs w:val="1"/>
        </w:rPr>
      </w:pPr>
      <w:r>
        <w:rPr>
          <w:bCs w:val="1"/>
        </w:rPr>
        <w:t>Planerad begravningsplats och verksamheten som medföljer kommer sannolikt att leda till en ökning av trafikaktivitet i och runt planområdet. Ökad trafikaktivitet kommer främst att uppstå på grund av besökare men även bestå av fordon som behövs för att driva och underhålla begravningsplatsen. Fordonstrafik som drivs av fossilt bränsle och förbränningsmotorer har en negativ klimatpåverkan på grund av deras utsläpp av växthusgaser samt aerosoler.</w:t>
      </w:r>
    </w:p>
    <w:p>
      <w:pPr>
        <w:pStyle w:val="P14"/>
      </w:pPr>
      <w:r>
        <w:t xml:space="preserve">Planområdet är inom gång- och cykelavstånd från Kiruna nya stadskärna samt Kirunas befintliga centrumkärna. Att ha god tillgänglighet för gång- och cykeltrafikanter mellan Kiruna centrum och planområdet är viktigt för att underlätta ett alternativ till motorfordon. </w:t>
      </w:r>
    </w:p>
    <w:p>
      <w:pPr>
        <w:pStyle w:val="P14"/>
      </w:pPr>
      <w:r>
        <w:t>Användningen av elfordon när det bedöms vara lämpligt inom begravningsplatsens verksamhet skulle minska användningen av fossilt bränsle och därmed påverkan på klimatet. Uppförandet av laddningsstationer skulle möjliggöra för besökare att ladda fordon inom begravningsplatsens parkering vilket minskar beroendet av fossila bränslen.</w:t>
      </w: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default" r:id="RelFtr1"/>
      <w:footerReference xmlns:r="http://schemas.openxmlformats.org/officeDocument/2006/relationships" w:type="even" r:id="RelFtr2"/>
      <w:footnotePr/>
      <w:endnotePr/>
      <w:type w:val="nextPage"/>
      <w:pgSz w:w="11900" w:h="16840" w:code="0"/>
      <w:pgMar w:left="1134" w:right="1134" w:top="1701" w:bottom="1134" w:header="426" w:footer="708" w:gutter="0"/>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endnote>
  <w:endnote w:type="continuationSeparator" w:id="0">
    <w:p>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framePr w:wrap="around" w:vAnchor="text" w:hAnchor="margin" w:y="285"/>
      <w:rPr>
        <w:rStyle w:val="C3"/>
      </w:rPr>
    </w:pPr>
    <w:r>
      <w:rPr>
        <w:rStyle w:val="C3"/>
      </w:rPr>
      <w:fldChar w:fldCharType="begin"/>
    </w:r>
    <w:r>
      <w:rPr>
        <w:rStyle w:val="C3"/>
      </w:rPr>
      <w:instrText xml:space="preserve">PAGE  </w:instrText>
    </w:r>
    <w:r>
      <w:rPr>
        <w:rStyle w:val="C3"/>
      </w:rPr>
      <w:fldChar w:fldCharType="separate"/>
    </w:r>
    <w:r>
      <w:rPr>
        <w:rStyle w:val="C3"/>
      </w:rPr>
      <w:t>#</w:t>
    </w:r>
    <w:r>
      <w:rPr>
        <w:rStyle w:val="C3"/>
      </w:rPr>
      <w:fldChar w:fldCharType="end"/>
    </w:r>
  </w:p>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framePr w:wrap="around" w:vAnchor="text" w:hAnchor="margin" w:y="1"/>
      <w:rPr>
        <w:rStyle w:val="C3"/>
      </w:rPr>
    </w:pPr>
    <w:r>
      <w:rPr>
        <w:rStyle w:val="C3"/>
      </w:rPr>
      <w:fldChar w:fldCharType="begin"/>
    </w:r>
    <w:r>
      <w:rPr>
        <w:rStyle w:val="C3"/>
      </w:rPr>
      <w:instrText xml:space="preserve">PAGE  </w:instrText>
    </w:r>
    <w:r>
      <w:rPr>
        <w:rStyle w:val="C3"/>
      </w:rPr>
      <w:fldChar w:fldCharType="separate"/>
    </w:r>
    <w:r>
      <w:rPr>
        <w:rStyle w:val="C3"/>
      </w:rPr>
      <w:t>#</w:t>
    </w:r>
    <w:r>
      <w:rPr>
        <w:rStyle w:val="C3"/>
      </w:rPr>
      <w:fldChar w:fldCharType="end"/>
    </w:r>
  </w:p>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pPr w:bottomFromText="851" w:leftFromText="5103" w:rightFromText="181" w:tblpX="3511" w:tblpY="795" w:vertAnchor="page"/>
      <w:tblOverlap w:val="never"/>
      <w:tblW w:w="5896" w:type="dxa"/>
      <w:tblCellMar>
        <w:left w:w="0" w:type="dxa"/>
        <w:right w:w="0" w:type="dxa"/>
      </w:tblCellMar>
      <w:tblLook w:val="04A0"/>
    </w:tblPr>
    <w:tblGrid/>
    <w:tr>
      <w:trPr>
        <w:trHeight w:hRule="atLeast" w:val="89"/>
      </w:trPr>
      <w:tc>
        <w:tcPr>
          <w:tcW w:w="5896" w:type="dxa"/>
        </w:tcPr>
        <w:p>
          <w:pPr>
            <w:tabs>
              <w:tab w:val="left" w:pos="4395" w:leader="none"/>
            </w:tabs>
            <w:jc w:val="right"/>
            <w:rPr>
              <w:rFonts w:ascii="Lucida Sans Unicode" w:hAnsi="Lucida Sans Unicode" w:cs="Lucida Sans Unicode" w:eastAsia="MS PGothic"/>
              <w:b w:val="1"/>
              <w:sz w:val="18"/>
              <w:szCs w:val="18"/>
            </w:rPr>
          </w:pPr>
          <w:r>
            <w:rPr>
              <w:rFonts w:ascii="Lucida Sans Unicode" w:hAnsi="Lucida Sans Unicode" w:cs="Lucida Sans Unicode" w:eastAsia="MS PGothic"/>
              <w:b w:val="1"/>
              <w:sz w:val="18"/>
              <w:szCs w:val="18"/>
            </w:rPr>
            <w:t>PLANBESKRIIVNING</w:t>
          </w:r>
        </w:p>
      </w:tc>
    </w:tr>
    <w:tr>
      <w:trPr>
        <w:trHeight w:hRule="atLeast" w:val="91"/>
      </w:trPr>
      <w:tc>
        <w:tcPr>
          <w:tcW w:w="5896" w:type="dxa"/>
        </w:tcPr>
        <w:p>
          <w:pPr>
            <w:tabs>
              <w:tab w:val="left" w:pos="4395" w:leader="none"/>
            </w:tabs>
            <w:jc w:val="right"/>
            <w:rPr>
              <w:rFonts w:ascii="Lucida Sans Unicode" w:hAnsi="Lucida Sans Unicode" w:cs="Lucida Sans Unicode" w:eastAsia="MS PGothic"/>
              <w:sz w:val="18"/>
              <w:szCs w:val="18"/>
            </w:rPr>
          </w:pPr>
          <w:r>
            <w:rPr>
              <w:rFonts w:ascii="Lucida Sans Unicode" w:hAnsi="Lucida Sans Unicode" w:cs="Lucida Sans Unicode" w:eastAsia="MS PGothic"/>
              <w:sz w:val="18"/>
              <w:szCs w:val="18"/>
            </w:rPr>
            <w:t>Mona Mattsson Kauppi, 2025-01-27</w:t>
          </w:r>
        </w:p>
      </w:tc>
    </w:tr>
    <w:tr>
      <w:trPr>
        <w:trHeight w:hRule="atLeast" w:val="91"/>
      </w:trPr>
      <w:tc>
        <w:tcPr>
          <w:tcW w:w="5896" w:type="dxa"/>
        </w:tcPr>
        <w:p>
          <w:pPr>
            <w:tabs>
              <w:tab w:val="left" w:pos="4395" w:leader="none"/>
            </w:tabs>
            <w:jc w:val="right"/>
            <w:rPr>
              <w:rFonts w:ascii="Lucida Sans Unicode" w:hAnsi="Lucida Sans Unicode" w:cs="Lucida Sans Unicode" w:eastAsia="MS PGothic"/>
              <w:sz w:val="18"/>
              <w:szCs w:val="18"/>
            </w:rPr>
          </w:pPr>
          <w:r>
            <w:rPr>
              <w:rFonts w:ascii="Lucida Sans Unicode" w:hAnsi="Lucida Sans Unicode" w:cs="Lucida Sans Unicode" w:eastAsia="MS PGothic"/>
              <w:b w:val="1"/>
              <w:sz w:val="18"/>
              <w:szCs w:val="18"/>
            </w:rPr>
            <w:t xml:space="preserve">Dnr: </w:t>
          </w:r>
          <w:r>
            <w:rPr>
              <w:rFonts w:ascii="Lucida Sans Unicode" w:hAnsi="Lucida Sans Unicode" w:cs="Lucida Sans Unicode" w:eastAsia="MS PGothic"/>
              <w:sz w:val="18"/>
              <w:szCs w:val="18"/>
            </w:rPr>
            <w:t>2021–00002</w:t>
          </w:r>
        </w:p>
      </w:tc>
    </w:tr>
    <w:tr>
      <w:trPr>
        <w:trHeight w:hRule="atLeast" w:val="91"/>
      </w:trPr>
      <w:tc>
        <w:tcPr>
          <w:tcW w:w="5896" w:type="dxa"/>
        </w:tcPr>
        <w:p>
          <w:pPr>
            <w:tabs>
              <w:tab w:val="left" w:pos="4395" w:leader="none"/>
            </w:tabs>
            <w:jc w:val="right"/>
            <w:rPr>
              <w:rFonts w:ascii="Lucida Sans Unicode" w:hAnsi="Lucida Sans Unicode" w:cs="Lucida Sans Unicode" w:eastAsia="MS PGothic"/>
              <w:b w:val="1"/>
              <w:sz w:val="18"/>
              <w:szCs w:val="18"/>
            </w:rPr>
          </w:pPr>
          <w:r>
            <w:rPr>
              <w:rFonts w:ascii="Lucida Sans Unicode" w:hAnsi="Lucida Sans Unicode" w:cs="Lucida Sans Unicode" w:eastAsia="MS PGothic"/>
              <w:b w:val="1"/>
              <w:sz w:val="18"/>
              <w:szCs w:val="18"/>
            </w:rPr>
            <w:t>Planens beteckning</w:t>
          </w:r>
          <w:r>
            <w:rPr>
              <w:rFonts w:ascii="Lucida Sans Unicode" w:hAnsi="Lucida Sans Unicode" w:cs="Lucida Sans Unicode" w:eastAsia="MS PGothic"/>
              <w:b w:val="1"/>
              <w:sz w:val="18"/>
              <w:szCs w:val="18"/>
              <w:rtl w:val="0"/>
              <w:lang w:val="sv-SE" w:bidi="sv-SE" w:eastAsia="sv-SE"/>
            </w:rPr>
            <w:t xml:space="preserve">: </w:t>
          </w:r>
          <w:r>
            <w:rPr>
              <w:rFonts w:ascii="Lucida Sans Unicode" w:hAnsi="Lucida Sans Unicode" w:cs="Lucida Sans Unicode" w:eastAsia="MS PGothic"/>
              <w:b w:val="0"/>
              <w:bCs w:val="0"/>
              <w:sz w:val="18"/>
              <w:szCs w:val="18"/>
              <w:rtl w:val="0"/>
              <w:lang w:val="sv-SE" w:bidi="sv-SE" w:eastAsia="sv-SE"/>
            </w:rPr>
            <w:t>Se</w:t>
          </w:r>
          <w:r>
            <w:rPr>
              <w:rFonts w:ascii="Lucida Sans Unicode" w:hAnsi="Lucida Sans Unicode" w:cs="Lucida Sans Unicode" w:eastAsia="MS PGothic"/>
              <w:b w:val="0"/>
              <w:bCs w:val="0"/>
              <w:sz w:val="18"/>
              <w:szCs w:val="18"/>
              <w:rtl w:val="0"/>
              <w:lang w:val="sv-SE" w:bidi="sv-SE" w:eastAsia="sv-SE"/>
            </w:rPr>
            <w:t xml:space="preserve"> 323</w:t>
          </w:r>
        </w:p>
      </w:tc>
    </w:tr>
    <w:tr>
      <w:trPr>
        <w:trHeight w:hRule="atLeast" w:val="91"/>
      </w:trPr>
      <w:tc>
        <w:tcPr>
          <w:tcW w:w="5896" w:type="dxa"/>
        </w:tcPr>
        <w:p>
          <w:pPr>
            <w:tabs>
              <w:tab w:val="left" w:pos="4395" w:leader="none"/>
            </w:tabs>
            <w:jc w:val="right"/>
            <w:rPr>
              <w:rFonts w:ascii="Lucida Sans Unicode" w:hAnsi="Lucida Sans Unicode" w:cs="Lucida Sans Unicode" w:eastAsia="MS PGothic"/>
              <w:b w:val="1"/>
              <w:sz w:val="18"/>
              <w:szCs w:val="18"/>
            </w:rPr>
          </w:pPr>
          <w:r>
            <w:rPr>
              <w:rFonts w:ascii="Lucida Sans Unicode" w:hAnsi="Lucida Sans Unicode" w:cs="Lucida Sans Unicode" w:eastAsia="MS PGothic"/>
              <w:b w:val="1"/>
              <w:sz w:val="18"/>
              <w:szCs w:val="18"/>
            </w:rPr>
            <w:t xml:space="preserve">Påbörjad: </w:t>
          </w:r>
          <w:r>
            <w:rPr>
              <w:rFonts w:ascii="Lucida Sans Unicode" w:hAnsi="Lucida Sans Unicode" w:cs="Lucida Sans Unicode" w:eastAsia="MS PGothic"/>
              <w:bCs w:val="1"/>
              <w:sz w:val="18"/>
              <w:szCs w:val="18"/>
            </w:rPr>
            <w:t>2021-03-08</w:t>
          </w:r>
        </w:p>
      </w:tc>
    </w:tr>
    <w:tr>
      <w:trPr>
        <w:trHeight w:hRule="atLeast" w:val="91"/>
      </w:trPr>
      <w:tc>
        <w:tcPr>
          <w:tcW w:w="5896" w:type="dxa"/>
        </w:tcPr>
        <w:p>
          <w:pPr>
            <w:tabs>
              <w:tab w:val="left" w:pos="4395" w:leader="none"/>
            </w:tabs>
            <w:jc w:val="right"/>
            <w:rPr>
              <w:rFonts w:ascii="Lucida Sans Unicode" w:hAnsi="Lucida Sans Unicode" w:cs="Lucida Sans Unicode" w:eastAsia="MS PGothic"/>
              <w:b w:val="1"/>
              <w:sz w:val="18"/>
              <w:szCs w:val="18"/>
            </w:rPr>
          </w:pPr>
          <w:r>
            <w:rPr>
              <w:rFonts w:ascii="Lucida Sans Unicode" w:hAnsi="Lucida Sans Unicode" w:cs="Lucida Sans Unicode" w:eastAsia="MS PGothic"/>
              <w:b w:val="1"/>
              <w:sz w:val="18"/>
              <w:szCs w:val="18"/>
            </w:rPr>
            <w:t xml:space="preserve">Antagen av kommunfullmäktige: </w:t>
          </w:r>
          <w:r>
            <w:rPr>
              <w:rFonts w:ascii="Lucida Sans Unicode" w:hAnsi="Lucida Sans Unicode" w:cs="Lucida Sans Unicode" w:eastAsia="MS PGothic"/>
              <w:bCs w:val="1"/>
              <w:sz w:val="18"/>
              <w:szCs w:val="18"/>
            </w:rPr>
            <w:t>2025-02-24, § 27</w:t>
          </w:r>
        </w:p>
        <w:p>
          <w:pPr>
            <w:tabs>
              <w:tab w:val="left" w:pos="4395" w:leader="none"/>
            </w:tabs>
            <w:jc w:val="right"/>
            <w:rPr>
              <w:rFonts w:ascii="Lucida Sans Unicode" w:hAnsi="Lucida Sans Unicode" w:cs="Lucida Sans Unicode" w:eastAsia="MS PGothic"/>
              <w:b w:val="1"/>
              <w:sz w:val="18"/>
              <w:szCs w:val="18"/>
            </w:rPr>
          </w:pPr>
          <w:r>
            <w:rPr>
              <w:rFonts w:ascii="Lucida Sans Unicode" w:hAnsi="Lucida Sans Unicode" w:cs="Lucida Sans Unicode" w:eastAsia="MS PGothic"/>
              <w:b w:val="1"/>
              <w:sz w:val="18"/>
              <w:szCs w:val="18"/>
            </w:rPr>
            <w:t xml:space="preserve">Laga kraft: </w:t>
          </w:r>
          <w:r>
            <w:rPr>
              <w:rFonts w:ascii="Lucida Sans Unicode" w:hAnsi="Lucida Sans Unicode" w:cs="Lucida Sans Unicode" w:eastAsia="MS PGothic"/>
              <w:bCs w:val="1"/>
              <w:sz w:val="18"/>
              <w:szCs w:val="18"/>
            </w:rPr>
            <w:t>2025-03-22</w:t>
          </w:r>
        </w:p>
        <w:p>
          <w:pPr>
            <w:tabs>
              <w:tab w:val="left" w:pos="4395" w:leader="none"/>
            </w:tabs>
            <w:jc w:val="right"/>
            <w:rPr>
              <w:rFonts w:ascii="Lucida Sans Unicode" w:hAnsi="Lucida Sans Unicode" w:cs="Lucida Sans Unicode" w:eastAsia="MS PGothic"/>
              <w:b w:val="1"/>
              <w:sz w:val="18"/>
              <w:szCs w:val="18"/>
            </w:rPr>
          </w:pPr>
          <w:r>
            <w:rPr>
              <w:rFonts w:ascii="Lucida Sans Unicode" w:hAnsi="Lucida Sans Unicode" w:cs="Lucida Sans Unicode" w:eastAsia="MS PGothic"/>
              <w:b w:val="1"/>
              <w:sz w:val="18"/>
              <w:szCs w:val="18"/>
            </w:rPr>
            <w:t>Genomförandetid:</w:t>
          </w:r>
          <w:r>
            <w:rPr>
              <w:rFonts w:ascii="Lucida Sans Unicode" w:hAnsi="Lucida Sans Unicode" w:cs="Lucida Sans Unicode" w:eastAsia="MS PGothic"/>
              <w:bCs w:val="1"/>
              <w:sz w:val="18"/>
              <w:szCs w:val="18"/>
            </w:rPr>
            <w:t>15 år</w:t>
          </w:r>
          <w:r>
            <w:rPr>
              <w:rFonts w:ascii="Lucida Sans Unicode" w:hAnsi="Lucida Sans Unicode" w:cs="Lucida Sans Unicode" w:eastAsia="MS PGothic"/>
              <w:b w:val="1"/>
              <w:sz w:val="18"/>
              <w:szCs w:val="18"/>
            </w:rPr>
            <w:t xml:space="preserve"> </w:t>
          </w:r>
        </w:p>
      </w:tc>
    </w:tr>
    <w:tr>
      <w:trPr>
        <w:trHeight w:hRule="atLeast" w:val="91"/>
      </w:trPr>
      <w:tc>
        <w:tcPr>
          <w:tcW w:w="5896" w:type="dxa"/>
        </w:tcPr>
        <w:p>
          <w:pPr>
            <w:tabs>
              <w:tab w:val="left" w:pos="4395" w:leader="none"/>
            </w:tabs>
            <w:jc w:val="right"/>
            <w:rPr>
              <w:rFonts w:ascii="Lucida Sans Unicode" w:hAnsi="Lucida Sans Unicode" w:cs="Lucida Sans Unicode" w:eastAsia="MS PGothic"/>
              <w:b w:val="1"/>
              <w:sz w:val="18"/>
              <w:szCs w:val="18"/>
            </w:rPr>
          </w:pPr>
        </w:p>
      </w:tc>
    </w:tr>
    <w:tr>
      <w:trPr>
        <w:trHeight w:hRule="atLeast" w:val="91"/>
      </w:trPr>
      <w:tc>
        <w:tcPr>
          <w:tcW w:w="5896" w:type="dxa"/>
        </w:tcPr>
        <w:p>
          <w:pPr>
            <w:tabs>
              <w:tab w:val="left" w:pos="4395" w:leader="none"/>
            </w:tabs>
            <w:jc w:val="right"/>
            <w:rPr>
              <w:rFonts w:ascii="Lucida Sans Unicode" w:hAnsi="Lucida Sans Unicode" w:cs="Lucida Sans Unicode" w:eastAsia="MS PGothic"/>
              <w:b w:val="1"/>
              <w:sz w:val="18"/>
              <w:szCs w:val="18"/>
            </w:rPr>
          </w:pPr>
        </w:p>
      </w:tc>
    </w:tr>
    <w:tr>
      <w:trPr>
        <w:trHeight w:hRule="atLeast" w:val="91"/>
      </w:trPr>
      <w:tc>
        <w:tcPr>
          <w:tcW w:w="5896" w:type="dxa"/>
        </w:tcPr>
        <w:p>
          <w:pPr>
            <w:tabs>
              <w:tab w:val="left" w:pos="4395" w:leader="none"/>
            </w:tabs>
            <w:jc w:val="right"/>
            <w:rPr>
              <w:rFonts w:ascii="Lucida Sans Unicode" w:hAnsi="Lucida Sans Unicode" w:cs="Lucida Sans Unicode" w:eastAsia="MS PGothic"/>
              <w:b w:val="1"/>
              <w:sz w:val="18"/>
              <w:szCs w:val="18"/>
              <w:highlight w:val="yellow"/>
            </w:rPr>
          </w:pPr>
        </w:p>
      </w:tc>
    </w:tr>
    <w:tr>
      <w:trPr>
        <w:trHeight w:hRule="atLeast" w:val="91"/>
      </w:trPr>
      <w:tc>
        <w:tcPr>
          <w:tcW w:w="5896" w:type="dxa"/>
        </w:tcPr>
        <w:p>
          <w:pPr>
            <w:tabs>
              <w:tab w:val="left" w:pos="4395" w:leader="none"/>
            </w:tabs>
            <w:jc w:val="right"/>
            <w:rPr>
              <w:rFonts w:ascii="Lucida Sans Unicode" w:hAnsi="Lucida Sans Unicode" w:cs="Lucida Sans Unicode" w:eastAsia="MS PGothic"/>
              <w:b w:val="1"/>
              <w:sz w:val="18"/>
              <w:szCs w:val="18"/>
              <w:highlight w:val="yellow"/>
            </w:rPr>
          </w:pPr>
        </w:p>
      </w:tc>
    </w:tr>
  </w:tbl>
  <w:p>
    <w:r>
      <w:rPr>
        <w:noProof w:val="1"/>
        <w:lang w:eastAsia="sv-SE"/>
      </w:rPr>
      <w:drawing>
        <wp:anchor xmlns:wp="http://schemas.openxmlformats.org/drawingml/2006/wordprocessingDrawing" distT="0" distB="0" distL="114300" distR="114300" simplePos="0" relativeHeight="251656706" behindDoc="1" locked="0" layoutInCell="1" allowOverlap="1">
          <wp:simplePos x="0" y="0"/>
          <wp:positionH relativeFrom="page">
            <wp:posOffset>431800</wp:posOffset>
          </wp:positionH>
          <wp:positionV relativeFrom="page">
            <wp:posOffset>431800</wp:posOffset>
          </wp:positionV>
          <wp:extent cx="1888490" cy="474980"/>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dpi="0">
                  <a:blip xmlns:r="http://schemas.openxmlformats.org/officeDocument/2006/relationships" r:embed="Relimage50"/>
                  <a:srcRect/>
                  <a:stretch>
                    <a:fillRect/>
                  </a:stretch>
                </pic:blipFill>
                <pic:spPr bwMode="auto">
                  <a:xfrm>
                    <a:off x="0" y="0"/>
                    <a:ext cx="1888490" cy="474980"/>
                  </a:xfrm>
                  <a:prstGeom prst="rect"/>
                  <a:noFill/>
                  <a:ln>
                    <a:noFill/>
                  </a:ln>
                </pic:spPr>
              </pic:pic>
            </a:graphicData>
          </a:graphic>
        </wp:anchor>
      </w:drawing>
    </w:r>
    <w:r>
      <w:rPr>
        <w:noProof w:val="1"/>
        <w:lang w:eastAsia="sv-SE"/>
      </w:rPr>
      <w:drawing>
        <wp:anchor xmlns:wp="http://schemas.openxmlformats.org/drawingml/2006/wordprocessingDrawing" distT="0" distB="0" distL="114300" distR="114300" simplePos="0" relativeHeight="251656705" behindDoc="1" locked="0" layoutInCell="1" allowOverlap="1">
          <wp:simplePos x="0" y="0"/>
          <wp:positionH relativeFrom="page">
            <wp:posOffset>-3165475</wp:posOffset>
          </wp:positionH>
          <wp:positionV relativeFrom="page">
            <wp:posOffset>1291590</wp:posOffset>
          </wp:positionV>
          <wp:extent cx="2160270" cy="5422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50"/>
                  <a:srcRect/>
                  <a:stretch>
                    <a:fillRect/>
                  </a:stretch>
                </pic:blipFill>
                <pic:spPr bwMode="auto">
                  <a:xfrm>
                    <a:off x="0" y="0"/>
                    <a:ext cx="2160270" cy="542290"/>
                  </a:xfrm>
                  <a:prstGeom prst="rect"/>
                  <a:noFill/>
                  <a:ln>
                    <a:noFill/>
                  </a:ln>
                </pic:spPr>
              </pic:pic>
            </a:graphicData>
          </a:graphic>
        </wp:anchor>
      </w:drawing>
    </w:r>
    <w:r>
      <w:tab/>
      <w:tab/>
      <w:tab/>
      <w:tab/>
      <w:tab/>
      <w:tab/>
      <w:tab/>
      <w:tab/>
    </w:r>
  </w:p>
  <w:p>
    <w:pPr>
      <w:spacing w:lineRule="auto" w:line="249" w:after="48" w:beforeAutospacing="0" w:afterAutospacing="0"/>
      <w:ind w:right="1171"/>
      <w:jc w:val="both"/>
      <w:rPr>
        <w:rFonts w:ascii="Georgia" w:hAnsi="Georgia" w:cstheme="minorHAnsi"/>
        <w:sz w:val="36"/>
      </w:rPr>
    </w:pPr>
  </w:p>
  <w:p>
    <w:r>
      <w:rPr>
        <w:noProof w:val="1"/>
        <w:lang w:eastAsia="sv-SE"/>
      </w:rPr>
      <w:drawing>
        <wp:anchor xmlns:wp="http://schemas.openxmlformats.org/drawingml/2006/wordprocessingDrawing" distT="0" distB="0" distL="114300" distR="114300" simplePos="0" relativeHeight="251656704" behindDoc="1" locked="0" layoutInCell="1" allowOverlap="1">
          <wp:simplePos x="0" y="0"/>
          <wp:positionH relativeFrom="column">
            <wp:posOffset>-230505</wp:posOffset>
          </wp:positionH>
          <wp:positionV relativeFrom="paragraph">
            <wp:posOffset>426720</wp:posOffset>
          </wp:positionV>
          <wp:extent cx="7096125" cy="72453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dpi="0">
                  <a:blip xmlns:r="http://schemas.openxmlformats.org/officeDocument/2006/relationships" r:embed="Relimage51"/>
                  <a:srcRect/>
                  <a:stretch>
                    <a:fillRect/>
                  </a:stretch>
                </pic:blipFill>
                <pic:spPr bwMode="auto">
                  <a:xfrm>
                    <a:off x="0" y="0"/>
                    <a:ext cx="7096346" cy="7245383"/>
                  </a:xfrm>
                  <a:prstGeom prst="rect"/>
                  <a:noFill/>
                  <a:ln>
                    <a:noFill/>
                  </a:ln>
                </pic:spPr>
              </pic:pic>
            </a:graphicData>
          </a:graphic>
        </wp:anchor>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1"/>
      <w:jc w:val="center"/>
      <w:rPr>
        <w:rFonts w:ascii="Lucida Sans" w:hAnsi="Lucida Sans"/>
        <w:sz w:val="18"/>
        <w:szCs w:val="18"/>
      </w:rPr>
    </w:pPr>
    <w:r>
      <w:rPr>
        <w:rFonts w:ascii="Lucida Sans" w:hAnsi="Lucida Sans"/>
        <w:sz w:val="18"/>
        <w:szCs w:val="18"/>
      </w:rPr>
      <w:t>Detaljplan för del av Kiruna 1:1 och del av Kiruna 1:173, krematorium, begravningsplats, antagande</w:t>
    </w:r>
  </w:p>
  <w:p>
    <w:pPr>
      <w:pStyle w:val="P11"/>
      <w:jc w:val="center"/>
    </w:pPr>
  </w:p>
</w:hdr>
</file>

<file path=word/numbering.xml><?xml version="1.0" encoding="utf-8"?>
<w:numbering xmlns:w="http://schemas.openxmlformats.org/wordprocessingml/2006/main">
  <w:abstractNum w:abstractNumId="0">
    <w:nsid w:val="A04625F6"/>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A0B18D3B"/>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2">
    <w:nsid w:val="D837FEA5"/>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3">
    <w:nsid w:val="02453212"/>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576" w:left="576"/>
      </w:pPr>
      <w:rPr>
        <w:rFonts w:hint="default"/>
      </w:rPr>
    </w:lvl>
    <w:lvl w:ilvl="2">
      <w:start w:val="1"/>
      <w:numFmt w:val="decimal"/>
      <w:suff w:val="tab"/>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4">
    <w:nsid w:val="10023F8F"/>
    <w:multiLevelType w:val="multilevel"/>
    <w:lvl w:ilvl="0">
      <w:start w:val="1"/>
      <w:numFmt w:val="decimal"/>
      <w:suff w:val="space"/>
      <w:lvlText w:val="%1"/>
      <w:lvlJc w:val="left"/>
      <w:pPr>
        <w:ind w:hanging="432" w:left="432"/>
      </w:pPr>
      <w:rPr>
        <w:rFonts w:hint="default"/>
      </w:rPr>
    </w:lvl>
    <w:lvl w:ilvl="1">
      <w:start w:val="1"/>
      <w:numFmt w:val="decimal"/>
      <w:suff w:val="tab"/>
      <w:lvlText w:val="%1.%2"/>
      <w:lvlJc w:val="left"/>
      <w:pPr>
        <w:ind w:hanging="576" w:left="576"/>
      </w:pPr>
      <w:rPr>
        <w:rFonts w:hint="default"/>
      </w:rPr>
    </w:lvl>
    <w:lvl w:ilvl="2">
      <w:start w:val="1"/>
      <w:numFmt w:val="decimal"/>
      <w:suff w:val="space"/>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5">
    <w:nsid w:val="109A2A31"/>
    <w:multiLevelType w:val="multilevel"/>
    <w:lvl w:ilvl="0">
      <w:start w:val="1"/>
      <w:numFmt w:val="decimal"/>
      <w:suff w:val="tab"/>
      <w:lvlText w:val="%1."/>
      <w:lvlJc w:val="left"/>
      <w:pPr>
        <w:ind w:hanging="360" w:left="360"/>
      </w:pPr>
      <w:rPr/>
    </w:lvl>
    <w:lvl w:ilvl="1">
      <w:start w:val="1"/>
      <w:numFmt w:val="decimal"/>
      <w:suff w:val="tab"/>
      <w:lvlText w:val="%1.%2."/>
      <w:lvlJc w:val="left"/>
      <w:pPr>
        <w:ind w:hanging="432" w:left="792"/>
      </w:pPr>
      <w:rPr/>
    </w:lvl>
    <w:lvl w:ilvl="2">
      <w:start w:val="1"/>
      <w:numFmt w:val="decimal"/>
      <w:suff w:val="tab"/>
      <w:lvlText w:val="%1.%2.%3."/>
      <w:lvlJc w:val="left"/>
      <w:pPr>
        <w:ind w:hanging="504" w:left="1224"/>
      </w:pPr>
      <w:rPr/>
    </w:lvl>
    <w:lvl w:ilvl="3">
      <w:start w:val="1"/>
      <w:numFmt w:val="decimal"/>
      <w:suff w:val="tab"/>
      <w:lvlText w:val="%1.%2.%3.%4."/>
      <w:lvlJc w:val="left"/>
      <w:pPr>
        <w:ind w:hanging="648" w:left="1728"/>
      </w:pPr>
      <w:rPr/>
    </w:lvl>
    <w:lvl w:ilvl="4">
      <w:start w:val="1"/>
      <w:numFmt w:val="decimal"/>
      <w:suff w:val="tab"/>
      <w:lvlText w:val="%1.%2.%3.%4.%5."/>
      <w:lvlJc w:val="left"/>
      <w:pPr>
        <w:ind w:hanging="792" w:left="2232"/>
      </w:pPr>
      <w:rPr/>
    </w:lvl>
    <w:lvl w:ilvl="5">
      <w:start w:val="1"/>
      <w:numFmt w:val="decimal"/>
      <w:suff w:val="tab"/>
      <w:lvlText w:val="%1.%2.%3.%4.%5.%6."/>
      <w:lvlJc w:val="left"/>
      <w:pPr>
        <w:ind w:hanging="936" w:left="2736"/>
      </w:pPr>
      <w:rPr/>
    </w:lvl>
    <w:lvl w:ilvl="6">
      <w:start w:val="1"/>
      <w:numFmt w:val="decimal"/>
      <w:suff w:val="tab"/>
      <w:lvlText w:val="%1.%2.%3.%4.%5.%6.%7."/>
      <w:lvlJc w:val="left"/>
      <w:pPr>
        <w:ind w:hanging="1080" w:left="3240"/>
      </w:pPr>
      <w:rPr/>
    </w:lvl>
    <w:lvl w:ilvl="7">
      <w:start w:val="1"/>
      <w:numFmt w:val="decimal"/>
      <w:suff w:val="tab"/>
      <w:lvlText w:val="%1.%2.%3.%4.%5.%6.%7.%8."/>
      <w:lvlJc w:val="left"/>
      <w:pPr>
        <w:ind w:hanging="1224" w:left="3744"/>
      </w:pPr>
      <w:rPr/>
    </w:lvl>
    <w:lvl w:ilvl="8">
      <w:start w:val="1"/>
      <w:numFmt w:val="decimal"/>
      <w:suff w:val="tab"/>
      <w:lvlText w:val="%1.%2.%3.%4.%5.%6.%7.%8.%9."/>
      <w:lvlJc w:val="left"/>
      <w:pPr>
        <w:ind w:hanging="1440" w:left="4320"/>
      </w:pPr>
      <w:rPr/>
    </w:lvl>
  </w:abstractNum>
  <w:abstractNum w:abstractNumId="6">
    <w:nsid w:val="10B348E7"/>
    <w:multiLevelType w:val="hybridMultilevel"/>
    <w:lvl w:ilvl="0" w:tplc="041D0001">
      <w:start w:val="1"/>
      <w:numFmt w:val="bullet"/>
      <w:suff w:val="tab"/>
      <w:lvlText w:val=""/>
      <w:lvlJc w:val="left"/>
      <w:pPr>
        <w:ind w:hanging="360" w:left="720"/>
      </w:pPr>
      <w:rPr>
        <w:rFonts w:ascii="Symbol" w:hAnsi="Symbol" w:hint="default"/>
      </w:rPr>
    </w:lvl>
    <w:lvl w:ilvl="1" w:tplc="F83A63D6">
      <w:start w:val="0"/>
      <w:numFmt w:val="bullet"/>
      <w:suff w:val="tab"/>
      <w:lvlText w:val="•"/>
      <w:lvlJc w:val="left"/>
      <w:pPr>
        <w:ind w:hanging="360" w:left="1440"/>
      </w:pPr>
      <w:rPr>
        <w:rFonts w:ascii="Garamond" w:hAnsi="Garamond" w:cs="Times New Roman" w:eastAsia="Times New Roman"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10BE0142"/>
    <w:multiLevelType w:val="multilevel"/>
    <w:lvl w:ilvl="0">
      <w:start w:val="1"/>
      <w:numFmt w:val="decimal"/>
      <w:suff w:val="tab"/>
      <w:lvlText w:val="%1"/>
      <w:lvlJc w:val="left"/>
      <w:pPr>
        <w:ind w:hanging="432" w:left="432"/>
      </w:pPr>
      <w:rPr>
        <w:rFonts w:hint="default"/>
      </w:rPr>
    </w:lvl>
    <w:lvl w:ilvl="1">
      <w:start w:val="1"/>
      <w:numFmt w:val="decimal"/>
      <w:suff w:val="tab"/>
      <w:lvlText w:val="%1.%2"/>
      <w:lvlJc w:val="left"/>
      <w:pPr>
        <w:ind w:hanging="576" w:left="576"/>
      </w:pPr>
      <w:rPr>
        <w:rFonts w:hint="default"/>
      </w:rPr>
    </w:lvl>
    <w:lvl w:ilvl="2">
      <w:start w:val="1"/>
      <w:numFmt w:val="decimal"/>
      <w:suff w:val="tab"/>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8">
    <w:nsid w:val="13C470B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9">
    <w:nsid w:val="13EA2106"/>
    <w:multiLevelType w:val="hybridMultilevel"/>
    <w:lvl w:ilvl="0" w:tplc="34E0E5AE">
      <w:start w:val="0"/>
      <w:numFmt w:val="bullet"/>
      <w:suff w:val="tab"/>
      <w:lvlText w:val="-"/>
      <w:lvlJc w:val="left"/>
      <w:pPr>
        <w:ind w:hanging="360" w:left="720"/>
      </w:pPr>
      <w:rPr>
        <w:rFonts w:ascii="Georgia" w:hAnsi="Georgia" w:cs="Times New Roman" w:eastAsia="MS Mincho"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17FE11E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1">
    <w:nsid w:val="1D627A30"/>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2">
    <w:nsid w:val="26386E6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26910E16"/>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4">
    <w:nsid w:val="2A9729F6"/>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5">
    <w:nsid w:val="32F34D63"/>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6">
    <w:nsid w:val="3B7B8C95"/>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7">
    <w:nsid w:val="3F887768"/>
    <w:multiLevelType w:val="multilevel"/>
    <w:lvl w:ilvl="0">
      <w:start w:val="1"/>
      <w:numFmt w:val="decimal"/>
      <w:pStyle w:val="P13"/>
      <w:suff w:val="space"/>
      <w:lvlText w:val="%1"/>
      <w:lvlJc w:val="left"/>
      <w:pPr>
        <w:ind w:hanging="432" w:left="432"/>
      </w:pPr>
      <w:rPr>
        <w:rFonts w:hint="default"/>
      </w:rPr>
    </w:lvl>
    <w:lvl w:ilvl="1">
      <w:start w:val="1"/>
      <w:numFmt w:val="decimal"/>
      <w:pStyle w:val="P15"/>
      <w:suff w:val="tab"/>
      <w:lvlText w:val="%1.%2"/>
      <w:lvlJc w:val="left"/>
      <w:pPr>
        <w:ind w:hanging="576" w:left="576"/>
      </w:pPr>
      <w:rPr>
        <w:rFonts w:hint="default"/>
      </w:rPr>
    </w:lvl>
    <w:lvl w:ilvl="2">
      <w:start w:val="1"/>
      <w:numFmt w:val="decimal"/>
      <w:pStyle w:val="P16"/>
      <w:suff w:val="tab"/>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18">
    <w:nsid w:val="3F9459FA"/>
    <w:multiLevelType w:val="multilevel"/>
    <w:lvl w:ilvl="0">
      <w:start w:val="1"/>
      <w:numFmt w:val="decimal"/>
      <w:suff w:val="space"/>
      <w:lvlText w:val="%1"/>
      <w:lvlJc w:val="left"/>
      <w:pPr>
        <w:ind w:hanging="432" w:left="432"/>
      </w:pPr>
      <w:rPr>
        <w:rFonts w:hint="default"/>
      </w:rPr>
    </w:lvl>
    <w:lvl w:ilvl="1">
      <w:start w:val="1"/>
      <w:numFmt w:val="decimal"/>
      <w:suff w:val="tab"/>
      <w:lvlText w:val="%1.%2"/>
      <w:lvlJc w:val="left"/>
      <w:pPr>
        <w:ind w:hanging="576" w:left="576"/>
      </w:pPr>
      <w:rPr>
        <w:rFonts w:hint="default"/>
      </w:rPr>
    </w:lvl>
    <w:lvl w:ilvl="2">
      <w:start w:val="1"/>
      <w:numFmt w:val="decimal"/>
      <w:suff w:val="space"/>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19">
    <w:nsid w:val="4308501F"/>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0">
    <w:nsid w:val="448D218B"/>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576" w:left="576"/>
      </w:pPr>
      <w:rPr>
        <w:rFonts w:hint="default"/>
      </w:rPr>
    </w:lvl>
    <w:lvl w:ilvl="2">
      <w:start w:val="1"/>
      <w:numFmt w:val="decimal"/>
      <w:suff w:val="space"/>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1">
    <w:nsid w:val="45B31D80"/>
    <w:multiLevelType w:val="multilevel"/>
    <w:lvl w:ilvl="0">
      <w:start w:val="1"/>
      <w:numFmt w:val="decimal"/>
      <w:suff w:val="tab"/>
      <w:lvlText w:val="%1"/>
      <w:lvlJc w:val="left"/>
      <w:pPr>
        <w:ind w:hanging="432" w:left="432"/>
      </w:pPr>
      <w:rPr>
        <w:rFonts w:hint="default"/>
      </w:rPr>
    </w:lvl>
    <w:lvl w:ilvl="1">
      <w:start w:val="1"/>
      <w:numFmt w:val="decimal"/>
      <w:suff w:val="space"/>
      <w:lvlText w:val="%1.%2"/>
      <w:lvlJc w:val="left"/>
      <w:pPr>
        <w:ind w:hanging="576" w:left="576"/>
      </w:pPr>
      <w:rPr>
        <w:rFonts w:hint="default"/>
      </w:rPr>
    </w:lvl>
    <w:lvl w:ilvl="2">
      <w:start w:val="1"/>
      <w:numFmt w:val="decimal"/>
      <w:suff w:val="space"/>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2">
    <w:nsid w:val="53180AE3"/>
    <w:multiLevelType w:val="multilevel"/>
    <w:tmpl w:val="0409001D"/>
    <w:styleLink w:val="N1"/>
    <w:lvl w:ilvl="0">
      <w:start w:val="1"/>
      <w:numFmt w:val="decimal"/>
      <w:pStyle w:val="P1"/>
      <w:suff w:val="tab"/>
      <w:lvlText w:val="%1"/>
      <w:lvlJc w:val="left"/>
      <w:pPr>
        <w:ind w:hanging="432" w:left="432"/>
      </w:pPr>
      <w:rPr>
        <w:rFonts w:hint="default"/>
      </w:rPr>
    </w:lvl>
    <w:lvl w:ilvl="1">
      <w:start w:val="1"/>
      <w:numFmt w:val="decimal"/>
      <w:suff w:val="tab"/>
      <w:lvlText w:val="%1.%2"/>
      <w:lvlJc w:val="left"/>
      <w:pPr>
        <w:ind w:hanging="576" w:left="576"/>
      </w:pPr>
      <w:rPr>
        <w:rFonts w:hint="default"/>
      </w:rPr>
    </w:lvl>
    <w:lvl w:ilvl="2">
      <w:start w:val="1"/>
      <w:numFmt w:val="decimal"/>
      <w:suff w:val="tab"/>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3">
    <w:nsid w:val="5954247F"/>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24">
    <w:nsid w:val="5C86555D"/>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5">
    <w:nsid w:val="5DEE380C"/>
    <w:multiLevelType w:val="multilevel"/>
    <w:lvl w:ilvl="0">
      <w:start w:val="1"/>
      <w:numFmt w:val="decimal"/>
      <w:suff w:val="tab"/>
      <w:lvlText w:val="%1"/>
      <w:lvlJc w:val="left"/>
      <w:pPr>
        <w:ind w:hanging="432" w:left="432"/>
      </w:pPr>
      <w:rPr>
        <w:rFonts w:hint="default"/>
      </w:rPr>
    </w:lvl>
    <w:lvl w:ilvl="1">
      <w:start w:val="1"/>
      <w:numFmt w:val="decimal"/>
      <w:pStyle w:val="P2"/>
      <w:suff w:val="tab"/>
      <w:lvlText w:val="%1.%2"/>
      <w:lvlJc w:val="left"/>
      <w:pPr>
        <w:ind w:hanging="576" w:left="576"/>
      </w:pPr>
      <w:rPr>
        <w:rFonts w:hint="default"/>
      </w:rPr>
    </w:lvl>
    <w:lvl w:ilvl="2">
      <w:start w:val="1"/>
      <w:numFmt w:val="decimal"/>
      <w:pStyle w:val="P3"/>
      <w:suff w:val="tab"/>
      <w:lvlText w:val="%1.%2.%3"/>
      <w:lvlJc w:val="left"/>
      <w:pPr>
        <w:ind w:hanging="720" w:left="720"/>
      </w:pPr>
      <w:rPr>
        <w:rFonts w:hint="default"/>
      </w:rPr>
    </w:lvl>
    <w:lvl w:ilvl="3">
      <w:start w:val="1"/>
      <w:numFmt w:val="decimal"/>
      <w:pStyle w:val="P4"/>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26">
    <w:nsid w:val="63D51D63"/>
    <w:multiLevelType w:val="multilevel"/>
    <w:lvl w:ilvl="0">
      <w:start w:val="1"/>
      <w:numFmt w:val="decimal"/>
      <w:pStyle w:val="P17"/>
      <w:suff w:val="tab"/>
      <w:lvlText w:val="%1"/>
      <w:lvlJc w:val="left"/>
      <w:pPr>
        <w:ind w:hanging="432" w:left="432"/>
      </w:pPr>
      <w:rPr>
        <w:rFonts w:hint="default"/>
      </w:rPr>
    </w:lvl>
    <w:lvl w:ilvl="1">
      <w:start w:val="1"/>
      <w:numFmt w:val="decimal"/>
      <w:suff w:val="space"/>
      <w:lvlText w:val="%1.%2"/>
      <w:lvlJc w:val="left"/>
      <w:pPr>
        <w:ind w:hanging="576" w:left="576"/>
      </w:pPr>
      <w:rPr>
        <w:rFonts w:hint="default"/>
      </w:rPr>
    </w:lvl>
    <w:lvl w:ilvl="2">
      <w:start w:val="1"/>
      <w:numFmt w:val="decimal"/>
      <w:suff w:val="space"/>
      <w:lvlText w:val="%1.%2.%3"/>
      <w:lvlJc w:val="left"/>
      <w:pPr>
        <w:ind w:hanging="720" w:left="720"/>
      </w:pPr>
      <w:rPr>
        <w:rFonts w:hint="default"/>
      </w:rPr>
    </w:lvl>
    <w:lvl w:ilvl="3">
      <w:start w:val="1"/>
      <w:numFmt w:val="decimal"/>
      <w:pStyle w:val="P17"/>
      <w:suff w:val="space"/>
      <w:lvlText w:val="%1.%2.%3.%4"/>
      <w:lvlJc w:val="left"/>
      <w:pPr>
        <w:ind w:hanging="864" w:left="1147"/>
      </w:pPr>
      <w:rPr>
        <w:rFonts w:hint="default"/>
      </w:rPr>
    </w:lvl>
    <w:lvl w:ilvl="4">
      <w:start w:val="1"/>
      <w:numFmt w:val="decimal"/>
      <w:pStyle w:val="P18"/>
      <w:suff w:val="space"/>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27">
    <w:nsid w:val="74BD4295"/>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8">
    <w:nsid w:val="77584282"/>
    <w:multiLevelType w:val="hybridMultilevel"/>
    <w:lvl w:ilvl="0" w:tplc="FFFFFFFF">
      <w:start w:val="1"/>
      <w:numFmt w:val="bullet"/>
      <w:suff w:val="tab"/>
      <w:lvlText w:val="•"/>
      <w:lvlJc w:val="left"/>
      <w:pPr/>
      <w:rPr/>
    </w:lvl>
    <w:lvl w:ilvl="1" w:tplc="041D0001">
      <w:start w:val="1"/>
      <w:numFmt w:val="bullet"/>
      <w:suff w:val="tab"/>
      <w:lvlText w:val=""/>
      <w:lvlJc w:val="left"/>
      <w:pPr>
        <w:ind w:hanging="360" w:left="360"/>
      </w:pPr>
      <w:rPr>
        <w:rFonts w:ascii="Symbol" w:hAnsi="Symbol" w:hint="default"/>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29">
    <w:nsid w:val="7A8358D3"/>
    <w:multiLevelType w:val="multilevel"/>
    <w:lvl w:ilvl="0">
      <w:start w:val="1"/>
      <w:numFmt w:val="decimal"/>
      <w:suff w:val="space"/>
      <w:lvlText w:val="%1"/>
      <w:lvlJc w:val="left"/>
      <w:pPr>
        <w:ind w:hanging="432" w:left="432"/>
      </w:pPr>
      <w:rPr>
        <w:rFonts w:hint="default"/>
      </w:rPr>
    </w:lvl>
    <w:lvl w:ilvl="1">
      <w:start w:val="1"/>
      <w:numFmt w:val="decimal"/>
      <w:suff w:val="tab"/>
      <w:lvlText w:val="%1.%2"/>
      <w:lvlJc w:val="left"/>
      <w:pPr>
        <w:ind w:hanging="576" w:left="576"/>
      </w:pPr>
      <w:rPr>
        <w:rFonts w:hint="default"/>
      </w:rPr>
    </w:lvl>
    <w:lvl w:ilvl="2">
      <w:start w:val="1"/>
      <w:numFmt w:val="decimal"/>
      <w:suff w:val="space"/>
      <w:lvlText w:val="%1.%2.%3"/>
      <w:lvlJc w:val="left"/>
      <w:pPr>
        <w:ind w:hanging="720" w:left="720"/>
      </w:pPr>
      <w:rPr>
        <w:rFonts w:hint="default"/>
      </w:rPr>
    </w:lvl>
    <w:lvl w:ilvl="3">
      <w:start w:val="1"/>
      <w:numFmt w:val="decimal"/>
      <w:suff w:val="tab"/>
      <w:lvlText w:val="%1.%2.%3.%4"/>
      <w:lvlJc w:val="left"/>
      <w:pPr>
        <w:ind w:hanging="864" w:left="864"/>
      </w:pPr>
      <w:rPr>
        <w:rFonts w:hint="default"/>
      </w:rPr>
    </w:lvl>
    <w:lvl w:ilvl="4">
      <w:start w:val="1"/>
      <w:numFmt w:val="decimal"/>
      <w:suff w:val="tab"/>
      <w:lvlText w:val="%1.%2.%3.%4.%5"/>
      <w:lvlJc w:val="left"/>
      <w:pPr>
        <w:ind w:hanging="1008" w:left="1008"/>
      </w:pPr>
      <w:rPr>
        <w:rFonts w:hint="default"/>
      </w:rPr>
    </w:lvl>
    <w:lvl w:ilvl="5">
      <w:start w:val="1"/>
      <w:numFmt w:val="decimal"/>
      <w:suff w:val="tab"/>
      <w:lvlText w:val="%1.%2.%3.%4.%5.%6"/>
      <w:lvlJc w:val="left"/>
      <w:pPr>
        <w:ind w:hanging="1152" w:left="1152"/>
      </w:pPr>
      <w:rPr>
        <w:rFonts w:hint="default"/>
      </w:rPr>
    </w:lvl>
    <w:lvl w:ilvl="6">
      <w:start w:val="1"/>
      <w:numFmt w:val="decimal"/>
      <w:suff w:val="tab"/>
      <w:lvlText w:val="%1.%2.%3.%4.%5.%6.%7"/>
      <w:lvlJc w:val="left"/>
      <w:pPr>
        <w:ind w:hanging="1296" w:left="1296"/>
      </w:pPr>
      <w:rPr>
        <w:rFonts w:hint="default"/>
      </w:rPr>
    </w:lvl>
    <w:lvl w:ilvl="7">
      <w:start w:val="1"/>
      <w:numFmt w:val="decimal"/>
      <w:suff w:val="tab"/>
      <w:lvlText w:val="%1.%2.%3.%4.%5.%6.%7.%8"/>
      <w:lvlJc w:val="left"/>
      <w:pPr>
        <w:ind w:hanging="1440" w:left="1440"/>
      </w:pPr>
      <w:rPr>
        <w:rFonts w:hint="default"/>
      </w:rPr>
    </w:lvl>
    <w:lvl w:ilvl="8">
      <w:start w:val="1"/>
      <w:numFmt w:val="decimal"/>
      <w:suff w:val="tab"/>
      <w:lvlText w:val="%1.%2.%3.%4.%5.%6.%7.%8.%9"/>
      <w:lvlJc w:val="left"/>
      <w:pPr>
        <w:ind w:hanging="1584" w:left="1584"/>
      </w:pPr>
      <w:rPr>
        <w:rFonts w:hint="default"/>
      </w:rPr>
    </w:lvl>
  </w:abstractNum>
  <w:abstractNum w:abstractNumId="30">
    <w:nsid w:val="7B87498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1">
    <w:nsid w:val="7CAA4E4D"/>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num w:numId="1">
    <w:abstractNumId w:val="23"/>
  </w:num>
  <w:num w:numId="2">
    <w:abstractNumId w:val="22"/>
  </w:num>
  <w:num w:numId="3">
    <w:abstractNumId w:val="17"/>
  </w:num>
  <w:num w:numId="4">
    <w:abstractNumId w:val="25"/>
  </w:num>
  <w:num w:numId="5">
    <w:abstractNumId w:val="3"/>
  </w:num>
  <w:num w:numId="6">
    <w:abstractNumId w:val="5"/>
  </w:num>
  <w:num w:numId="7">
    <w:abstractNumId w:val="7"/>
  </w:num>
  <w:num w:numId="8">
    <w:abstractNumId w:val="18"/>
  </w:num>
  <w:num w:numId="9">
    <w:abstractNumId w:val="21"/>
  </w:num>
  <w:num w:numId="10">
    <w:abstractNumId w:val="29"/>
  </w:num>
  <w:num w:numId="11">
    <w:abstractNumId w:val="4"/>
  </w:num>
  <w:num w:numId="12">
    <w:abstractNumId w:val="20"/>
  </w:num>
  <w:num w:numId="13">
    <w:abstractNumId w:val="26"/>
  </w:num>
  <w:num w:numId="14">
    <w:abstractNumId w:val="31"/>
  </w:num>
  <w:num w:numId="15">
    <w:abstractNumId w:val="18"/>
  </w:num>
  <w:num w:numId="16">
    <w:abstractNumId w:val="18"/>
  </w:num>
  <w:num w:numId="17">
    <w:abstractNumId w:val="17"/>
    <w:lvlOverride w:ilvl="0">
      <w:lvl w:ilvl="0">
        <w:start w:val="1"/>
        <w:numFmt w:val="decimal"/>
        <w:suff w:val="space"/>
        <w:lvlText w:val="%1"/>
        <w:lvlJc w:val="left"/>
        <w:pPr>
          <w:ind w:hanging="432" w:left="432"/>
        </w:pPr>
        <w:rPr>
          <w:rFonts w:hint="default"/>
        </w:rPr>
      </w:lvl>
    </w:lvlOverride>
    <w:lvlOverride w:ilvl="1">
      <w:lvl w:ilvl="1">
        <w:start w:val="1"/>
        <w:numFmt w:val="decimal"/>
        <w:suff w:val="tab"/>
        <w:lvlText w:val="%1.%2"/>
        <w:lvlJc w:val="left"/>
        <w:pPr>
          <w:ind w:hanging="576" w:left="576"/>
        </w:pPr>
        <w:rPr>
          <w:rFonts w:hint="default"/>
        </w:rPr>
      </w:lvl>
    </w:lvlOverride>
    <w:lvlOverride w:ilvl="2">
      <w:lvl w:ilvl="2">
        <w:start w:val="1"/>
        <w:numFmt w:val="decimal"/>
        <w:suff w:val="tab"/>
        <w:lvlText w:val="%1.%2.%3"/>
        <w:lvlJc w:val="left"/>
        <w:pPr>
          <w:ind w:firstLine="0" w:left="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8">
    <w:abstractNumId w:val="17"/>
    <w:lvlOverride w:ilvl="0">
      <w:lvl w:ilvl="0">
        <w:start w:val="1"/>
        <w:numFmt w:val="decimal"/>
        <w:suff w:val="space"/>
        <w:lvlText w:val="%1"/>
        <w:lvlJc w:val="left"/>
        <w:pPr>
          <w:ind w:hanging="432" w:left="432"/>
        </w:pPr>
        <w:rPr>
          <w:rFonts w:hint="default"/>
        </w:rPr>
      </w:lvl>
    </w:lvlOverride>
    <w:lvlOverride w:ilvl="1">
      <w:lvl w:ilvl="1">
        <w:start w:val="1"/>
        <w:numFmt w:val="decimal"/>
        <w:suff w:val="tab"/>
        <w:lvlText w:val="%1.%2"/>
        <w:lvlJc w:val="left"/>
        <w:pPr>
          <w:ind w:hanging="576" w:left="576"/>
        </w:pPr>
        <w:rPr>
          <w:rFonts w:hint="default"/>
        </w:rPr>
      </w:lvl>
    </w:lvlOverride>
    <w:lvlOverride w:ilvl="2">
      <w:lvl w:ilvl="2">
        <w:start w:val="1"/>
        <w:numFmt w:val="decimal"/>
        <w:suff w:val="tab"/>
        <w:lvlText w:val="%1.%2.%3"/>
        <w:lvlJc w:val="left"/>
        <w:pPr>
          <w:ind w:firstLine="0" w:left="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9">
    <w:abstractNumId w:val="26"/>
  </w:num>
  <w:num w:numId="20">
    <w:abstractNumId w:val="26"/>
  </w:num>
  <w:num w:numId="21">
    <w:abstractNumId w:val="27"/>
  </w:num>
  <w:num w:numId="22">
    <w:abstractNumId w:val="9"/>
  </w:num>
  <w:num w:numId="23">
    <w:abstractNumId w:val="17"/>
    <w:lvlOverride w:ilvl="0">
      <w:startOverride w:val="1"/>
      <w:lvl w:ilvl="0">
        <w:start w:val="1"/>
        <w:numFmt w:val="decimal"/>
        <w:suff w:val="space"/>
        <w:lvlText w:val="%1"/>
        <w:lvlJc w:val="left"/>
        <w:pPr>
          <w:ind w:hanging="432" w:left="432"/>
        </w:pPr>
        <w:rPr>
          <w:rFonts w:hint="default"/>
        </w:rPr>
      </w:lvl>
    </w:lvlOverride>
    <w:lvlOverride w:ilvl="1">
      <w:startOverride w:val="1"/>
      <w:lvl w:ilvl="1">
        <w:start w:val="1"/>
        <w:numFmt w:val="decimal"/>
        <w:suff w:val="tab"/>
        <w:lvlText w:val="%1.%2"/>
        <w:lvlJc w:val="left"/>
        <w:pPr>
          <w:ind w:hanging="576" w:left="576"/>
        </w:pPr>
        <w:rPr>
          <w:rFonts w:hint="default"/>
        </w:rPr>
      </w:lvl>
    </w:lvlOverride>
    <w:lvlOverride w:ilvl="2">
      <w:startOverride w:val="1"/>
      <w:lvl w:ilvl="2">
        <w:start w:val="1"/>
        <w:numFmt w:val="decimal"/>
        <w:suff w:val="tab"/>
        <w:lvlText w:val="%1.%2.%3"/>
        <w:lvlJc w:val="left"/>
        <w:pPr>
          <w:ind w:firstLine="0" w:left="0"/>
        </w:pPr>
        <w:rPr>
          <w:rFonts w:hint="default"/>
        </w:rPr>
      </w:lvl>
    </w:lvlOverride>
    <w:lvlOverride w:ilvl="3">
      <w:startOverride w:val="1"/>
      <w:lvl w:ilvl="3">
        <w:start w:val="1"/>
        <w:numFmt w:val="decimal"/>
        <w:suff w:val="tab"/>
        <w:lvlText w:val="%1.%2.%3.%4"/>
        <w:lvlJc w:val="left"/>
        <w:pPr>
          <w:ind w:hanging="864" w:left="864"/>
        </w:pPr>
        <w:rPr>
          <w:rFonts w:hint="default"/>
        </w:rPr>
      </w:lvl>
    </w:lvlOverride>
    <w:lvlOverride w:ilvl="4">
      <w:startOverride w:val="1"/>
      <w:lvl w:ilvl="4">
        <w:start w:val="1"/>
        <w:numFmt w:val="decimal"/>
        <w:suff w:val="tab"/>
        <w:lvlText w:val="%1.%2.%3.%4.%5"/>
        <w:lvlJc w:val="left"/>
        <w:pPr>
          <w:ind w:hanging="1008" w:left="1008"/>
        </w:pPr>
        <w:rPr>
          <w:rFonts w:hint="default"/>
        </w:rPr>
      </w:lvl>
    </w:lvlOverride>
    <w:lvlOverride w:ilvl="5">
      <w:startOverride w:val="1"/>
      <w:lvl w:ilvl="5">
        <w:start w:val="1"/>
        <w:numFmt w:val="decimal"/>
        <w:suff w:val="tab"/>
        <w:lvlText w:val="%1.%2.%3.%4.%5.%6"/>
        <w:lvlJc w:val="left"/>
        <w:pPr>
          <w:ind w:hanging="1152" w:left="1152"/>
        </w:pPr>
        <w:rPr>
          <w:rFonts w:hint="default"/>
        </w:rPr>
      </w:lvl>
    </w:lvlOverride>
    <w:lvlOverride w:ilvl="6">
      <w:startOverride w:val="1"/>
      <w:lvl w:ilvl="6">
        <w:start w:val="1"/>
        <w:numFmt w:val="decimal"/>
        <w:suff w:val="tab"/>
        <w:lvlText w:val="%1.%2.%3.%4.%5.%6.%7"/>
        <w:lvlJc w:val="left"/>
        <w:pPr>
          <w:ind w:hanging="1296" w:left="1296"/>
        </w:pPr>
        <w:rPr>
          <w:rFonts w:hint="default"/>
        </w:rPr>
      </w:lvl>
    </w:lvlOverride>
    <w:lvlOverride w:ilvl="7">
      <w:startOverride w:val="1"/>
      <w:lvl w:ilvl="7">
        <w:start w:val="1"/>
        <w:numFmt w:val="decimal"/>
        <w:suff w:val="tab"/>
        <w:lvlText w:val="%1.%2.%3.%4.%5.%6.%7.%8"/>
        <w:lvlJc w:val="left"/>
        <w:pPr>
          <w:ind w:hanging="1440" w:left="1440"/>
        </w:pPr>
        <w:rPr>
          <w:rFonts w:hint="default"/>
        </w:rPr>
      </w:lvl>
    </w:lvlOverride>
    <w:lvlOverride w:ilvl="8">
      <w:startOverride w:val="1"/>
      <w:lvl w:ilvl="8">
        <w:start w:val="1"/>
        <w:numFmt w:val="decimal"/>
        <w:suff w:val="tab"/>
        <w:lvlText w:val="%1.%2.%3.%4.%5.%6.%7.%8.%9"/>
        <w:lvlJc w:val="left"/>
        <w:pPr>
          <w:ind w:hanging="1584" w:left="1584"/>
        </w:pPr>
        <w:rPr>
          <w:rFonts w:hint="default"/>
        </w:rPr>
      </w:lvl>
    </w:lvlOverride>
  </w:num>
  <w:num w:numId="24">
    <w:abstractNumId w:val="17"/>
    <w:lvlOverride w:ilvl="0">
      <w:lvl w:ilvl="0">
        <w:start w:val="1"/>
        <w:numFmt w:val="decimal"/>
        <w:suff w:val="space"/>
        <w:lvlText w:val="%1"/>
        <w:lvlJc w:val="left"/>
        <w:pPr>
          <w:ind w:hanging="432" w:left="432"/>
        </w:pPr>
        <w:rPr>
          <w:rFonts w:hint="default"/>
        </w:rPr>
      </w:lvl>
    </w:lvlOverride>
    <w:lvlOverride w:ilvl="1">
      <w:lvl w:ilvl="1">
        <w:start w:val="1"/>
        <w:numFmt w:val="decimal"/>
        <w:suff w:val="tab"/>
        <w:lvlText w:val="%1.%2"/>
        <w:lvlJc w:val="left"/>
        <w:pPr>
          <w:ind w:hanging="576" w:left="576"/>
        </w:pPr>
        <w:rPr>
          <w:rFonts w:hint="default"/>
        </w:rPr>
      </w:lvl>
    </w:lvlOverride>
    <w:lvlOverride w:ilvl="2">
      <w:lvl w:ilvl="2">
        <w:start w:val="1"/>
        <w:numFmt w:val="decimal"/>
        <w:suff w:val="tab"/>
        <w:lvlText w:val="%1.%2.%3"/>
        <w:lvlJc w:val="left"/>
        <w:pPr>
          <w:ind w:firstLine="0" w:left="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25">
    <w:abstractNumId w:val="16"/>
  </w:num>
  <w:num w:numId="26">
    <w:abstractNumId w:val="2"/>
  </w:num>
  <w:num w:numId="27">
    <w:abstractNumId w:val="17"/>
    <w:lvlOverride w:ilvl="0">
      <w:lvl w:ilvl="0">
        <w:start w:val="1"/>
        <w:numFmt w:val="decimal"/>
        <w:suff w:val="space"/>
        <w:lvlText w:val="%1"/>
        <w:lvlJc w:val="left"/>
        <w:pPr>
          <w:ind w:hanging="432" w:left="432"/>
        </w:pPr>
        <w:rPr>
          <w:rFonts w:hint="default"/>
        </w:rPr>
      </w:lvl>
    </w:lvlOverride>
    <w:lvlOverride w:ilvl="1">
      <w:lvl w:ilvl="1">
        <w:start w:val="1"/>
        <w:numFmt w:val="decimal"/>
        <w:suff w:val="tab"/>
        <w:lvlText w:val="%1.%2"/>
        <w:lvlJc w:val="left"/>
        <w:pPr>
          <w:ind w:hanging="576" w:left="576"/>
        </w:pPr>
        <w:rPr>
          <w:rFonts w:hint="default"/>
        </w:rPr>
      </w:lvl>
    </w:lvlOverride>
    <w:lvlOverride w:ilvl="2">
      <w:lvl w:ilvl="2">
        <w:start w:val="1"/>
        <w:numFmt w:val="decimal"/>
        <w:suff w:val="tab"/>
        <w:lvlText w:val="%1.%2.%3"/>
        <w:lvlJc w:val="left"/>
        <w:pPr>
          <w:ind w:firstLine="0" w:left="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28">
    <w:abstractNumId w:val="24"/>
  </w:num>
  <w:num w:numId="29">
    <w:abstractNumId w:val="26"/>
  </w:num>
  <w:num w:numId="30">
    <w:abstractNumId w:val="6"/>
  </w:num>
  <w:num w:numId="31">
    <w:abstractNumId w:val="14"/>
  </w:num>
  <w:num w:numId="32">
    <w:abstractNumId w:val="8"/>
  </w:num>
  <w:num w:numId="33">
    <w:abstractNumId w:val="11"/>
  </w:num>
  <w:num w:numId="34">
    <w:abstractNumId w:val="15"/>
  </w:num>
  <w:num w:numId="35">
    <w:abstractNumId w:val="12"/>
  </w:num>
  <w:num w:numId="36">
    <w:abstractNumId w:val="0"/>
  </w:num>
  <w:num w:numId="37">
    <w:abstractNumId w:val="13"/>
  </w:num>
  <w:num w:numId="38">
    <w:abstractNumId w:val="30"/>
  </w:num>
  <w:num w:numId="39">
    <w:abstractNumId w:val="28"/>
  </w:num>
  <w:num w:numId="40">
    <w:abstractNumId w:val="1"/>
  </w:num>
  <w:num w:numId="41">
    <w:abstractNumId w:val="19"/>
  </w:num>
  <w:num w:numId="42">
    <w:abstractNumId w:val="10"/>
  </w:num>
  <w:num w:numId="43">
    <w:abstractNumId w:val="17"/>
    <w:lvlOverride w:ilvl="0">
      <w:lvl w:ilvl="0">
        <w:start w:val="1"/>
        <w:numFmt w:val="decimal"/>
        <w:suff w:val="space"/>
        <w:lvlText w:val="%1"/>
        <w:lvlJc w:val="left"/>
        <w:pPr>
          <w:ind w:hanging="432" w:left="432"/>
        </w:pPr>
        <w:rPr>
          <w:rFonts w:hint="default"/>
        </w:rPr>
      </w:lvl>
    </w:lvlOverride>
    <w:lvlOverride w:ilvl="1">
      <w:lvl w:ilvl="1">
        <w:start w:val="1"/>
        <w:numFmt w:val="decimal"/>
        <w:suff w:val="tab"/>
        <w:lvlText w:val="%1.%2"/>
        <w:lvlJc w:val="left"/>
        <w:pPr>
          <w:ind w:hanging="576" w:left="576"/>
        </w:pPr>
        <w:rPr>
          <w:rFonts w:hint="default"/>
        </w:rPr>
      </w:lvl>
    </w:lvlOverride>
    <w:lvlOverride w:ilvl="2">
      <w:lvl w:ilvl="2">
        <w:start w:val="1"/>
        <w:numFmt w:val="decimal"/>
        <w:suff w:val="tab"/>
        <w:lvlText w:val="%1.%2.%3"/>
        <w:lvlJc w:val="left"/>
        <w:pPr>
          <w:ind w:firstLine="0" w:left="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bering>
</file>

<file path=word/settings.xml><?xml version="1.0" encoding="utf-8"?>
<w:settings xmlns:w="http://schemas.openxmlformats.org/wordprocessingml/2006/main">
  <w:displayBackgroundShape w:val="0"/>
  <w:defaultTabStop w:val="720"/>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Cambria" w:hAnsi="Cambria" w:cs="Times New Roman" w:eastAsia="MS Mincho"/>
        <w:sz w:val="20"/>
        <w:szCs w:val="22"/>
        <w:lang w:val="sv-SE" w:bidi="ar-SA" w:eastAsia="sv-SE"/>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rPr>
      <w:sz w:val="24"/>
      <w:szCs w:val="24"/>
      <w:lang w:eastAsia="en-US"/>
    </w:rPr>
  </w:style>
  <w:style w:type="paragraph" w:styleId="P1">
    <w:name w:val="Heading 1"/>
    <w:basedOn w:val="P0"/>
    <w:next w:val="P0"/>
    <w:link w:val="C7"/>
    <w:qFormat/>
    <w:pPr>
      <w:keepNext w:val="1"/>
      <w:keepLines w:val="1"/>
      <w:numPr>
        <w:numId w:val="2"/>
      </w:numPr>
      <w:spacing w:before="480" w:beforeAutospacing="0" w:afterAutospacing="0"/>
      <w:outlineLvl w:val="0"/>
    </w:pPr>
    <w:rPr>
      <w:rFonts w:ascii="Calibri" w:hAnsi="Calibri" w:eastAsia="MS Gothic"/>
      <w:b w:val="1"/>
      <w:bCs w:val="1"/>
      <w:color w:val="345A8A"/>
      <w:sz w:val="32"/>
      <w:szCs w:val="32"/>
    </w:rPr>
  </w:style>
  <w:style w:type="paragraph" w:styleId="P2">
    <w:name w:val="Heading 2"/>
    <w:basedOn w:val="P0"/>
    <w:next w:val="P0"/>
    <w:link w:val="C8"/>
    <w:semiHidden/>
    <w:qFormat/>
    <w:pPr>
      <w:keepNext w:val="1"/>
      <w:keepLines w:val="1"/>
      <w:numPr>
        <w:ilvl w:val="1"/>
        <w:numId w:val="4"/>
      </w:numPr>
      <w:spacing w:before="200" w:beforeAutospacing="0" w:afterAutospacing="0"/>
      <w:outlineLvl w:val="1"/>
    </w:pPr>
    <w:rPr>
      <w:rFonts w:ascii="Calibri" w:hAnsi="Calibri" w:eastAsia="MS Gothic"/>
      <w:b w:val="1"/>
      <w:bCs w:val="1"/>
      <w:color w:val="4F81BD"/>
      <w:sz w:val="26"/>
      <w:szCs w:val="26"/>
    </w:rPr>
  </w:style>
  <w:style w:type="paragraph" w:styleId="P3">
    <w:name w:val="Heading 3"/>
    <w:basedOn w:val="P0"/>
    <w:next w:val="P0"/>
    <w:link w:val="C9"/>
    <w:semiHidden/>
    <w:qFormat/>
    <w:pPr>
      <w:keepNext w:val="1"/>
      <w:keepLines w:val="1"/>
      <w:numPr>
        <w:ilvl w:val="2"/>
        <w:numId w:val="4"/>
      </w:numPr>
      <w:spacing w:before="200" w:beforeAutospacing="0" w:afterAutospacing="0"/>
      <w:outlineLvl w:val="2"/>
    </w:pPr>
    <w:rPr>
      <w:rFonts w:ascii="Calibri" w:hAnsi="Calibri" w:eastAsia="MS Gothic"/>
      <w:b w:val="1"/>
      <w:bCs w:val="1"/>
      <w:color w:val="4F81BD"/>
    </w:rPr>
  </w:style>
  <w:style w:type="paragraph" w:styleId="P4">
    <w:name w:val="Heading 4"/>
    <w:basedOn w:val="P0"/>
    <w:next w:val="P0"/>
    <w:link w:val="C10"/>
    <w:semiHidden/>
    <w:qFormat/>
    <w:pPr>
      <w:keepNext w:val="1"/>
      <w:keepLines w:val="1"/>
      <w:numPr>
        <w:ilvl w:val="3"/>
        <w:numId w:val="4"/>
      </w:numPr>
      <w:spacing w:before="200" w:beforeAutospacing="0" w:afterAutospacing="0"/>
      <w:outlineLvl w:val="3"/>
    </w:pPr>
    <w:rPr>
      <w:rFonts w:ascii="Calibri" w:hAnsi="Calibri" w:eastAsia="MS Gothic"/>
      <w:b w:val="1"/>
      <w:i w:val="1"/>
      <w:bCs w:val="1"/>
      <w:iCs w:val="1"/>
      <w:color w:val="4F81BD"/>
    </w:rPr>
  </w:style>
  <w:style w:type="paragraph" w:styleId="P5">
    <w:name w:val="Heading 5"/>
    <w:basedOn w:val="P0"/>
    <w:next w:val="P0"/>
    <w:link w:val="C11"/>
    <w:semiHidden/>
    <w:qFormat/>
    <w:pPr>
      <w:keepNext w:val="1"/>
      <w:keepLines w:val="1"/>
      <w:numPr>
        <w:ilvl w:val="4"/>
        <w:numId w:val="4"/>
      </w:numPr>
      <w:spacing w:before="200" w:beforeAutospacing="0" w:afterAutospacing="0"/>
      <w:outlineLvl w:val="4"/>
    </w:pPr>
    <w:rPr>
      <w:rFonts w:ascii="Calibri" w:hAnsi="Calibri" w:eastAsia="MS Gothic"/>
      <w:color w:val="243F60"/>
    </w:rPr>
  </w:style>
  <w:style w:type="paragraph" w:styleId="P6">
    <w:name w:val="Heading 6"/>
    <w:basedOn w:val="P0"/>
    <w:next w:val="P0"/>
    <w:link w:val="C12"/>
    <w:semiHidden/>
    <w:qFormat/>
    <w:pPr>
      <w:keepNext w:val="1"/>
      <w:keepLines w:val="1"/>
      <w:numPr>
        <w:ilvl w:val="5"/>
        <w:numId w:val="4"/>
      </w:numPr>
      <w:spacing w:before="200" w:beforeAutospacing="0" w:afterAutospacing="0"/>
      <w:outlineLvl w:val="5"/>
    </w:pPr>
    <w:rPr>
      <w:rFonts w:ascii="Calibri" w:hAnsi="Calibri" w:eastAsia="MS Gothic"/>
      <w:i w:val="1"/>
      <w:iCs w:val="1"/>
      <w:color w:val="243F60"/>
    </w:rPr>
  </w:style>
  <w:style w:type="paragraph" w:styleId="P7">
    <w:name w:val="Heading 7"/>
    <w:basedOn w:val="P0"/>
    <w:next w:val="P0"/>
    <w:link w:val="C13"/>
    <w:qFormat/>
    <w:pPr>
      <w:keepNext w:val="1"/>
      <w:keepLines w:val="1"/>
      <w:numPr>
        <w:ilvl w:val="6"/>
        <w:numId w:val="4"/>
      </w:numPr>
      <w:spacing w:before="200" w:beforeAutospacing="0" w:afterAutospacing="0"/>
      <w:outlineLvl w:val="6"/>
    </w:pPr>
    <w:rPr>
      <w:rFonts w:ascii="Calibri" w:hAnsi="Calibri" w:eastAsia="MS Gothic"/>
      <w:i w:val="1"/>
      <w:iCs w:val="1"/>
      <w:color w:val="404040"/>
    </w:rPr>
  </w:style>
  <w:style w:type="paragraph" w:styleId="P8">
    <w:name w:val="Heading 8"/>
    <w:basedOn w:val="P0"/>
    <w:next w:val="P0"/>
    <w:link w:val="C14"/>
    <w:qFormat/>
    <w:pPr>
      <w:keepNext w:val="1"/>
      <w:keepLines w:val="1"/>
      <w:numPr>
        <w:ilvl w:val="7"/>
        <w:numId w:val="4"/>
      </w:numPr>
      <w:spacing w:before="200" w:beforeAutospacing="0" w:afterAutospacing="0"/>
      <w:outlineLvl w:val="7"/>
    </w:pPr>
    <w:rPr>
      <w:rFonts w:ascii="Calibri" w:hAnsi="Calibri" w:eastAsia="MS Gothic"/>
      <w:color w:val="404040"/>
      <w:sz w:val="20"/>
      <w:szCs w:val="20"/>
    </w:rPr>
  </w:style>
  <w:style w:type="paragraph" w:styleId="P9">
    <w:name w:val="Heading 9"/>
    <w:basedOn w:val="P0"/>
    <w:next w:val="P0"/>
    <w:link w:val="C15"/>
    <w:qFormat/>
    <w:pPr>
      <w:keepNext w:val="1"/>
      <w:keepLines w:val="1"/>
      <w:numPr>
        <w:ilvl w:val="8"/>
        <w:numId w:val="4"/>
      </w:numPr>
      <w:spacing w:before="200" w:beforeAutospacing="0" w:afterAutospacing="0"/>
      <w:outlineLvl w:val="8"/>
    </w:pPr>
    <w:rPr>
      <w:rFonts w:ascii="Calibri" w:hAnsi="Calibri" w:eastAsia="MS Gothic"/>
      <w:i w:val="1"/>
      <w:iCs w:val="1"/>
      <w:color w:val="404040"/>
      <w:sz w:val="20"/>
      <w:szCs w:val="20"/>
    </w:rPr>
  </w:style>
  <w:style w:type="paragraph" w:styleId="P10">
    <w:name w:val="Balloon Text"/>
    <w:basedOn w:val="P0"/>
    <w:link w:val="C4"/>
    <w:semiHidden/>
    <w:pPr/>
    <w:rPr>
      <w:rFonts w:ascii="Lucida Grande" w:hAnsi="Lucida Grande" w:cs="Lucida Grande"/>
      <w:sz w:val="18"/>
      <w:szCs w:val="18"/>
    </w:rPr>
  </w:style>
  <w:style w:type="paragraph" w:styleId="P11">
    <w:name w:val="Header"/>
    <w:basedOn w:val="P0"/>
    <w:link w:val="C5"/>
    <w:pPr>
      <w:tabs>
        <w:tab w:val="center" w:pos="4153" w:leader="none"/>
        <w:tab w:val="right" w:pos="8306" w:leader="none"/>
      </w:tabs>
    </w:pPr>
    <w:rPr/>
  </w:style>
  <w:style w:type="paragraph" w:styleId="P12">
    <w:name w:val="Footer"/>
    <w:basedOn w:val="P0"/>
    <w:link w:val="C6"/>
    <w:pPr>
      <w:tabs>
        <w:tab w:val="center" w:pos="4153" w:leader="none"/>
        <w:tab w:val="right" w:pos="8306" w:leader="none"/>
      </w:tabs>
    </w:pPr>
    <w:rPr/>
  </w:style>
  <w:style w:type="paragraph" w:styleId="P13">
    <w:name w:val="Huvudrubrik"/>
    <w:basedOn w:val="P0"/>
    <w:next w:val="P14"/>
    <w:qFormat/>
    <w:pPr>
      <w:numPr>
        <w:numId w:val="3"/>
      </w:numPr>
      <w:spacing w:after="80" w:beforeAutospacing="0" w:afterAutospacing="0"/>
    </w:pPr>
    <w:rPr>
      <w:rFonts w:ascii="Lucida Sans" w:hAnsi="Lucida Sans"/>
      <w:b w:val="1"/>
      <w:sz w:val="36"/>
      <w:szCs w:val="36"/>
    </w:rPr>
  </w:style>
  <w:style w:type="paragraph" w:styleId="P14">
    <w:name w:val="Brödtext1"/>
    <w:basedOn w:val="P0"/>
    <w:qFormat/>
    <w:pPr>
      <w:spacing w:lineRule="exact" w:line="300" w:after="160" w:beforeAutospacing="0" w:afterAutospacing="0"/>
    </w:pPr>
    <w:rPr>
      <w:rFonts w:ascii="Georgia" w:hAnsi="Georgia"/>
      <w:sz w:val="22"/>
      <w:szCs w:val="20"/>
    </w:rPr>
  </w:style>
  <w:style w:type="paragraph" w:styleId="P15">
    <w:name w:val="Underrubrik 1"/>
    <w:basedOn w:val="P0"/>
    <w:next w:val="P14"/>
    <w:qFormat/>
    <w:pPr>
      <w:numPr>
        <w:ilvl w:val="1"/>
        <w:numId w:val="3"/>
      </w:numPr>
      <w:spacing w:after="60" w:beforeAutospacing="0" w:afterAutospacing="0"/>
    </w:pPr>
    <w:rPr>
      <w:rFonts w:ascii="Lucida Sans" w:hAnsi="Lucida Sans"/>
      <w:b w:val="1"/>
    </w:rPr>
  </w:style>
  <w:style w:type="paragraph" w:styleId="P16">
    <w:name w:val="Underrubrik 2"/>
    <w:basedOn w:val="P0"/>
    <w:next w:val="P14"/>
    <w:qFormat/>
    <w:pPr>
      <w:numPr>
        <w:ilvl w:val="2"/>
        <w:numId w:val="18"/>
      </w:numPr>
      <w:tabs>
        <w:tab w:val="left" w:pos="709" w:leader="none"/>
        <w:tab w:val="left" w:pos="851" w:leader="none"/>
      </w:tabs>
      <w:spacing w:after="60" w:beforeAutospacing="0" w:afterAutospacing="0"/>
    </w:pPr>
    <w:rPr>
      <w:rFonts w:ascii="Lucida Sans" w:hAnsi="Lucida Sans"/>
      <w:b w:val="1"/>
      <w:sz w:val="22"/>
      <w:szCs w:val="22"/>
    </w:rPr>
  </w:style>
  <w:style w:type="paragraph" w:styleId="P17">
    <w:name w:val="Underrubrik 3"/>
    <w:basedOn w:val="P0"/>
    <w:next w:val="P14"/>
    <w:qFormat/>
    <w:pPr>
      <w:numPr>
        <w:ilvl w:val="3"/>
        <w:numId w:val="13"/>
      </w:numPr>
      <w:spacing w:after="60" w:beforeAutospacing="0" w:afterAutospacing="0"/>
    </w:pPr>
    <w:rPr>
      <w:rFonts w:ascii="Lucida Sans" w:hAnsi="Lucida Sans"/>
    </w:rPr>
  </w:style>
  <w:style w:type="paragraph" w:styleId="P18">
    <w:name w:val="Underrubrik 4"/>
    <w:basedOn w:val="P0"/>
    <w:next w:val="P14"/>
    <w:qFormat/>
    <w:pPr>
      <w:numPr>
        <w:ilvl w:val="4"/>
        <w:numId w:val="13"/>
      </w:numPr>
      <w:spacing w:after="60" w:beforeAutospacing="0" w:afterAutospacing="0"/>
    </w:pPr>
    <w:rPr>
      <w:rFonts w:ascii="Lucida Sans" w:hAnsi="Lucida Sans"/>
      <w:i w:val="1"/>
    </w:rPr>
  </w:style>
  <w:style w:type="paragraph" w:styleId="P19">
    <w:name w:val="TOC 1"/>
    <w:basedOn w:val="P0"/>
    <w:next w:val="P0"/>
    <w:pPr>
      <w:tabs>
        <w:tab w:val="right" w:pos="9622" w:leader="dot"/>
      </w:tabs>
      <w:spacing w:before="120" w:beforeAutospacing="0" w:afterAutospacing="0"/>
    </w:pPr>
    <w:rPr>
      <w:rFonts w:ascii="Lucida Sans" w:hAnsi="Lucida Sans"/>
      <w:b w:val="1"/>
      <w:sz w:val="20"/>
    </w:rPr>
  </w:style>
  <w:style w:type="paragraph" w:styleId="P20">
    <w:name w:val="TOC 2"/>
    <w:basedOn w:val="P0"/>
    <w:next w:val="P0"/>
    <w:pPr>
      <w:ind w:left="240"/>
    </w:pPr>
    <w:rPr>
      <w:rFonts w:ascii="Lucida Sans" w:hAnsi="Lucida Sans"/>
      <w:sz w:val="20"/>
      <w:szCs w:val="22"/>
    </w:rPr>
  </w:style>
  <w:style w:type="paragraph" w:styleId="P21">
    <w:name w:val="TOC 3"/>
    <w:basedOn w:val="P0"/>
    <w:next w:val="P0"/>
    <w:pPr>
      <w:ind w:left="480"/>
    </w:pPr>
    <w:rPr>
      <w:sz w:val="22"/>
      <w:szCs w:val="22"/>
    </w:rPr>
  </w:style>
  <w:style w:type="paragraph" w:styleId="P22">
    <w:name w:val="TOC 4"/>
    <w:basedOn w:val="P0"/>
    <w:next w:val="P0"/>
    <w:pPr>
      <w:ind w:left="720"/>
    </w:pPr>
    <w:rPr>
      <w:sz w:val="20"/>
      <w:szCs w:val="20"/>
    </w:rPr>
  </w:style>
  <w:style w:type="paragraph" w:styleId="P23">
    <w:name w:val="TOC 5"/>
    <w:basedOn w:val="P0"/>
    <w:next w:val="P0"/>
    <w:pPr>
      <w:ind w:left="960"/>
    </w:pPr>
    <w:rPr>
      <w:sz w:val="20"/>
      <w:szCs w:val="20"/>
    </w:rPr>
  </w:style>
  <w:style w:type="paragraph" w:styleId="P24">
    <w:name w:val="TOC 6"/>
    <w:basedOn w:val="P0"/>
    <w:next w:val="P0"/>
    <w:pPr>
      <w:ind w:left="1200"/>
    </w:pPr>
    <w:rPr>
      <w:sz w:val="20"/>
      <w:szCs w:val="20"/>
    </w:rPr>
  </w:style>
  <w:style w:type="paragraph" w:styleId="P25">
    <w:name w:val="TOC 7"/>
    <w:basedOn w:val="P0"/>
    <w:next w:val="P0"/>
    <w:pPr>
      <w:ind w:left="1440"/>
    </w:pPr>
    <w:rPr>
      <w:sz w:val="20"/>
      <w:szCs w:val="20"/>
    </w:rPr>
  </w:style>
  <w:style w:type="paragraph" w:styleId="P26">
    <w:name w:val="TOC 8"/>
    <w:basedOn w:val="P0"/>
    <w:next w:val="P0"/>
    <w:pPr>
      <w:ind w:left="1680"/>
    </w:pPr>
    <w:rPr>
      <w:sz w:val="20"/>
      <w:szCs w:val="20"/>
    </w:rPr>
  </w:style>
  <w:style w:type="paragraph" w:styleId="P27">
    <w:name w:val="TOC 9"/>
    <w:basedOn w:val="P0"/>
    <w:next w:val="P0"/>
    <w:pPr>
      <w:ind w:left="1920"/>
    </w:pPr>
    <w:rPr>
      <w:sz w:val="20"/>
      <w:szCs w:val="20"/>
    </w:rPr>
  </w:style>
  <w:style w:type="paragraph" w:styleId="P28">
    <w:name w:val="TOC Heading"/>
    <w:basedOn w:val="P1"/>
    <w:next w:val="P0"/>
    <w:qFormat/>
    <w:pPr>
      <w:numPr>
        <w:numId w:val="0"/>
      </w:numPr>
      <w:spacing w:lineRule="auto" w:line="276" w:beforeAutospacing="0" w:afterAutospacing="0"/>
      <w:outlineLvl w:val="9"/>
    </w:pPr>
    <w:rPr>
      <w:color w:val="365F91"/>
      <w:sz w:val="28"/>
      <w:szCs w:val="28"/>
      <w:lang w:val="en-US"/>
    </w:rPr>
  </w:style>
  <w:style w:type="paragraph" w:styleId="P29">
    <w:name w:val="[Allmänt styckeformat]"/>
    <w:basedOn w:val="P0"/>
    <w:pPr>
      <w:widowControl w:val="0"/>
      <w:spacing w:lineRule="auto" w:line="288" w:beforeAutospacing="0" w:afterAutospacing="0"/>
    </w:pPr>
    <w:rPr>
      <w:rFonts w:ascii="MinionPro-Regular" w:hAnsi="MinionPro-Regular" w:cs="MinionPro-Regular"/>
      <w:color w:val="000000"/>
    </w:rPr>
  </w:style>
  <w:style w:type="paragraph" w:styleId="P30">
    <w:name w:val="Body Text"/>
    <w:basedOn w:val="P0"/>
    <w:link w:val="C16"/>
    <w:semiHidden/>
    <w:pPr>
      <w:spacing w:after="120" w:beforeAutospacing="0" w:afterAutospacing="0"/>
    </w:pPr>
    <w:rPr/>
  </w:style>
  <w:style w:type="paragraph" w:styleId="P31">
    <w:name w:val="annotation text"/>
    <w:basedOn w:val="P0"/>
    <w:link w:val="C18"/>
    <w:pPr/>
    <w:rPr>
      <w:sz w:val="20"/>
      <w:szCs w:val="20"/>
    </w:rPr>
  </w:style>
  <w:style w:type="paragraph" w:styleId="P32">
    <w:name w:val="annotation subject"/>
    <w:basedOn w:val="P31"/>
    <w:next w:val="P31"/>
    <w:link w:val="C19"/>
    <w:semiHidden/>
    <w:pPr/>
    <w:rPr>
      <w:b w:val="1"/>
      <w:bCs w:val="1"/>
    </w:rPr>
  </w:style>
  <w:style w:type="paragraph" w:styleId="P33">
    <w:name w:val="Default"/>
    <w:pPr/>
    <w:rPr>
      <w:rFonts w:ascii="Arial" w:hAnsi="Arial" w:cs="Arial" w:eastAsia="MS PGothic"/>
      <w:color w:val="000000"/>
      <w:sz w:val="24"/>
      <w:szCs w:val="24"/>
    </w:rPr>
  </w:style>
  <w:style w:type="paragraph" w:styleId="P34">
    <w:name w:val="Footnote Text"/>
    <w:link w:val="C21"/>
    <w:semiHidden/>
    <w:pPr/>
    <w:rPr>
      <w:szCs w:val="20"/>
    </w:rPr>
  </w:style>
  <w:style w:type="paragraph" w:styleId="P35">
    <w:name w:val="Endnote Text"/>
    <w:link w:val="C23"/>
    <w:semiHidden/>
    <w:pPr/>
    <w:rPr>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000FF"/>
      <w:u w:val="single"/>
    </w:rPr>
  </w:style>
  <w:style w:type="character" w:styleId="C3">
    <w:name w:val="Page Number"/>
    <w:basedOn w:val="C0"/>
    <w:semiHidden/>
    <w:rPr/>
  </w:style>
  <w:style w:type="character" w:styleId="C4">
    <w:name w:val="Ballongtext Char"/>
    <w:link w:val="P10"/>
    <w:semiHidden/>
    <w:rPr>
      <w:rFonts w:ascii="Lucida Grande" w:hAnsi="Lucida Grande" w:cs="Lucida Grande"/>
      <w:sz w:val="18"/>
      <w:szCs w:val="18"/>
    </w:rPr>
  </w:style>
  <w:style w:type="character" w:styleId="C5">
    <w:name w:val="Sidhuvud Char"/>
    <w:basedOn w:val="C0"/>
    <w:link w:val="P11"/>
    <w:rPr/>
  </w:style>
  <w:style w:type="character" w:styleId="C6">
    <w:name w:val="Sidfot Char"/>
    <w:basedOn w:val="C0"/>
    <w:link w:val="P12"/>
    <w:rPr/>
  </w:style>
  <w:style w:type="character" w:styleId="C7">
    <w:name w:val="Rubrik 1 Char"/>
    <w:link w:val="P1"/>
    <w:rPr>
      <w:rFonts w:ascii="Calibri" w:hAnsi="Calibri" w:cs="Times New Roman" w:eastAsia="MS Gothic"/>
      <w:b w:val="1"/>
      <w:bCs w:val="1"/>
      <w:color w:val="345A8A"/>
      <w:sz w:val="32"/>
      <w:szCs w:val="32"/>
    </w:rPr>
  </w:style>
  <w:style w:type="character" w:styleId="C8">
    <w:name w:val="Rubrik 2 Char"/>
    <w:link w:val="P2"/>
    <w:semiHidden/>
    <w:rPr>
      <w:rFonts w:ascii="Calibri" w:hAnsi="Calibri" w:cs="Times New Roman" w:eastAsia="MS Gothic"/>
      <w:b w:val="1"/>
      <w:bCs w:val="1"/>
      <w:color w:val="4F81BD"/>
      <w:sz w:val="26"/>
      <w:szCs w:val="26"/>
    </w:rPr>
  </w:style>
  <w:style w:type="character" w:styleId="C9">
    <w:name w:val="Rubrik 3 Char"/>
    <w:link w:val="P3"/>
    <w:semiHidden/>
    <w:rPr>
      <w:rFonts w:ascii="Calibri" w:hAnsi="Calibri" w:cs="Times New Roman" w:eastAsia="MS Gothic"/>
      <w:b w:val="1"/>
      <w:bCs w:val="1"/>
      <w:color w:val="4F81BD"/>
    </w:rPr>
  </w:style>
  <w:style w:type="character" w:styleId="C10">
    <w:name w:val="Rubrik 4 Char"/>
    <w:link w:val="P4"/>
    <w:semiHidden/>
    <w:rPr>
      <w:rFonts w:ascii="Calibri" w:hAnsi="Calibri" w:cs="Times New Roman" w:eastAsia="MS Gothic"/>
      <w:b w:val="1"/>
      <w:i w:val="1"/>
      <w:bCs w:val="1"/>
      <w:iCs w:val="1"/>
      <w:color w:val="4F81BD"/>
    </w:rPr>
  </w:style>
  <w:style w:type="character" w:styleId="C11">
    <w:name w:val="Rubrik 5 Char"/>
    <w:link w:val="P5"/>
    <w:semiHidden/>
    <w:rPr>
      <w:rFonts w:ascii="Calibri" w:hAnsi="Calibri" w:cs="Times New Roman" w:eastAsia="MS Gothic"/>
      <w:color w:val="243F60"/>
    </w:rPr>
  </w:style>
  <w:style w:type="character" w:styleId="C12">
    <w:name w:val="Rubrik 6 Char"/>
    <w:link w:val="P6"/>
    <w:semiHidden/>
    <w:rPr>
      <w:rFonts w:ascii="Calibri" w:hAnsi="Calibri" w:cs="Times New Roman" w:eastAsia="MS Gothic"/>
      <w:i w:val="1"/>
      <w:iCs w:val="1"/>
      <w:color w:val="243F60"/>
    </w:rPr>
  </w:style>
  <w:style w:type="character" w:styleId="C13">
    <w:name w:val="Rubrik 7 Char"/>
    <w:link w:val="P7"/>
    <w:semiHidden/>
    <w:rPr>
      <w:rFonts w:ascii="Calibri" w:hAnsi="Calibri" w:cs="Times New Roman" w:eastAsia="MS Gothic"/>
      <w:i w:val="1"/>
      <w:iCs w:val="1"/>
      <w:color w:val="404040"/>
    </w:rPr>
  </w:style>
  <w:style w:type="character" w:styleId="C14">
    <w:name w:val="Rubrik 8 Char"/>
    <w:link w:val="P8"/>
    <w:semiHidden/>
    <w:rPr>
      <w:rFonts w:ascii="Calibri" w:hAnsi="Calibri" w:cs="Times New Roman" w:eastAsia="MS Gothic"/>
      <w:color w:val="404040"/>
      <w:sz w:val="20"/>
      <w:szCs w:val="20"/>
    </w:rPr>
  </w:style>
  <w:style w:type="character" w:styleId="C15">
    <w:name w:val="Rubrik 9 Char"/>
    <w:link w:val="P9"/>
    <w:semiHidden/>
    <w:rPr>
      <w:rFonts w:ascii="Calibri" w:hAnsi="Calibri" w:cs="Times New Roman" w:eastAsia="MS Gothic"/>
      <w:i w:val="1"/>
      <w:iCs w:val="1"/>
      <w:color w:val="404040"/>
      <w:sz w:val="20"/>
      <w:szCs w:val="20"/>
    </w:rPr>
  </w:style>
  <w:style w:type="character" w:styleId="C16">
    <w:name w:val="Brödtext Char"/>
    <w:basedOn w:val="C0"/>
    <w:link w:val="P30"/>
    <w:rPr>
      <w:sz w:val="24"/>
      <w:szCs w:val="24"/>
      <w:lang w:eastAsia="en-US"/>
    </w:rPr>
  </w:style>
  <w:style w:type="character" w:styleId="C17">
    <w:name w:val="annotation reference"/>
    <w:basedOn w:val="C0"/>
    <w:semiHidden/>
    <w:rPr>
      <w:sz w:val="16"/>
      <w:szCs w:val="16"/>
    </w:rPr>
  </w:style>
  <w:style w:type="character" w:styleId="C18">
    <w:name w:val="Kommentarer Char"/>
    <w:basedOn w:val="C0"/>
    <w:link w:val="P31"/>
    <w:rPr>
      <w:lang w:eastAsia="en-US"/>
    </w:rPr>
  </w:style>
  <w:style w:type="character" w:styleId="C19">
    <w:name w:val="Kommentarsämne Char"/>
    <w:basedOn w:val="C18"/>
    <w:link w:val="P32"/>
    <w:semiHidden/>
    <w:rPr>
      <w:b w:val="1"/>
      <w:bCs w:val="1"/>
      <w:lang w:eastAsia="en-US"/>
    </w:rPr>
  </w:style>
  <w:style w:type="character" w:styleId="C20">
    <w:name w:val="Footnote Reference"/>
    <w:semiHidden/>
    <w:rPr>
      <w:vertAlign w:val="superscript"/>
    </w:rPr>
  </w:style>
  <w:style w:type="character" w:styleId="C21">
    <w:name w:val="Fotnotstext Char"/>
    <w:link w:val="P34"/>
    <w:semiHidden/>
    <w:rPr>
      <w:sz w:val="20"/>
      <w:szCs w:val="20"/>
    </w:rPr>
  </w:style>
  <w:style w:type="character" w:styleId="C22">
    <w:name w:val="Endnote Reference"/>
    <w:semiHidden/>
    <w:rPr>
      <w:vertAlign w:val="superscript"/>
    </w:rPr>
  </w:style>
  <w:style w:type="character" w:styleId="C23">
    <w:name w:val="Slutnotstext Char"/>
    <w:link w:val="P35"/>
    <w:semiHidden/>
    <w:rPr>
      <w:sz w:val="20"/>
      <w:szCs w:val="20"/>
    </w:rPr>
  </w:style>
  <w:style w:type="character" w:styleId="C24">
    <w:name w:val="Footnote Text Char"/>
    <w:semiHidden/>
    <w:rPr>
      <w:sz w:val="20"/>
      <w:szCs w:val="20"/>
    </w:rPr>
  </w:style>
  <w:style w:type="character" w:styleId="C25">
    <w:name w:val="Endnote Text Char"/>
    <w:semiHidden/>
    <w:rPr>
      <w:sz w:val="20"/>
      <w:szCs w:val="20"/>
    </w:rPr>
  </w:style>
  <w:style w:type="character" w:styleId="C26">
    <w:name w:val="Unresolved Mention1"/>
    <w:basedOn w:val="C0"/>
    <w:semiHidden/>
    <w:rPr>
      <w:color w:val="605E5C"/>
      <w:shd w:val="clear" w:color="auto" w:fill="E1DFDD"/>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
    <w:basedOn w:val="T0"/>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Table Grid1"/>
    <w:rPr>
      <w:rFonts w:asciiTheme="minorHAnsi" w:hAnsiTheme="minorHAnsi" w:cstheme="minorBidi" w:eastAsiaTheme="minorEastAsia"/>
      <w:sz w:val="22"/>
    </w:rPr>
    <w:tblPr>
      <w:tblCellMar>
        <w:top w:w="0" w:type="dxa"/>
        <w:left w:w="0" w:type="dxa"/>
        <w:bottom w:w="0" w:type="dxa"/>
        <w:right w:w="0" w:type="dxa"/>
      </w:tblCellMar>
    </w:tblPr>
    <w:trPr/>
    <w:tcPr/>
  </w:style>
  <w:style w:type="numbering" w:styleId="N0">
    <w:name w:val="No List"/>
  </w:style>
  <w:style w:type="numbering" w:styleId="N1">
    <w:name w:val="Style1"/>
    <w:pPr>
      <w:numPr>
        <w:numId w:val="2"/>
      </w:numPr>
    </w:pPr>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image28" Type="http://schemas.openxmlformats.org/officeDocument/2006/relationships/image" Target="/media/image28.png" /><Relationship Id="Relimage29" Type="http://schemas.openxmlformats.org/officeDocument/2006/relationships/image" Target="/media/image29.png" /><Relationship Id="Relimage30" Type="http://schemas.openxmlformats.org/officeDocument/2006/relationships/image" Target="/media/image30.png" /><Relationship Id="Relimage31" Type="http://schemas.openxmlformats.org/officeDocument/2006/relationships/image" Target="/media/image31.png" /><Relationship Id="Relimage32" Type="http://schemas.openxmlformats.org/officeDocument/2006/relationships/image" Target="/media/image32.png" /><Relationship Id="Relimage33" Type="http://schemas.openxmlformats.org/officeDocument/2006/relationships/image" Target="/media/image33.png" /><Relationship Id="Relimage34" Type="http://schemas.openxmlformats.org/officeDocument/2006/relationships/image" Target="/media/image34.png" /><Relationship Id="Relimage35" Type="http://schemas.openxmlformats.org/officeDocument/2006/relationships/image" Target="/media/image35.png" /><Relationship Id="Relimage36" Type="http://schemas.openxmlformats.org/officeDocument/2006/relationships/image" Target="/media/image36.png" /><Relationship Id="Relimage37" Type="http://schemas.openxmlformats.org/officeDocument/2006/relationships/image" Target="/media/image37.png" /><Relationship Id="Relimage38" Type="http://schemas.openxmlformats.org/officeDocument/2006/relationships/image" Target="/media/image38.png" /><Relationship Id="Relimage39" Type="http://schemas.openxmlformats.org/officeDocument/2006/relationships/image" Target="/media/image39.png" /><Relationship Id="Relimage40" Type="http://schemas.openxmlformats.org/officeDocument/2006/relationships/image" Target="/media/image40.png" /><Relationship Id="Relimage41" Type="http://schemas.openxmlformats.org/officeDocument/2006/relationships/image" Target="/media/image41.png" /><Relationship Id="Relimage42" Type="http://schemas.openxmlformats.org/officeDocument/2006/relationships/image" Target="/media/image42.emf" /><Relationship Id="Relimage43" Type="http://schemas.openxmlformats.org/officeDocument/2006/relationships/image" Target="/media/image43.emf" /><Relationship Id="Relimage44" Type="http://schemas.openxmlformats.org/officeDocument/2006/relationships/image" Target="/media/image44.png" /><Relationship Id="Relimage45" Type="http://schemas.openxmlformats.org/officeDocument/2006/relationships/image" Target="/media/image45.png" /><Relationship Id="Relimage46" Type="http://schemas.openxmlformats.org/officeDocument/2006/relationships/image" Target="/media/image46.png" /><Relationship Id="Relimage47" Type="http://schemas.openxmlformats.org/officeDocument/2006/relationships/image" Target="/media/image47.png" /><Relationship Id="Relimage48" Type="http://schemas.openxmlformats.org/officeDocument/2006/relationships/image" Target="/media/image48.png" /><Relationship Id="Relimage49" Type="http://schemas.openxmlformats.org/officeDocument/2006/relationships/image" Target="/media/image49.png" /><Relationship Id="R2" Type="http://schemas.openxmlformats.org/officeDocument/2006/relationships/hyperlink" Target="https://app.raa.se/open/fornsok/" TargetMode="External"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50" Type="http://schemas.openxmlformats.org/officeDocument/2006/relationships/image" Target="/media/image50.png" /><Relationship Id="Relimage51" Type="http://schemas.openxmlformats.org/officeDocument/2006/relationships/image" Target="/media/image51.png" /></Relationships>
</file>

<file path=word/_rels/header2.xml.rels>&#65279;<?xml version="1.0" encoding="utf-8"?><Relationships xmlns="http://schemas.openxmlformats.org/package/2006/relationships" />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lanbeskrivning xmlns:lmg="http://namespace.lantmateriet.se/distribution/geometri/v1" xmlns:gml="http://www.opengis.net/gml/3.2" xmlns="http://namespace.lantmateriet.se/distribution/geodatakatalog/planbeskrivning/v1">
  <Omfattning>
    <identitet>gf_markochutrymmesförvärv01</identitet>
    <Indelning>
      <tema>Genomförandefrågor</tema>
      <grupp>Mark- och utrymmesförvärv</grupp>
    </Indelning>
  </Omfattning>
  <Omfattning>
    <identitet>gf_fastighetsrättsligafrågor01</identitet>
    <Indelning>
      <tema>Genomförandefrågor</tema>
      <grupp>Fastighetsrättsliga frågor</grupp>
    </Indelning>
  </Omfattning>
  <Omfattning>
    <identitet>pu_miljökonsekvensbeskrivning01</identitet>
    <Indelning>
      <tema>Planeringsunderlag</tema>
      <grupp>Kommunala</grupp>
      <undergrupp>Miljökonsekvens-beskrivning</undergrupp>
    </Indelning>
  </Omfattning>
  <Omfattning>
    <identitet>ko_miljökonsekvensbeskrivning01</identitet>
    <Indelning>
      <tema>Konsekvenser</tema>
      <grupp>Miljö</grupp>
      <undergrupp>Miljökonsekvens-beskrivning</undergrupp>
    </Indelning>
  </Omfattning>
  <Omfattning>
    <identitet>ko_miljökonsekvensbeskrivning02</identitet>
    <Indelning>
      <tema>Konsekvenser</tema>
      <grupp>Miljö</grupp>
      <undergrupp>Miljökonsekvens-beskrivning</undergrupp>
    </Indelning>
  </Omfattning>
  <Omfattning>
    <identitet>sy_syfte01</identitet>
    <Indelning>
      <tema>Detaljplanens syfte</tema>
      <grupp>Syfte</grupp>
    </Indelning>
  </Omfattning>
  <Omfattning>
    <identitet>be_heladetaljplan01</identitet>
    <Indelning>
      <tema>Beskrivning av detaljplanen</tema>
      <grupp>Hela detaljplan</grupp>
    </Indelning>
  </Omfattning>
  <Omfattning>
    <identitet>be_genomförandetid01</identitet>
    <Indelning>
      <tema>Beskrivning av detaljplanen</tema>
      <grupp>Genomförandetid</grupp>
    </Indelning>
  </Omfattning>
  <Omfattning>
    <identitet>be_huvudmannaskap01</identitet>
    <Indelning>
      <tema>Beskrivning av detaljplanen</tema>
      <grupp>Allmän plats</grupp>
      <undergrupp>Huvudmannaskap</undergrupp>
    </Indelning>
  </Omfattning>
  <Omfattning>
    <identitet>be_kvartersmark01</identitet>
    <Indelning>
      <tema>Beskrivning av detaljplanen</tema>
      <grupp>Kvartersmark</grupp>
    </Indelning>
  </Omfattning>
  <Omfattning>
    <identitet>be_vattenområde01</identitet>
    <Indelning>
      <tema>Beskrivning av detaljplanen</tema>
      <grupp>Vattenområde</grupp>
    </Indelning>
  </Omfattning>
  <Omfattning>
    <identitet>be_befintligt01</identitet>
    <Indelning>
      <tema>Beskrivning av detaljplanen</tema>
      <grupp>Befintligt</grupp>
    </Indelning>
  </Omfattning>
  <Omfattning>
    <identitet>be_ärendeinformation01</identitet>
    <Indelning>
      <tema>Beskrivning av detaljplanen</tema>
      <grupp>Ärendeinformation</grupp>
    </Indelning>
  </Omfattning>
  <Omfattning>
    <identitet>mo_motivtillreglering01</identitet>
    <Indelning>
      <tema>Motiv till detaljplanens regleringar</tema>
      <grupp>Motiv till reglering</grupp>
    </Indelning>
  </Omfattning>
  <Omfattning>
    <identitet>gf_markochutrymmesförvärv01</identitet>
    <Indelning>
      <tema>Genomförandefrågor</tema>
      <grupp>Mark- och utrymmesförvärv</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gf_tekniskafrågor01</identitet>
    <Indelning>
      <tema>Genomförandefrågor</tema>
      <grupp>Tekniska frågor</grupp>
    </Indelning>
  </Omfattning>
  <Omfattning>
    <identitet>gf_tekniskaåtgärder01</identitet>
    <Indelning>
      <tema>Genomförandefrågor</tema>
      <grupp>Tekniska frågor</grupp>
      <undergrupp>Tekniska åtgärder</undergrupp>
    </Indelning>
  </Omfattning>
  <Omfattning>
    <identitet>gf_utbyggnadvattenochavlopp01</identitet>
    <Indelning>
      <tema>Genomförandefrågor</tema>
      <grupp>Tekniska frågor</grupp>
      <undergrupp>Utbyggnad vatten och avlopp</undergrupp>
    </Indelning>
  </Omfattning>
  <Omfattning>
    <identitet>gf_planavgift01</identitet>
    <Indelning>
      <tema>Genomförandefrågor</tema>
      <grupp>Ekonomiska frågor</grupp>
      <undergrupp>Planavgift</undergrupp>
    </Indelning>
  </Omfattning>
  <Omfattning>
    <identitet>gf_gemensamhetsanläggningar01</identitet>
    <Indelning>
      <tema>Genomförandefrågor</tema>
      <grupp>Ekonomiska frågor</grupp>
      <undergrupp>Gemensamhetsanläggningar</undergrupp>
    </Indelning>
  </Omfattning>
  <Omfattning>
    <identitet>gf_driftallmänplats01</identitet>
    <Indelning>
      <tema>Genomförandefrågor</tema>
      <grupp>Ekonomiska frågor</grupp>
      <undergrupp>Drift allmän plats</undergrupp>
    </Indelning>
  </Omfattning>
  <Omfattning>
    <identitet>gf_driftvattenochavlopp01</identitet>
    <Indelning>
      <tema>Genomförandefrågor</tema>
      <grupp>Ekonomiska frågor</grupp>
      <undergrupp>Drift vatten och avlopp</undergrupp>
    </Indelning>
  </Omfattning>
  <Omfattning>
    <identitet>gf_markanvisning01</identitet>
    <Indelning>
      <tema>Genomförandefrågor</tema>
      <grupp>Organisatoriska frågor</grupp>
      <undergrupp>Markanvisning</undergrupp>
    </Indelning>
  </Omfattning>
  <Omfattning>
    <identitet>gf_prövningenlannanlagstiftning01</identitet>
    <Indelning>
      <tema>Genomförandefrågor</tema>
      <grupp>Prövning enligt annan lagstiftning</grupp>
    </Indelning>
  </Omfattning>
  <Omfattning>
    <identitet>gf_upplysningar01</identitet>
    <Indelning>
      <tema>Genomförandefrågor</tema>
      <grupp>Upplysningar</grupp>
    </Indelning>
  </Omfattning>
  <Omfattning>
    <identitet>gf_annat01</identitet>
    <Indelning>
      <tema>Genomförandefrågor</tema>
      <grupp>Annat</grupp>
    </Indelning>
  </Omfattning>
  <Omfattning>
    <identitet>pu_grundkarta01</identitet>
    <Indelning>
      <tema>Planeringsunderlag</tema>
      <grupp>Kommunala</grupp>
      <undergrupp>Grundkarta</undergrupp>
    </Indelning>
  </Omfattning>
  <Omfattning>
    <identitet>pu_översiktsplan01</identitet>
    <Indelning>
      <tema>Planeringsunderlag</tema>
      <grupp>Kommunala</grupp>
      <undergrupp>Översiktsplan</undergrupp>
    </Indelning>
  </Omfattning>
  <Omfattning>
    <identitet>pu_miljökonsekvensbeskrivning02</identitet>
    <Indelning>
      <tema>Planeringsunderlag</tema>
      <grupp>Kommunala</grupp>
      <undergrupp>Miljökonsekvensbeskrivning</undergrupp>
    </Indelning>
  </Omfattning>
  <Omfattning>
    <identitet>pu_särskiltbeslutombetydandemiljöpåver01</identitet>
    <Indelning>
      <tema>Planeringsunderlag</tema>
      <grupp>Kommunala</grupp>
      <undergrupp>Särskilt beslut om betydande miljöpåverkan</undergrupp>
    </Indelning>
  </Omfattning>
  <Omfattning>
    <identitet>pu_dagvattenutredning01</identitet>
    <Indelning>
      <tema>Planeringsunderlag</tema>
      <grupp>Utredningar</grupp>
      <undergrupp>Dagvattenutredning</undergrupp>
    </Indelning>
  </Omfattning>
  <Omfattning>
    <identitet>pu_naturinventering01</identitet>
    <Indelning>
      <tema>Planeringsunderlag</tema>
      <grupp>Utredningar</grupp>
      <undergrupp>Naturinventering</undergrupp>
    </Indelning>
  </Omfattning>
  <Omfattning>
    <identitet>pu_geotekniskutredning01</identitet>
    <Indelning>
      <tema>Planeringsunderlag</tema>
      <grupp>Utredningar</grupp>
      <undergrupp>Geoteknisk utredning</undergrupp>
    </Indelning>
  </Omfattning>
  <Omfattning>
    <identitet>pu_markmiljöutredning01</identitet>
    <Indelning>
      <tema>Planeringsunderlag</tema>
      <grupp>Utredningar</grupp>
      <undergrupp>Markmiljöutredning</undergrupp>
    </Indelning>
  </Omfattning>
  <Omfattning>
    <identitet>pu_bullerutredning01</identitet>
    <Indelning>
      <tema>Planeringsunderlag</tema>
      <grupp>Utredningar</grupp>
      <undergrupp>Bullerutredning</undergrupp>
    </Indelning>
  </Omfattning>
  <Omfattning>
    <identitet>pu_barnkonsekvensanalys01</identitet>
    <Indelning>
      <tema>Planeringsunderlag</tema>
      <grupp>Utredningar</grupp>
      <undergrupp>Barnkonsekvensanalys</undergrupp>
    </Indelning>
  </Omfattning>
  <Omfattning>
    <identitet>pu_arkeologiskutredning01</identitet>
    <Indelning>
      <tema>Planeringsunderlag</tema>
      <grupp>Utredningar</grupp>
      <undergrupp>Arkeologisk utredning</undergrupp>
    </Indelning>
  </Omfattning>
  <Omfattning>
    <identitet>pu_riktlinjer01</identitet>
    <Indelning>
      <tema>Planeringsunderlag</tema>
      <grupp>Regionala</grupp>
      <undergrupp>Riktlinjer</undergrupp>
    </Indelning>
  </Omfattning>
  <Omfattning>
    <identitet>pu_rapport01</identitet>
    <Indelning>
      <tema>Planeringsunderlag</tema>
      <grupp>Regionala</grupp>
      <undergrupp>Rapport</undergrupp>
    </Indelning>
  </Omfattning>
  <Omfattning>
    <identitet>pf_förhandsbesked01</identitet>
    <Indelning>
      <tema>Planeringsförutsättningar</tema>
      <grupp>Kommunala</grupp>
      <undergrupp>Förhandsbesked</undergrupp>
    </Indelning>
  </Omfattning>
  <Omfattning>
    <identitet>pf_översiktsplan01</identitet>
    <Indelning>
      <tema>Planeringsförutsättningar</tema>
      <grupp>Kommunala</grupp>
      <undergrupp>Översiktsplan</undergrupp>
    </Indelning>
  </Omfattning>
  <Omfattning>
    <identitet>pf_rennäring01</identitet>
    <Indelning>
      <tema>Planeringsförutsättningar</tema>
      <grupp>Riksintressen</grupp>
      <undergrupp>Rennäring</undergrupp>
    </Indelning>
  </Omfattning>
  <Omfattning>
    <identitet>pf_kulturmiljövård01</identitet>
    <Indelning>
      <tema>Planeringsförutsättningar</tema>
      <grupp>Riksintressen</grupp>
      <undergrupp>Kulturmiljövård</undergrupp>
    </Indelning>
  </Omfattning>
  <Omfattning>
    <identitet>pf_fyndigheteravämnenochmaterial01</identitet>
    <Indelning>
      <tema>Planeringsförutsättningar</tema>
      <grupp>Riksintressen</grupp>
      <undergrupp>Fyndigheter av ämnen och material</undergrupp>
    </Indelning>
  </Omfattning>
  <Omfattning>
    <identitet>pf_trafikkommunikation01</identitet>
    <Indelning>
      <tema>Planeringsförutsättningar</tema>
      <grupp>Riksintressen</grupp>
      <undergrupp>Trafikkommunikation</undergrupp>
    </Indelning>
  </Omfattning>
  <Omfattning>
    <identitet>pf_totalförsvar01</identitet>
    <Indelning>
      <tema>Planeringsförutsättningar</tema>
      <grupp>Riksintressen</grupp>
      <undergrupp>Totalförsvar</und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pf_mellankommunalaintressen01</identitet>
    <Indelning>
      <tema>Planeringsförutsättningar</tema>
      <grupp>Mellankommunala intressen</grupp>
    </Indelning>
  </Omfattning>
  <Omfattning>
    <identitet>pf_förslagtilldagvattenhantering01</identitet>
    <Indelning>
      <tema>Planeringsförutsättningar</tema>
      <grupp>Miljö</grupp>
      <undergrupp>Förslag till dagvattenhantering</undergrupp>
    </Indelning>
  </Omfattning>
  <Omfattning>
    <identitet>pf_kommunalariktlinjer01</identitet>
    <Indelning>
      <tema>Planeringsförutsättningar</tema>
      <grupp>Miljö</grupp>
      <undergrupp>Kommunala riktlinjer</undergrupp>
    </Indelning>
  </Omfattning>
  <Omfattning>
    <identitet>pf_hydrologiskaförhållande01</identitet>
    <Indelning>
      <tema>Planeringsförutsättningar</tema>
      <grupp>Miljö</grupp>
      <undergrupp>Hydrologiska förhållande</undergrupp>
    </Indelning>
  </Omfattning>
  <Omfattning>
    <identitet>pf_befintligavvattning01</identitet>
    <Indelning>
      <tema>Planeringsförutsättningar</tema>
      <grupp>Miljö</grupp>
      <undergrupp>Befintlig avvattning</undergrupp>
    </Indelning>
  </Omfattning>
  <Omfattning>
    <identitet>pf_förslagtilldagvattenhantering02</identitet>
    <Indelning>
      <tema>Planeringsförutsättningar</tema>
      <grupp>Miljö</grupp>
      <undergrupp>Förslag till dagvattenhantering</undergrupp>
    </Indelning>
  </Omfattning>
  <Omfattning>
    <identitet>pf_förslagtilldagvattenhantering03</identitet>
    <Indelning>
      <tema>Planeringsförutsättningar</tema>
      <grupp>Miljö</grupp>
      <undergrupp>Förslag till dagvattenhantering</undergrupp>
    </Indelning>
  </Omfattning>
  <Omfattning>
    <identitet>pf_förslagtilldränvattenhantering01</identitet>
    <Indelning>
      <tema>Planeringsförutsättningar</tema>
      <grupp>Miljö</grupp>
      <undergrupp>Förslag till dränvattenhantering</undergrupp>
    </Indelning>
  </Omfattning>
  <Omfattning>
    <identitet>pf_hälsaochsäkerhet01</identitet>
    <Indelning>
      <tema>Planeringsförutsättningar</tema>
      <grupp>Hälsa och säkerhet</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pf_riskervideventuellbrandkirunaavfall01</identitet>
    <Indelning>
      <tema>Planeringsförutsättningar</tema>
      <grupp>Hälsa och säkerhet</grupp>
      <undergrupp>Risker vid eventuell brand Kiruna avfall</undergrupp>
    </Indelning>
  </Omfattning>
  <Omfattning>
    <identitet>pf_riskföröversvämning01</identitet>
    <Indelning>
      <tema>Planeringsförutsättningar</tema>
      <grupp>Hälsa och säkerhet</grupp>
      <undergrupp>Risk för översvämning</undergrupp>
    </Indelning>
  </Omfattning>
  <Omfattning>
    <identitet>pf_geotekniskaförhållanden01</identitet>
    <Indelning>
      <tema>Planeringsförutsättningar</tema>
      <grupp>Geotekniska förhållanden</grupp>
    </Indelning>
  </Omfattning>
  <Omfattning>
    <identitet>pf_förorenadmark01</identitet>
    <Indelning>
      <tema>Planeringsförutsättningar</tema>
      <grupp>Geotekniska förhållanden</grupp>
      <undergrupp>Förorenad mark</undergrupp>
    </Indelning>
  </Omfattning>
  <Omfattning>
    <identitet>pf_radon01</identitet>
    <Indelning>
      <tema>Planeringsförutsättningar</tema>
      <grupp>Geotekniska förhållanden</grupp>
      <undergrupp>Radon</undergrupp>
    </Indelning>
  </Omfattning>
  <Omfattning>
    <identitet>pf_klimat01</identitet>
    <Indelning>
      <tema>Planeringsförutsättningar</tema>
      <grupp>Geotekniska förhållanden</grupp>
      <undergrupp>Klimat</undergrupp>
    </Indelning>
  </Omfattning>
  <Omfattning>
    <identitet>pf_fornlämningar01</identitet>
    <Indelning>
      <tema>Planeringsförutsättningar</tema>
      <grupp>Kulturmiljö</grupp>
      <undergrupp>Fornlämningar</undergrupp>
    </Indelning>
  </Omfattning>
  <Omfattning>
    <identitet>pf_kyrkligtkulturarv01</identitet>
    <Indelning>
      <tema>Planeringsförutsättningar</tema>
      <grupp>Kulturmiljö</grupp>
      <undergrupp>Kyrkligt kulturarv</undergrupp>
    </Indelning>
  </Omfattning>
  <Omfattning>
    <identitet>pf_kulturmiljövård02</identitet>
    <Indelning>
      <tema>Planeringsförutsättningar</tema>
      <grupp>Riksintressen</grupp>
      <undergrupp>Kulturmiljövård</undergrupp>
    </Indelning>
  </Omfattning>
  <Omfattning>
    <identitet>pf_kulturmiljövård03</identitet>
    <Indelning>
      <tema>Planeringsförutsättningar</tema>
      <grupp>Riksintressen</grupp>
      <undergrupp>Kulturmiljövård</undergrupp>
    </Indelning>
  </Omfattning>
  <Omfattning>
    <identitet>pf_kulturmiljövård04</identitet>
    <Indelning>
      <tema>Planeringsförutsättningar</tema>
      <grupp>Riksintressen</grupp>
      <undergrupp>Kulturmiljövård</undergrupp>
    </Indelning>
  </Omfattning>
</Planbeskrivning>
</file>

<file path=customXml/itemProps1.xml><?xml version="1.0" encoding="utf-8"?>
<ds:datastoreItem xmlns:ds="http://schemas.openxmlformats.org/officeDocument/2006/customXml" ds:itemID="{6383b3b0-3573-47af-80d8-d98686a5b022}">
  <ds:schemaRefs>
    <ds:schemaRef ds:uri="http://schemas.microsoft.com/vsto/samples"/>
  </ds:schemaRefs>
</ds:datastoreItem>
</file>

<file path=customXml/itemProps2.xml><?xml version="1.0" encoding="utf-8"?>
<ds:datastoreItem xmlns:ds="http://schemas.openxmlformats.org/officeDocument/2006/customXml" ds:itemID="633a341c-f707-4b8d-98f3-afd8ff9db592">
  <ds:schemaRefs>
    <ds:schemaRef ds:uri="http://schemas.microsoft.com/vsto/samples"/>
  </ds:schemaRefs>
</ds:datastoreItem>
</file>

<file path=docProps/app.xml><?xml version="1.0" encoding="utf-8"?>
<Properties xmlns="http://schemas.openxmlformats.org/officeDocument/2006/extended-properties">
  <Application>GEOSECMA for ArcGIS</Application>
  <Company>Kiruna Kommun</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Mona Mattsson-Kauppi</dc:creator>
  <dcterms:created xsi:type="dcterms:W3CDTF">2025-01-27T08:40:00Z</dcterms:created>
  <cp:lastModifiedBy>Mona Mattsson Kauppi</cp:lastModifiedBy>
  <cp:lastPrinted>2013-05-28T07:03:00Z</cp:lastPrinted>
  <dcterms:modified xsi:type="dcterms:W3CDTF">2025-04-07T12:18:24Z</dcterms:modified>
  <cp:revision>6</cp:revision>
</cp:coreProperties>
</file>