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 Id="customR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p/>
    <w:p>
      <w:pPr>
        <w:suppressAutoHyphens w:val="0"/>
        <w:ind w:left="0" w:right="0"/>
        <w:rPr>
          <w:rStyle w:val="C2"/>
          <w:rFonts w:eastAsia="Calibri"/>
          <w:noProof w:val="1"/>
          <w:lang w:eastAsia="ar-SA"/>
        </w:rPr>
      </w:pPr>
    </w:p>
    <w:p>
      <w:pPr>
        <w:pStyle w:val="P13"/>
        <w:ind w:right="1134"/>
        <w:jc w:val="right"/>
      </w:pPr>
    </w:p>
    <w:p>
      <w:pPr>
        <w:tabs>
          <w:tab w:val="left" w:pos="5670" w:leader="none"/>
          <w:tab w:val="left" w:pos="7938" w:leader="none"/>
        </w:tabs>
        <w:ind w:left="0" w:right="5386"/>
        <w:rPr>
          <w:rFonts w:ascii="Arial" w:hAnsi="Arial"/>
          <w:sz w:val="20"/>
        </w:rPr>
      </w:pPr>
      <w:bookmarkStart w:id="0" w:name="Tit"/>
      <w:bookmarkEnd w:id="0"/>
      <w:bookmarkStart w:id="1" w:name="Handtel"/>
      <w:bookmarkEnd w:id="1"/>
      <w:bookmarkStart w:id="2" w:name="Fmobil"/>
      <w:bookmarkEnd w:id="2"/>
      <w:bookmarkStart w:id="3" w:name="Hand"/>
      <w:bookmarkEnd w:id="3"/>
    </w:p>
    <w:p>
      <w:pPr>
        <w:pStyle w:val="P14"/>
        <w:ind w:firstLine="427" w:left="6663"/>
        <w:rPr>
          <w:rFonts w:ascii="Gotham Light" w:hAnsi="Gotham Light"/>
          <w:sz w:val="22"/>
        </w:rPr>
      </w:pPr>
      <w:bookmarkStart w:id="4" w:name="Till"/>
      <w:bookmarkEnd w:id="4"/>
      <w:bookmarkStart w:id="5" w:name="Tnamn"/>
      <w:bookmarkEnd w:id="5"/>
      <w:bookmarkStart w:id="6" w:name="Tpnr"/>
      <w:bookmarkEnd w:id="6"/>
    </w:p>
    <w:p>
      <w:pPr>
        <w:pStyle w:val="P14"/>
        <w:ind w:left="7090"/>
        <w:rPr>
          <w:rFonts w:ascii="Gotham Light" w:hAnsi="Gotham Light"/>
          <w:sz w:val="22"/>
        </w:rPr>
      </w:pPr>
    </w:p>
    <w:p>
      <w:pPr>
        <w:pStyle w:val="P14"/>
        <w:jc w:val="right"/>
      </w:pPr>
      <w:r>
        <w:rPr>
          <w:rFonts w:ascii="Gotham Light" w:hAnsi="Gotham Light"/>
          <w:sz w:val="22"/>
        </w:rPr>
        <w:t>ANTAGANDEHANDLING</w:t>
        <w:br w:type="textWrapping"/>
        <w:t>DNR: 2022/10</w:t>
      </w:r>
      <w:bookmarkStart w:id="7" w:name="skrivplats"/>
      <w:bookmarkEnd w:id="7"/>
    </w:p>
    <w:p/>
    <w:p/>
    <w:p>
      <w:pPr>
        <w:ind w:right="567"/>
        <w:jc w:val="center"/>
      </w:pPr>
      <w:r>
        <w:rPr>
          <w:noProof w:val="1"/>
        </w:rPr>
        <w:drawing>
          <wp:anchor xmlns:wp="http://schemas.openxmlformats.org/drawingml/2006/wordprocessingDrawing" distT="0" distB="0" distL="114300" distR="114300" simplePos="0" relativeHeight="5" behindDoc="0" locked="0" layoutInCell="1" allowOverlap="1">
            <wp:simplePos x="0" y="0"/>
            <wp:positionH relativeFrom="margin">
              <wp:align>right</wp:align>
            </wp:positionH>
            <wp:positionV relativeFrom="paragraph">
              <wp:posOffset>304165</wp:posOffset>
            </wp:positionV>
            <wp:extent cx="5781040" cy="4010025"/>
            <wp:effectExtent l="0" t="0" r="0" b="0"/>
            <wp:wrapTopAndBottom/>
            <wp:docPr id="6" name="Bildobjekt 6" descr="En bild som visar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objekt 6" descr="En bild som visar karta&#10;&#10;Automatiskt genererad beskrivning"/>
                    <pic:cNvPicPr/>
                  </pic:nvPicPr>
                  <pic:blipFill dpi="0">
                    <a:blip xmlns:r="http://schemas.openxmlformats.org/officeDocument/2006/relationships" r:embed="Relimage1"/>
                    <a:srcRect/>
                    <a:stretch>
                      <a:fillRect/>
                    </a:stretch>
                  </pic:blipFill>
                  <pic:spPr>
                    <a:xfrm>
                      <a:off x="0" y="0"/>
                      <a:ext cx="5781600" cy="4010400"/>
                    </a:xfrm>
                    <a:prstGeom prst="rect"/>
                  </pic:spPr>
                </pic:pic>
              </a:graphicData>
            </a:graphic>
          </wp:anchor>
        </w:drawing>
      </w:r>
    </w:p>
    <w:p>
      <w:pPr>
        <w:pStyle w:val="P11"/>
        <w:ind w:left="851" w:right="0"/>
        <w:rPr>
          <w:rFonts w:ascii="Arial Black" w:hAnsi="Arial Black"/>
          <w:caps w:val="1"/>
          <w:sz w:val="30"/>
          <w:szCs w:val="30"/>
        </w:rPr>
      </w:pPr>
    </w:p>
    <w:p>
      <w:pPr>
        <w:pStyle w:val="P11"/>
        <w:ind w:left="851" w:right="0"/>
        <w:rPr>
          <w:rFonts w:ascii="Arial Black" w:hAnsi="Arial Black"/>
          <w:caps w:val="1"/>
          <w:sz w:val="30"/>
          <w:szCs w:val="30"/>
        </w:rPr>
      </w:pPr>
      <w:r>
        <w:rPr>
          <w:rFonts w:ascii="Arial Black" w:hAnsi="Arial Black"/>
          <w:caps w:val="1"/>
          <w:sz w:val="30"/>
          <w:szCs w:val="30"/>
        </w:rPr>
        <w:t>Plan- och genomförandebeskrivning</w:t>
      </w:r>
    </w:p>
    <w:p>
      <w:pPr>
        <w:pStyle w:val="P23"/>
        <w:ind w:left="851"/>
        <w:rPr>
          <w:rFonts w:ascii="Arial Black" w:hAnsi="Arial Black"/>
        </w:rPr>
      </w:pPr>
      <w:bookmarkStart w:id="8" w:name="_Toc129070414"/>
      <w:bookmarkStart w:id="9" w:name="_Toc129070882"/>
      <w:r>
        <w:rPr>
          <w:sz w:val="24"/>
          <w:szCs w:val="24"/>
        </w:rPr>
        <w:t>DETALJPLAN FÖR</w:t>
      </w:r>
      <w:bookmarkEnd w:id="8"/>
      <w:bookmarkEnd w:id="9"/>
      <w:r>
        <w:rPr>
          <w:rFonts w:ascii="Gotham Bold" w:hAnsi="Gotham Bold"/>
          <w:sz w:val="36"/>
        </w:rPr>
        <w:br w:type="textWrapping"/>
      </w:r>
      <w:r>
        <w:rPr>
          <w:sz w:val="24"/>
          <w:szCs w:val="24"/>
        </w:rPr>
        <w:t>del av Västervik 3:1 m fl, (Cirkulationsplats Didrikslund</w:t>
      </w:r>
      <w:r>
        <w:rPr>
          <w:rFonts w:ascii="Gotham Bold" w:hAnsi="Gotham Bold"/>
          <w:sz w:val="26"/>
          <w:szCs w:val="26"/>
        </w:rPr>
        <w:t>)</w:t>
        <w:br w:type="textWrapping"/>
      </w:r>
      <w:r>
        <w:rPr>
          <w:rFonts w:ascii="Arial Black" w:hAnsi="Arial Black"/>
        </w:rPr>
        <w:t>Västervik, Västerviks kommun, Kalmar län</w:t>
      </w:r>
    </w:p>
    <w:p>
      <w:pPr>
        <w:suppressAutoHyphens w:val="0"/>
        <w:ind w:left="0" w:right="0"/>
        <w:rPr>
          <w:rFonts w:ascii="Arial Black" w:hAnsi="Arial Black"/>
          <w:szCs w:val="22"/>
        </w:rPr>
      </w:pPr>
      <w:r>
        <w:rPr>
          <w:rFonts w:ascii="Arial Black" w:hAnsi="Arial Black"/>
          <w:szCs w:val="22"/>
        </w:rPr>
        <w:br w:type="page"/>
      </w:r>
    </w:p>
    <w:p>
      <w:pPr>
        <w:pStyle w:val="P11"/>
        <w:ind w:left="0"/>
      </w:pPr>
    </w:p>
    <w:p>
      <w:pPr>
        <w:pStyle w:val="P11"/>
        <w:ind w:left="0"/>
      </w:pPr>
    </w:p>
    <w:p>
      <w:pPr>
        <w:pStyle w:val="P27"/>
        <w:rPr>
          <w:rFonts w:cstheme="minorBidi" w:eastAsiaTheme="minorEastAsia"/>
          <w:noProof w:val="1"/>
          <w:szCs w:val="22"/>
          <w:kern w:val="2"/>
        </w:rPr>
      </w:pPr>
      <w:r>
        <w:fldChar w:fldCharType="begin"/>
      </w:r>
      <w:r>
        <w:instrText xml:space="preserve"> TOC \o "1-2" \h \z \u </w:instrText>
      </w:r>
      <w:r>
        <w:fldChar w:fldCharType="separate"/>
      </w:r>
      <w:hyperlink w:anchor="_Toc151732615">
        <w:r>
          <w:rPr>
            <w:rStyle w:val="C2"/>
            <w:noProof w:val="1"/>
          </w:rPr>
          <w:t>HANDLINGAR</w:t>
        </w:r>
        <w:r>
          <w:rPr>
            <w:noProof w:val="1"/>
          </w:rPr>
          <w:tab/>
        </w:r>
        <w:r>
          <w:rPr>
            <w:noProof w:val="1"/>
          </w:rPr>
          <w:fldChar w:fldCharType="begin"/>
        </w:r>
        <w:r>
          <w:rPr>
            <w:noProof w:val="1"/>
          </w:rPr>
          <w:instrText xml:space="preserve"> PAGEREF _Toc151732615 \h </w:instrText>
        </w:r>
        <w:r>
          <w:rPr>
            <w:noProof w:val="1"/>
          </w:rPr>
          <w:fldChar w:fldCharType="separate"/>
        </w:r>
        <w:r>
          <w:rPr>
            <w:noProof w:val="1"/>
          </w:rPr>
          <w:t>4</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16">
        <w:r>
          <w:rPr>
            <w:rStyle w:val="C2"/>
            <w:noProof w:val="1"/>
          </w:rPr>
          <w:t>Detaljplan</w:t>
        </w:r>
        <w:r>
          <w:rPr>
            <w:noProof w:val="1"/>
          </w:rPr>
          <w:tab/>
        </w:r>
        <w:r>
          <w:rPr>
            <w:noProof w:val="1"/>
          </w:rPr>
          <w:fldChar w:fldCharType="begin"/>
        </w:r>
        <w:r>
          <w:rPr>
            <w:noProof w:val="1"/>
          </w:rPr>
          <w:instrText xml:space="preserve"> PAGEREF _Toc151732616 \h </w:instrText>
        </w:r>
        <w:r>
          <w:rPr>
            <w:noProof w:val="1"/>
          </w:rPr>
          <w:fldChar w:fldCharType="separate"/>
        </w:r>
        <w:r>
          <w:rPr>
            <w:noProof w:val="1"/>
          </w:rPr>
          <w:t>4</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17">
        <w:r>
          <w:rPr>
            <w:rStyle w:val="C2"/>
            <w:noProof w:val="1"/>
          </w:rPr>
          <w:t>Kontaktpersoner</w:t>
        </w:r>
        <w:r>
          <w:rPr>
            <w:noProof w:val="1"/>
          </w:rPr>
          <w:tab/>
        </w:r>
        <w:r>
          <w:rPr>
            <w:noProof w:val="1"/>
          </w:rPr>
          <w:fldChar w:fldCharType="begin"/>
        </w:r>
        <w:r>
          <w:rPr>
            <w:noProof w:val="1"/>
          </w:rPr>
          <w:instrText xml:space="preserve"> PAGEREF _Toc151732617 \h </w:instrText>
        </w:r>
        <w:r>
          <w:rPr>
            <w:noProof w:val="1"/>
          </w:rPr>
          <w:fldChar w:fldCharType="separate"/>
        </w:r>
        <w:r>
          <w:rPr>
            <w:noProof w:val="1"/>
          </w:rPr>
          <w:t>4</w:t>
        </w:r>
        <w:r>
          <w:rPr>
            <w:noProof w:val="1"/>
          </w:rPr>
          <w:fldChar w:fldCharType="end"/>
        </w:r>
      </w:hyperlink>
    </w:p>
    <w:p>
      <w:pPr>
        <w:pStyle w:val="P27"/>
        <w:rPr>
          <w:rFonts w:cstheme="minorBidi" w:eastAsiaTheme="minorEastAsia"/>
          <w:noProof w:val="1"/>
          <w:szCs w:val="22"/>
          <w:kern w:val="2"/>
        </w:rPr>
      </w:pPr>
      <w:hyperlink w:anchor="_Toc151732618">
        <w:r>
          <w:rPr>
            <w:rStyle w:val="C2"/>
            <w:noProof w:val="1"/>
          </w:rPr>
          <w:t>PLANPROCESSEN</w:t>
        </w:r>
        <w:r>
          <w:rPr>
            <w:noProof w:val="1"/>
          </w:rPr>
          <w:tab/>
        </w:r>
        <w:r>
          <w:rPr>
            <w:noProof w:val="1"/>
          </w:rPr>
          <w:fldChar w:fldCharType="begin"/>
        </w:r>
        <w:r>
          <w:rPr>
            <w:noProof w:val="1"/>
          </w:rPr>
          <w:instrText xml:space="preserve"> PAGEREF _Toc151732618 \h </w:instrText>
        </w:r>
        <w:r>
          <w:rPr>
            <w:noProof w:val="1"/>
          </w:rPr>
          <w:fldChar w:fldCharType="separate"/>
        </w:r>
        <w:r>
          <w:rPr>
            <w:noProof w:val="1"/>
          </w:rPr>
          <w:t>4</w:t>
        </w:r>
        <w:r>
          <w:rPr>
            <w:noProof w:val="1"/>
          </w:rPr>
          <w:fldChar w:fldCharType="end"/>
        </w:r>
      </w:hyperlink>
    </w:p>
    <w:p>
      <w:pPr>
        <w:pStyle w:val="P27"/>
        <w:rPr>
          <w:rFonts w:cstheme="minorBidi" w:eastAsiaTheme="minorEastAsia"/>
          <w:noProof w:val="1"/>
          <w:szCs w:val="22"/>
          <w:kern w:val="2"/>
        </w:rPr>
      </w:pPr>
      <w:hyperlink w:anchor="_Toc151732619">
        <w:r>
          <w:rPr>
            <w:rStyle w:val="C2"/>
            <w:noProof w:val="1"/>
          </w:rPr>
          <w:t>PLANBESKRIVNING</w:t>
        </w:r>
        <w:r>
          <w:rPr>
            <w:noProof w:val="1"/>
          </w:rPr>
          <w:tab/>
        </w:r>
        <w:r>
          <w:rPr>
            <w:noProof w:val="1"/>
          </w:rPr>
          <w:fldChar w:fldCharType="begin"/>
        </w:r>
        <w:r>
          <w:rPr>
            <w:noProof w:val="1"/>
          </w:rPr>
          <w:instrText xml:space="preserve"> PAGEREF _Toc151732619 \h </w:instrText>
        </w:r>
        <w:r>
          <w:rPr>
            <w:noProof w:val="1"/>
          </w:rPr>
          <w:fldChar w:fldCharType="separate"/>
        </w:r>
        <w:r>
          <w:rPr>
            <w:noProof w:val="1"/>
          </w:rPr>
          <w:t>6</w:t>
        </w:r>
        <w:r>
          <w:rPr>
            <w:noProof w:val="1"/>
          </w:rPr>
          <w:fldChar w:fldCharType="end"/>
        </w:r>
      </w:hyperlink>
    </w:p>
    <w:p>
      <w:pPr>
        <w:pStyle w:val="P27"/>
        <w:rPr>
          <w:rFonts w:cstheme="minorBidi" w:eastAsiaTheme="minorEastAsia"/>
          <w:noProof w:val="1"/>
          <w:szCs w:val="22"/>
          <w:kern w:val="2"/>
        </w:rPr>
      </w:pPr>
      <w:hyperlink w:anchor="_Toc151732620">
        <w:r>
          <w:rPr>
            <w:rStyle w:val="C2"/>
            <w:noProof w:val="1"/>
          </w:rPr>
          <w:t>PLANENS BAKGRUND OCH SYFTE</w:t>
        </w:r>
        <w:r>
          <w:rPr>
            <w:noProof w:val="1"/>
          </w:rPr>
          <w:tab/>
        </w:r>
        <w:r>
          <w:rPr>
            <w:noProof w:val="1"/>
          </w:rPr>
          <w:fldChar w:fldCharType="begin"/>
        </w:r>
        <w:r>
          <w:rPr>
            <w:noProof w:val="1"/>
          </w:rPr>
          <w:instrText xml:space="preserve"> PAGEREF _Toc151732620 \h </w:instrText>
        </w:r>
        <w:r>
          <w:rPr>
            <w:noProof w:val="1"/>
          </w:rPr>
          <w:fldChar w:fldCharType="separate"/>
        </w:r>
        <w:r>
          <w:rPr>
            <w:noProof w:val="1"/>
          </w:rPr>
          <w:t>6</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21">
        <w:r>
          <w:rPr>
            <w:rStyle w:val="C2"/>
            <w:noProof w:val="1"/>
          </w:rPr>
          <w:t>Bakgrund</w:t>
        </w:r>
        <w:r>
          <w:rPr>
            <w:noProof w:val="1"/>
          </w:rPr>
          <w:tab/>
        </w:r>
        <w:r>
          <w:rPr>
            <w:noProof w:val="1"/>
          </w:rPr>
          <w:fldChar w:fldCharType="begin"/>
        </w:r>
        <w:r>
          <w:rPr>
            <w:noProof w:val="1"/>
          </w:rPr>
          <w:instrText xml:space="preserve"> PAGEREF _Toc151732621 \h </w:instrText>
        </w:r>
        <w:r>
          <w:rPr>
            <w:noProof w:val="1"/>
          </w:rPr>
          <w:fldChar w:fldCharType="separate"/>
        </w:r>
        <w:r>
          <w:rPr>
            <w:noProof w:val="1"/>
          </w:rPr>
          <w:t>6</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22">
        <w:r>
          <w:rPr>
            <w:rStyle w:val="C2"/>
            <w:noProof w:val="1"/>
          </w:rPr>
          <w:t>Syfte</w:t>
        </w:r>
        <w:r>
          <w:rPr>
            <w:noProof w:val="1"/>
          </w:rPr>
          <w:tab/>
        </w:r>
        <w:r>
          <w:rPr>
            <w:noProof w:val="1"/>
          </w:rPr>
          <w:fldChar w:fldCharType="begin"/>
        </w:r>
        <w:r>
          <w:rPr>
            <w:noProof w:val="1"/>
          </w:rPr>
          <w:instrText xml:space="preserve"> PAGEREF _Toc151732622 \h </w:instrText>
        </w:r>
        <w:r>
          <w:rPr>
            <w:noProof w:val="1"/>
          </w:rPr>
          <w:fldChar w:fldCharType="separate"/>
        </w:r>
        <w:r>
          <w:rPr>
            <w:noProof w:val="1"/>
          </w:rPr>
          <w:t>6</w:t>
        </w:r>
        <w:r>
          <w:rPr>
            <w:noProof w:val="1"/>
          </w:rPr>
          <w:fldChar w:fldCharType="end"/>
        </w:r>
      </w:hyperlink>
    </w:p>
    <w:p>
      <w:pPr>
        <w:pStyle w:val="P27"/>
        <w:rPr>
          <w:rFonts w:cstheme="minorBidi" w:eastAsiaTheme="minorEastAsia"/>
          <w:noProof w:val="1"/>
          <w:szCs w:val="22"/>
          <w:kern w:val="2"/>
        </w:rPr>
      </w:pPr>
      <w:hyperlink w:anchor="_Toc151732623">
        <w:r>
          <w:rPr>
            <w:rStyle w:val="C2"/>
            <w:noProof w:val="1"/>
          </w:rPr>
          <w:t>PLANFÖRSLAG</w:t>
        </w:r>
        <w:r>
          <w:rPr>
            <w:noProof w:val="1"/>
          </w:rPr>
          <w:tab/>
        </w:r>
        <w:r>
          <w:rPr>
            <w:noProof w:val="1"/>
          </w:rPr>
          <w:fldChar w:fldCharType="begin"/>
        </w:r>
        <w:r>
          <w:rPr>
            <w:noProof w:val="1"/>
          </w:rPr>
          <w:instrText xml:space="preserve"> PAGEREF _Toc151732623 \h </w:instrText>
        </w:r>
        <w:r>
          <w:rPr>
            <w:noProof w:val="1"/>
          </w:rPr>
          <w:fldChar w:fldCharType="separate"/>
        </w:r>
        <w:r>
          <w:rPr>
            <w:noProof w:val="1"/>
          </w:rPr>
          <w:t>7</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24">
        <w:r>
          <w:rPr>
            <w:rStyle w:val="C2"/>
            <w:noProof w:val="1"/>
          </w:rPr>
          <w:t>Områdesbeskrivning</w:t>
        </w:r>
        <w:r>
          <w:rPr>
            <w:noProof w:val="1"/>
          </w:rPr>
          <w:tab/>
        </w:r>
        <w:r>
          <w:rPr>
            <w:noProof w:val="1"/>
          </w:rPr>
          <w:fldChar w:fldCharType="begin"/>
        </w:r>
        <w:r>
          <w:rPr>
            <w:noProof w:val="1"/>
          </w:rPr>
          <w:instrText xml:space="preserve"> PAGEREF _Toc151732624 \h </w:instrText>
        </w:r>
        <w:r>
          <w:rPr>
            <w:noProof w:val="1"/>
          </w:rPr>
          <w:fldChar w:fldCharType="separate"/>
        </w:r>
        <w:r>
          <w:rPr>
            <w:noProof w:val="1"/>
          </w:rPr>
          <w:t>7</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25">
        <w:r>
          <w:rPr>
            <w:rStyle w:val="C2"/>
            <w:noProof w:val="1"/>
          </w:rPr>
          <w:t>Areal</w:t>
        </w:r>
        <w:r>
          <w:rPr>
            <w:noProof w:val="1"/>
          </w:rPr>
          <w:tab/>
        </w:r>
        <w:r>
          <w:rPr>
            <w:noProof w:val="1"/>
          </w:rPr>
          <w:fldChar w:fldCharType="begin"/>
        </w:r>
        <w:r>
          <w:rPr>
            <w:noProof w:val="1"/>
          </w:rPr>
          <w:instrText xml:space="preserve"> PAGEREF _Toc151732625 \h </w:instrText>
        </w:r>
        <w:r>
          <w:rPr>
            <w:noProof w:val="1"/>
          </w:rPr>
          <w:fldChar w:fldCharType="separate"/>
        </w:r>
        <w:r>
          <w:rPr>
            <w:noProof w:val="1"/>
          </w:rPr>
          <w:t>7</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26">
        <w:r>
          <w:rPr>
            <w:rStyle w:val="C2"/>
            <w:noProof w:val="1"/>
          </w:rPr>
          <w:t>Markägoförhållanden</w:t>
        </w:r>
        <w:r>
          <w:rPr>
            <w:noProof w:val="1"/>
          </w:rPr>
          <w:tab/>
        </w:r>
        <w:r>
          <w:rPr>
            <w:noProof w:val="1"/>
          </w:rPr>
          <w:fldChar w:fldCharType="begin"/>
        </w:r>
        <w:r>
          <w:rPr>
            <w:noProof w:val="1"/>
          </w:rPr>
          <w:instrText xml:space="preserve"> PAGEREF _Toc151732626 \h </w:instrText>
        </w:r>
        <w:r>
          <w:rPr>
            <w:noProof w:val="1"/>
          </w:rPr>
          <w:fldChar w:fldCharType="separate"/>
        </w:r>
        <w:r>
          <w:rPr>
            <w:noProof w:val="1"/>
          </w:rPr>
          <w:t>7</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27">
        <w:r>
          <w:rPr>
            <w:rStyle w:val="C2"/>
            <w:noProof w:val="1"/>
          </w:rPr>
          <w:t>Planerad bebyggelse, mark- och vattenanvändning</w:t>
        </w:r>
        <w:r>
          <w:rPr>
            <w:noProof w:val="1"/>
          </w:rPr>
          <w:tab/>
        </w:r>
        <w:r>
          <w:rPr>
            <w:noProof w:val="1"/>
          </w:rPr>
          <w:fldChar w:fldCharType="begin"/>
        </w:r>
        <w:r>
          <w:rPr>
            <w:noProof w:val="1"/>
          </w:rPr>
          <w:instrText xml:space="preserve"> PAGEREF _Toc151732627 \h </w:instrText>
        </w:r>
        <w:r>
          <w:rPr>
            <w:noProof w:val="1"/>
          </w:rPr>
          <w:fldChar w:fldCharType="separate"/>
        </w:r>
        <w:r>
          <w:rPr>
            <w:noProof w:val="1"/>
          </w:rPr>
          <w:t>8</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28">
        <w:r>
          <w:rPr>
            <w:rStyle w:val="C2"/>
            <w:noProof w:val="1"/>
          </w:rPr>
          <w:t>Naturvärden</w:t>
        </w:r>
        <w:r>
          <w:rPr>
            <w:noProof w:val="1"/>
          </w:rPr>
          <w:tab/>
        </w:r>
        <w:r>
          <w:rPr>
            <w:noProof w:val="1"/>
          </w:rPr>
          <w:fldChar w:fldCharType="begin"/>
        </w:r>
        <w:r>
          <w:rPr>
            <w:noProof w:val="1"/>
          </w:rPr>
          <w:instrText xml:space="preserve"> PAGEREF _Toc151732628 \h </w:instrText>
        </w:r>
        <w:r>
          <w:rPr>
            <w:noProof w:val="1"/>
          </w:rPr>
          <w:fldChar w:fldCharType="separate"/>
        </w:r>
        <w:r>
          <w:rPr>
            <w:noProof w:val="1"/>
          </w:rPr>
          <w:t>9</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29">
        <w:r>
          <w:rPr>
            <w:rStyle w:val="C2"/>
            <w:noProof w:val="1"/>
          </w:rPr>
          <w:t>Plankarta och bestämmelser</w:t>
        </w:r>
        <w:r>
          <w:rPr>
            <w:noProof w:val="1"/>
          </w:rPr>
          <w:tab/>
        </w:r>
        <w:r>
          <w:rPr>
            <w:noProof w:val="1"/>
          </w:rPr>
          <w:fldChar w:fldCharType="begin"/>
        </w:r>
        <w:r>
          <w:rPr>
            <w:noProof w:val="1"/>
          </w:rPr>
          <w:instrText xml:space="preserve"> PAGEREF _Toc151732629 \h </w:instrText>
        </w:r>
        <w:r>
          <w:rPr>
            <w:noProof w:val="1"/>
          </w:rPr>
          <w:fldChar w:fldCharType="separate"/>
        </w:r>
        <w:r>
          <w:rPr>
            <w:noProof w:val="1"/>
          </w:rPr>
          <w:t>10</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30">
        <w:r>
          <w:rPr>
            <w:rStyle w:val="C2"/>
            <w:noProof w:val="1"/>
          </w:rPr>
          <w:t>Allmäna platser med kommunalt huvudmannaskap</w:t>
        </w:r>
        <w:r>
          <w:rPr>
            <w:noProof w:val="1"/>
          </w:rPr>
          <w:tab/>
        </w:r>
        <w:r>
          <w:rPr>
            <w:noProof w:val="1"/>
          </w:rPr>
          <w:fldChar w:fldCharType="begin"/>
        </w:r>
        <w:r>
          <w:rPr>
            <w:noProof w:val="1"/>
          </w:rPr>
          <w:instrText xml:space="preserve"> PAGEREF _Toc151732630 \h </w:instrText>
        </w:r>
        <w:r>
          <w:rPr>
            <w:noProof w:val="1"/>
          </w:rPr>
          <w:fldChar w:fldCharType="separate"/>
        </w:r>
        <w:r>
          <w:rPr>
            <w:noProof w:val="1"/>
          </w:rPr>
          <w:t>11</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31">
        <w:r>
          <w:rPr>
            <w:rStyle w:val="C2"/>
            <w:noProof w:val="1"/>
          </w:rPr>
          <w:t>Kvartersmark</w:t>
        </w:r>
        <w:r>
          <w:rPr>
            <w:noProof w:val="1"/>
          </w:rPr>
          <w:tab/>
        </w:r>
        <w:r>
          <w:rPr>
            <w:noProof w:val="1"/>
          </w:rPr>
          <w:fldChar w:fldCharType="begin"/>
        </w:r>
        <w:r>
          <w:rPr>
            <w:noProof w:val="1"/>
          </w:rPr>
          <w:instrText xml:space="preserve"> PAGEREF _Toc151732631 \h </w:instrText>
        </w:r>
        <w:r>
          <w:rPr>
            <w:noProof w:val="1"/>
          </w:rPr>
          <w:fldChar w:fldCharType="separate"/>
        </w:r>
        <w:r>
          <w:rPr>
            <w:noProof w:val="1"/>
          </w:rPr>
          <w:t>12</w:t>
        </w:r>
        <w:r>
          <w:rPr>
            <w:noProof w:val="1"/>
          </w:rPr>
          <w:fldChar w:fldCharType="end"/>
        </w:r>
      </w:hyperlink>
    </w:p>
    <w:p>
      <w:pPr>
        <w:pStyle w:val="P27"/>
        <w:rPr>
          <w:rFonts w:cstheme="minorBidi" w:eastAsiaTheme="minorEastAsia"/>
          <w:noProof w:val="1"/>
          <w:szCs w:val="22"/>
          <w:kern w:val="2"/>
        </w:rPr>
      </w:pPr>
      <w:hyperlink w:anchor="_Toc151732632">
        <w:r>
          <w:rPr>
            <w:rStyle w:val="C2"/>
            <w:noProof w:val="1"/>
          </w:rPr>
          <w:t>PLANENS FÖRUTSÄTTNINGAR</w:t>
        </w:r>
        <w:r>
          <w:rPr>
            <w:noProof w:val="1"/>
          </w:rPr>
          <w:tab/>
        </w:r>
        <w:r>
          <w:rPr>
            <w:noProof w:val="1"/>
          </w:rPr>
          <w:fldChar w:fldCharType="begin"/>
        </w:r>
        <w:r>
          <w:rPr>
            <w:noProof w:val="1"/>
          </w:rPr>
          <w:instrText xml:space="preserve"> PAGEREF _Toc151732632 \h </w:instrText>
        </w:r>
        <w:r>
          <w:rPr>
            <w:noProof w:val="1"/>
          </w:rPr>
          <w:fldChar w:fldCharType="separate"/>
        </w:r>
        <w:r>
          <w:rPr>
            <w:noProof w:val="1"/>
          </w:rPr>
          <w:t>15</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33">
        <w:r>
          <w:rPr>
            <w:rStyle w:val="C2"/>
            <w:noProof w:val="1"/>
          </w:rPr>
          <w:t>Tidigare ställningstaganden</w:t>
        </w:r>
        <w:r>
          <w:rPr>
            <w:noProof w:val="1"/>
          </w:rPr>
          <w:tab/>
        </w:r>
        <w:r>
          <w:rPr>
            <w:noProof w:val="1"/>
          </w:rPr>
          <w:fldChar w:fldCharType="begin"/>
        </w:r>
        <w:r>
          <w:rPr>
            <w:noProof w:val="1"/>
          </w:rPr>
          <w:instrText xml:space="preserve"> PAGEREF _Toc151732633 \h </w:instrText>
        </w:r>
        <w:r>
          <w:rPr>
            <w:noProof w:val="1"/>
          </w:rPr>
          <w:fldChar w:fldCharType="separate"/>
        </w:r>
        <w:r>
          <w:rPr>
            <w:noProof w:val="1"/>
          </w:rPr>
          <w:t>15</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34">
        <w:r>
          <w:rPr>
            <w:rStyle w:val="C2"/>
            <w:noProof w:val="1"/>
          </w:rPr>
          <w:t>Intressen</w:t>
        </w:r>
        <w:r>
          <w:rPr>
            <w:noProof w:val="1"/>
          </w:rPr>
          <w:tab/>
        </w:r>
        <w:r>
          <w:rPr>
            <w:noProof w:val="1"/>
          </w:rPr>
          <w:fldChar w:fldCharType="begin"/>
        </w:r>
        <w:r>
          <w:rPr>
            <w:noProof w:val="1"/>
          </w:rPr>
          <w:instrText xml:space="preserve"> PAGEREF _Toc151732634 \h </w:instrText>
        </w:r>
        <w:r>
          <w:rPr>
            <w:noProof w:val="1"/>
          </w:rPr>
          <w:fldChar w:fldCharType="separate"/>
        </w:r>
        <w:r>
          <w:rPr>
            <w:noProof w:val="1"/>
          </w:rPr>
          <w:t>18</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35">
        <w:r>
          <w:rPr>
            <w:rStyle w:val="C2"/>
            <w:noProof w:val="1"/>
          </w:rPr>
          <w:t>Bebyggelse</w:t>
        </w:r>
        <w:r>
          <w:rPr>
            <w:noProof w:val="1"/>
          </w:rPr>
          <w:tab/>
        </w:r>
        <w:r>
          <w:rPr>
            <w:noProof w:val="1"/>
          </w:rPr>
          <w:fldChar w:fldCharType="begin"/>
        </w:r>
        <w:r>
          <w:rPr>
            <w:noProof w:val="1"/>
          </w:rPr>
          <w:instrText xml:space="preserve"> PAGEREF _Toc151732635 \h </w:instrText>
        </w:r>
        <w:r>
          <w:rPr>
            <w:noProof w:val="1"/>
          </w:rPr>
          <w:fldChar w:fldCharType="separate"/>
        </w:r>
        <w:r>
          <w:rPr>
            <w:noProof w:val="1"/>
          </w:rPr>
          <w:t>19</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36">
        <w:r>
          <w:rPr>
            <w:rStyle w:val="C2"/>
            <w:noProof w:val="1"/>
          </w:rPr>
          <w:t>Natur, vegetation</w:t>
        </w:r>
        <w:r>
          <w:rPr>
            <w:noProof w:val="1"/>
          </w:rPr>
          <w:tab/>
        </w:r>
        <w:r>
          <w:rPr>
            <w:noProof w:val="1"/>
          </w:rPr>
          <w:fldChar w:fldCharType="begin"/>
        </w:r>
        <w:r>
          <w:rPr>
            <w:noProof w:val="1"/>
          </w:rPr>
          <w:instrText xml:space="preserve"> PAGEREF _Toc151732636 \h </w:instrText>
        </w:r>
        <w:r>
          <w:rPr>
            <w:noProof w:val="1"/>
          </w:rPr>
          <w:fldChar w:fldCharType="separate"/>
        </w:r>
        <w:r>
          <w:rPr>
            <w:noProof w:val="1"/>
          </w:rPr>
          <w:t>19</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37">
        <w:r>
          <w:rPr>
            <w:rStyle w:val="C2"/>
            <w:noProof w:val="1"/>
          </w:rPr>
          <w:t>Offentlig och kommersiell service</w:t>
        </w:r>
        <w:r>
          <w:rPr>
            <w:noProof w:val="1"/>
          </w:rPr>
          <w:tab/>
        </w:r>
        <w:r>
          <w:rPr>
            <w:noProof w:val="1"/>
          </w:rPr>
          <w:fldChar w:fldCharType="begin"/>
        </w:r>
        <w:r>
          <w:rPr>
            <w:noProof w:val="1"/>
          </w:rPr>
          <w:instrText xml:space="preserve"> PAGEREF _Toc151732637 \h </w:instrText>
        </w:r>
        <w:r>
          <w:rPr>
            <w:noProof w:val="1"/>
          </w:rPr>
          <w:fldChar w:fldCharType="separate"/>
        </w:r>
        <w:r>
          <w:rPr>
            <w:noProof w:val="1"/>
          </w:rPr>
          <w:t>20</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38">
        <w:r>
          <w:rPr>
            <w:rStyle w:val="C2"/>
            <w:bCs w:val="1"/>
            <w:noProof w:val="1"/>
          </w:rPr>
          <w:t>Gator och trafik</w:t>
        </w:r>
        <w:r>
          <w:rPr>
            <w:noProof w:val="1"/>
          </w:rPr>
          <w:tab/>
        </w:r>
        <w:r>
          <w:rPr>
            <w:noProof w:val="1"/>
          </w:rPr>
          <w:fldChar w:fldCharType="begin"/>
        </w:r>
        <w:r>
          <w:rPr>
            <w:noProof w:val="1"/>
          </w:rPr>
          <w:instrText xml:space="preserve"> PAGEREF _Toc151732638 \h </w:instrText>
        </w:r>
        <w:r>
          <w:rPr>
            <w:noProof w:val="1"/>
          </w:rPr>
          <w:fldChar w:fldCharType="separate"/>
        </w:r>
        <w:r>
          <w:rPr>
            <w:noProof w:val="1"/>
          </w:rPr>
          <w:t>20</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39">
        <w:r>
          <w:rPr>
            <w:rStyle w:val="C2"/>
            <w:noProof w:val="1"/>
          </w:rPr>
          <w:t>Mark, vegetation, Geoteknik</w:t>
        </w:r>
        <w:r>
          <w:rPr>
            <w:noProof w:val="1"/>
          </w:rPr>
          <w:tab/>
        </w:r>
        <w:r>
          <w:rPr>
            <w:noProof w:val="1"/>
          </w:rPr>
          <w:fldChar w:fldCharType="begin"/>
        </w:r>
        <w:r>
          <w:rPr>
            <w:noProof w:val="1"/>
          </w:rPr>
          <w:instrText xml:space="preserve"> PAGEREF _Toc151732639 \h </w:instrText>
        </w:r>
        <w:r>
          <w:rPr>
            <w:noProof w:val="1"/>
          </w:rPr>
          <w:fldChar w:fldCharType="separate"/>
        </w:r>
        <w:r>
          <w:rPr>
            <w:noProof w:val="1"/>
          </w:rPr>
          <w:t>21</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40">
        <w:r>
          <w:rPr>
            <w:rStyle w:val="C2"/>
            <w:noProof w:val="1"/>
          </w:rPr>
          <w:t>Hälsa och säkerhet</w:t>
        </w:r>
        <w:r>
          <w:rPr>
            <w:noProof w:val="1"/>
          </w:rPr>
          <w:tab/>
        </w:r>
        <w:r>
          <w:rPr>
            <w:noProof w:val="1"/>
          </w:rPr>
          <w:fldChar w:fldCharType="begin"/>
        </w:r>
        <w:r>
          <w:rPr>
            <w:noProof w:val="1"/>
          </w:rPr>
          <w:instrText xml:space="preserve"> PAGEREF _Toc151732640 \h </w:instrText>
        </w:r>
        <w:r>
          <w:rPr>
            <w:noProof w:val="1"/>
          </w:rPr>
          <w:fldChar w:fldCharType="separate"/>
        </w:r>
        <w:r>
          <w:rPr>
            <w:noProof w:val="1"/>
          </w:rPr>
          <w:t>22</w:t>
        </w:r>
        <w:r>
          <w:rPr>
            <w:noProof w:val="1"/>
          </w:rPr>
          <w:fldChar w:fldCharType="end"/>
        </w:r>
      </w:hyperlink>
    </w:p>
    <w:p>
      <w:pPr>
        <w:pStyle w:val="P27"/>
        <w:rPr>
          <w:rFonts w:cstheme="minorBidi" w:eastAsiaTheme="minorEastAsia"/>
          <w:noProof w:val="1"/>
          <w:szCs w:val="22"/>
          <w:kern w:val="2"/>
        </w:rPr>
      </w:pPr>
      <w:hyperlink w:anchor="_Toc151732641">
        <w:r>
          <w:rPr>
            <w:rStyle w:val="C2"/>
            <w:noProof w:val="1"/>
          </w:rPr>
          <w:t>TEKNISK FÖRSÖRJNING</w:t>
        </w:r>
        <w:r>
          <w:rPr>
            <w:noProof w:val="1"/>
          </w:rPr>
          <w:tab/>
        </w:r>
        <w:r>
          <w:rPr>
            <w:noProof w:val="1"/>
          </w:rPr>
          <w:fldChar w:fldCharType="begin"/>
        </w:r>
        <w:r>
          <w:rPr>
            <w:noProof w:val="1"/>
          </w:rPr>
          <w:instrText xml:space="preserve"> PAGEREF _Toc151732641 \h </w:instrText>
        </w:r>
        <w:r>
          <w:rPr>
            <w:noProof w:val="1"/>
          </w:rPr>
          <w:fldChar w:fldCharType="separate"/>
        </w:r>
        <w:r>
          <w:rPr>
            <w:noProof w:val="1"/>
          </w:rPr>
          <w:t>24</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42">
        <w:r>
          <w:rPr>
            <w:rStyle w:val="C2"/>
            <w:bCs w:val="1"/>
            <w:noProof w:val="1"/>
          </w:rPr>
          <w:t>Klimatanpassning</w:t>
        </w:r>
        <w:r>
          <w:rPr>
            <w:noProof w:val="1"/>
          </w:rPr>
          <w:tab/>
        </w:r>
        <w:r>
          <w:rPr>
            <w:noProof w:val="1"/>
          </w:rPr>
          <w:fldChar w:fldCharType="begin"/>
        </w:r>
        <w:r>
          <w:rPr>
            <w:noProof w:val="1"/>
          </w:rPr>
          <w:instrText xml:space="preserve"> PAGEREF _Toc151732642 \h </w:instrText>
        </w:r>
        <w:r>
          <w:rPr>
            <w:noProof w:val="1"/>
          </w:rPr>
          <w:fldChar w:fldCharType="separate"/>
        </w:r>
        <w:r>
          <w:rPr>
            <w:noProof w:val="1"/>
          </w:rPr>
          <w:t>24</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43">
        <w:r>
          <w:rPr>
            <w:rStyle w:val="C2"/>
            <w:noProof w:val="1"/>
          </w:rPr>
          <w:t>Ras, skred, erosion</w:t>
        </w:r>
        <w:r>
          <w:rPr>
            <w:noProof w:val="1"/>
          </w:rPr>
          <w:tab/>
        </w:r>
        <w:r>
          <w:rPr>
            <w:noProof w:val="1"/>
          </w:rPr>
          <w:fldChar w:fldCharType="begin"/>
        </w:r>
        <w:r>
          <w:rPr>
            <w:noProof w:val="1"/>
          </w:rPr>
          <w:instrText xml:space="preserve"> PAGEREF _Toc151732643 \h </w:instrText>
        </w:r>
        <w:r>
          <w:rPr>
            <w:noProof w:val="1"/>
          </w:rPr>
          <w:fldChar w:fldCharType="separate"/>
        </w:r>
        <w:r>
          <w:rPr>
            <w:noProof w:val="1"/>
          </w:rPr>
          <w:t>25</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44">
        <w:r>
          <w:rPr>
            <w:rStyle w:val="C2"/>
            <w:noProof w:val="1"/>
          </w:rPr>
          <w:t>Vatten och avlopp</w:t>
        </w:r>
        <w:r>
          <w:rPr>
            <w:noProof w:val="1"/>
          </w:rPr>
          <w:tab/>
        </w:r>
        <w:r>
          <w:rPr>
            <w:noProof w:val="1"/>
          </w:rPr>
          <w:fldChar w:fldCharType="begin"/>
        </w:r>
        <w:r>
          <w:rPr>
            <w:noProof w:val="1"/>
          </w:rPr>
          <w:instrText xml:space="preserve"> PAGEREF _Toc151732644 \h </w:instrText>
        </w:r>
        <w:r>
          <w:rPr>
            <w:noProof w:val="1"/>
          </w:rPr>
          <w:fldChar w:fldCharType="separate"/>
        </w:r>
        <w:r>
          <w:rPr>
            <w:noProof w:val="1"/>
          </w:rPr>
          <w:t>26</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45">
        <w:r>
          <w:rPr>
            <w:rStyle w:val="C2"/>
            <w:noProof w:val="1"/>
          </w:rPr>
          <w:t>Dagvattenhantering</w:t>
        </w:r>
        <w:r>
          <w:rPr>
            <w:noProof w:val="1"/>
          </w:rPr>
          <w:tab/>
        </w:r>
        <w:r>
          <w:rPr>
            <w:noProof w:val="1"/>
          </w:rPr>
          <w:fldChar w:fldCharType="begin"/>
        </w:r>
        <w:r>
          <w:rPr>
            <w:noProof w:val="1"/>
          </w:rPr>
          <w:instrText xml:space="preserve"> PAGEREF _Toc151732645 \h </w:instrText>
        </w:r>
        <w:r>
          <w:rPr>
            <w:noProof w:val="1"/>
          </w:rPr>
          <w:fldChar w:fldCharType="separate"/>
        </w:r>
        <w:r>
          <w:rPr>
            <w:noProof w:val="1"/>
          </w:rPr>
          <w:t>26</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46">
        <w:r>
          <w:rPr>
            <w:rStyle w:val="C2"/>
            <w:noProof w:val="1"/>
          </w:rPr>
          <w:t>Värme</w:t>
        </w:r>
        <w:r>
          <w:rPr>
            <w:noProof w:val="1"/>
          </w:rPr>
          <w:tab/>
        </w:r>
        <w:r>
          <w:rPr>
            <w:noProof w:val="1"/>
          </w:rPr>
          <w:fldChar w:fldCharType="begin"/>
        </w:r>
        <w:r>
          <w:rPr>
            <w:noProof w:val="1"/>
          </w:rPr>
          <w:instrText xml:space="preserve"> PAGEREF _Toc151732646 \h </w:instrText>
        </w:r>
        <w:r>
          <w:rPr>
            <w:noProof w:val="1"/>
          </w:rPr>
          <w:fldChar w:fldCharType="separate"/>
        </w:r>
        <w:r>
          <w:rPr>
            <w:noProof w:val="1"/>
          </w:rPr>
          <w:t>27</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47">
        <w:r>
          <w:rPr>
            <w:rStyle w:val="C2"/>
            <w:noProof w:val="1"/>
          </w:rPr>
          <w:t>El, tele, fiber</w:t>
        </w:r>
        <w:r>
          <w:rPr>
            <w:noProof w:val="1"/>
          </w:rPr>
          <w:tab/>
        </w:r>
        <w:r>
          <w:rPr>
            <w:noProof w:val="1"/>
          </w:rPr>
          <w:fldChar w:fldCharType="begin"/>
        </w:r>
        <w:r>
          <w:rPr>
            <w:noProof w:val="1"/>
          </w:rPr>
          <w:instrText xml:space="preserve"> PAGEREF _Toc151732647 \h </w:instrText>
        </w:r>
        <w:r>
          <w:rPr>
            <w:noProof w:val="1"/>
          </w:rPr>
          <w:fldChar w:fldCharType="separate"/>
        </w:r>
        <w:r>
          <w:rPr>
            <w:noProof w:val="1"/>
          </w:rPr>
          <w:t>27</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48">
        <w:r>
          <w:rPr>
            <w:rStyle w:val="C2"/>
            <w:noProof w:val="1"/>
          </w:rPr>
          <w:t>Avfall och återvinning</w:t>
        </w:r>
        <w:r>
          <w:rPr>
            <w:noProof w:val="1"/>
          </w:rPr>
          <w:tab/>
        </w:r>
        <w:r>
          <w:rPr>
            <w:noProof w:val="1"/>
          </w:rPr>
          <w:fldChar w:fldCharType="begin"/>
        </w:r>
        <w:r>
          <w:rPr>
            <w:noProof w:val="1"/>
          </w:rPr>
          <w:instrText xml:space="preserve"> PAGEREF _Toc151732648 \h </w:instrText>
        </w:r>
        <w:r>
          <w:rPr>
            <w:noProof w:val="1"/>
          </w:rPr>
          <w:fldChar w:fldCharType="separate"/>
        </w:r>
        <w:r>
          <w:rPr>
            <w:noProof w:val="1"/>
          </w:rPr>
          <w:t>28</w:t>
        </w:r>
        <w:r>
          <w:rPr>
            <w:noProof w:val="1"/>
          </w:rPr>
          <w:fldChar w:fldCharType="end"/>
        </w:r>
      </w:hyperlink>
    </w:p>
    <w:p>
      <w:pPr>
        <w:pStyle w:val="P27"/>
        <w:rPr>
          <w:rFonts w:cstheme="minorBidi" w:eastAsiaTheme="minorEastAsia"/>
          <w:noProof w:val="1"/>
          <w:szCs w:val="22"/>
          <w:kern w:val="2"/>
        </w:rPr>
      </w:pPr>
      <w:hyperlink w:anchor="_Toc151732649">
        <w:r>
          <w:rPr>
            <w:rStyle w:val="C2"/>
            <w:noProof w:val="1"/>
          </w:rPr>
          <w:t>PLANENS KONSEKVENSER</w:t>
        </w:r>
        <w:r>
          <w:rPr>
            <w:noProof w:val="1"/>
          </w:rPr>
          <w:tab/>
        </w:r>
        <w:r>
          <w:rPr>
            <w:noProof w:val="1"/>
          </w:rPr>
          <w:fldChar w:fldCharType="begin"/>
        </w:r>
        <w:r>
          <w:rPr>
            <w:noProof w:val="1"/>
          </w:rPr>
          <w:instrText xml:space="preserve"> PAGEREF _Toc151732649 \h </w:instrText>
        </w:r>
        <w:r>
          <w:rPr>
            <w:noProof w:val="1"/>
          </w:rPr>
          <w:fldChar w:fldCharType="separate"/>
        </w:r>
        <w:r>
          <w:rPr>
            <w:noProof w:val="1"/>
          </w:rPr>
          <w:t>28</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50">
        <w:r>
          <w:rPr>
            <w:rStyle w:val="C2"/>
            <w:noProof w:val="1"/>
          </w:rPr>
          <w:t>Undersökning av betydande miljöpåverkan</w:t>
        </w:r>
        <w:r>
          <w:rPr>
            <w:noProof w:val="1"/>
          </w:rPr>
          <w:tab/>
        </w:r>
        <w:r>
          <w:rPr>
            <w:noProof w:val="1"/>
          </w:rPr>
          <w:fldChar w:fldCharType="begin"/>
        </w:r>
        <w:r>
          <w:rPr>
            <w:noProof w:val="1"/>
          </w:rPr>
          <w:instrText xml:space="preserve"> PAGEREF _Toc151732650 \h </w:instrText>
        </w:r>
        <w:r>
          <w:rPr>
            <w:noProof w:val="1"/>
          </w:rPr>
          <w:fldChar w:fldCharType="separate"/>
        </w:r>
        <w:r>
          <w:rPr>
            <w:noProof w:val="1"/>
          </w:rPr>
          <w:t>28</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51">
        <w:r>
          <w:rPr>
            <w:rStyle w:val="C2"/>
            <w:rFonts w:eastAsiaTheme="majorEastAsia"/>
            <w:noProof w:val="1"/>
          </w:rPr>
          <w:t>Genomförandepåverkan</w:t>
        </w:r>
        <w:r>
          <w:rPr>
            <w:noProof w:val="1"/>
          </w:rPr>
          <w:tab/>
        </w:r>
        <w:r>
          <w:rPr>
            <w:noProof w:val="1"/>
          </w:rPr>
          <w:fldChar w:fldCharType="begin"/>
        </w:r>
        <w:r>
          <w:rPr>
            <w:noProof w:val="1"/>
          </w:rPr>
          <w:instrText xml:space="preserve"> PAGEREF _Toc151732651 \h </w:instrText>
        </w:r>
        <w:r>
          <w:rPr>
            <w:noProof w:val="1"/>
          </w:rPr>
          <w:fldChar w:fldCharType="separate"/>
        </w:r>
        <w:r>
          <w:rPr>
            <w:noProof w:val="1"/>
          </w:rPr>
          <w:t>29</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52">
        <w:r>
          <w:rPr>
            <w:rStyle w:val="C2"/>
            <w:noProof w:val="1"/>
          </w:rPr>
          <w:t>Ställningstagande</w:t>
        </w:r>
        <w:r>
          <w:rPr>
            <w:noProof w:val="1"/>
          </w:rPr>
          <w:tab/>
        </w:r>
        <w:r>
          <w:rPr>
            <w:noProof w:val="1"/>
          </w:rPr>
          <w:fldChar w:fldCharType="begin"/>
        </w:r>
        <w:r>
          <w:rPr>
            <w:noProof w:val="1"/>
          </w:rPr>
          <w:instrText xml:space="preserve"> PAGEREF _Toc151732652 \h </w:instrText>
        </w:r>
        <w:r>
          <w:rPr>
            <w:noProof w:val="1"/>
          </w:rPr>
          <w:fldChar w:fldCharType="separate"/>
        </w:r>
        <w:r>
          <w:rPr>
            <w:noProof w:val="1"/>
          </w:rPr>
          <w:t>30</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53">
        <w:r>
          <w:rPr>
            <w:rStyle w:val="C2"/>
            <w:noProof w:val="1"/>
          </w:rPr>
          <w:t>Miljökonsekvenser</w:t>
        </w:r>
        <w:r>
          <w:rPr>
            <w:noProof w:val="1"/>
          </w:rPr>
          <w:tab/>
        </w:r>
        <w:r>
          <w:rPr>
            <w:noProof w:val="1"/>
          </w:rPr>
          <w:fldChar w:fldCharType="begin"/>
        </w:r>
        <w:r>
          <w:rPr>
            <w:noProof w:val="1"/>
          </w:rPr>
          <w:instrText xml:space="preserve"> PAGEREF _Toc151732653 \h </w:instrText>
        </w:r>
        <w:r>
          <w:rPr>
            <w:noProof w:val="1"/>
          </w:rPr>
          <w:fldChar w:fldCharType="separate"/>
        </w:r>
        <w:r>
          <w:rPr>
            <w:noProof w:val="1"/>
          </w:rPr>
          <w:t>30</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54">
        <w:r>
          <w:rPr>
            <w:rStyle w:val="C2"/>
            <w:rFonts w:eastAsiaTheme="majorEastAsia"/>
            <w:noProof w:val="1"/>
          </w:rPr>
          <w:t>Sociala konsekvenser</w:t>
        </w:r>
        <w:r>
          <w:rPr>
            <w:noProof w:val="1"/>
          </w:rPr>
          <w:tab/>
        </w:r>
        <w:r>
          <w:rPr>
            <w:noProof w:val="1"/>
          </w:rPr>
          <w:fldChar w:fldCharType="begin"/>
        </w:r>
        <w:r>
          <w:rPr>
            <w:noProof w:val="1"/>
          </w:rPr>
          <w:instrText xml:space="preserve"> PAGEREF _Toc151732654 \h </w:instrText>
        </w:r>
        <w:r>
          <w:rPr>
            <w:noProof w:val="1"/>
          </w:rPr>
          <w:fldChar w:fldCharType="separate"/>
        </w:r>
        <w:r>
          <w:rPr>
            <w:noProof w:val="1"/>
          </w:rPr>
          <w:t>31</w:t>
        </w:r>
        <w:r>
          <w:rPr>
            <w:noProof w:val="1"/>
          </w:rPr>
          <w:fldChar w:fldCharType="end"/>
        </w:r>
      </w:hyperlink>
    </w:p>
    <w:p>
      <w:pPr>
        <w:pStyle w:val="P27"/>
        <w:rPr>
          <w:rFonts w:cstheme="minorBidi" w:eastAsiaTheme="minorEastAsia"/>
          <w:noProof w:val="1"/>
          <w:szCs w:val="22"/>
          <w:kern w:val="2"/>
        </w:rPr>
      </w:pPr>
      <w:hyperlink w:anchor="_Toc151732655">
        <w:r>
          <w:rPr>
            <w:rStyle w:val="C2"/>
            <w:noProof w:val="1"/>
          </w:rPr>
          <w:t>GENOMFÖRANDEBESKRIVNING</w:t>
        </w:r>
        <w:r>
          <w:rPr>
            <w:noProof w:val="1"/>
          </w:rPr>
          <w:tab/>
        </w:r>
        <w:r>
          <w:rPr>
            <w:noProof w:val="1"/>
          </w:rPr>
          <w:fldChar w:fldCharType="begin"/>
        </w:r>
        <w:r>
          <w:rPr>
            <w:noProof w:val="1"/>
          </w:rPr>
          <w:instrText xml:space="preserve"> PAGEREF _Toc151732655 \h </w:instrText>
        </w:r>
        <w:r>
          <w:rPr>
            <w:noProof w:val="1"/>
          </w:rPr>
          <w:fldChar w:fldCharType="separate"/>
        </w:r>
        <w:r>
          <w:rPr>
            <w:noProof w:val="1"/>
          </w:rPr>
          <w:t>33</w:t>
        </w:r>
        <w:r>
          <w:rPr>
            <w:noProof w:val="1"/>
          </w:rPr>
          <w:fldChar w:fldCharType="end"/>
        </w:r>
      </w:hyperlink>
    </w:p>
    <w:p>
      <w:pPr>
        <w:pStyle w:val="P27"/>
        <w:rPr>
          <w:rFonts w:cstheme="minorBidi" w:eastAsiaTheme="minorEastAsia"/>
          <w:noProof w:val="1"/>
          <w:szCs w:val="22"/>
          <w:kern w:val="2"/>
        </w:rPr>
      </w:pPr>
      <w:hyperlink w:anchor="_Toc151732656">
        <w:r>
          <w:rPr>
            <w:rStyle w:val="C2"/>
            <w:noProof w:val="1"/>
          </w:rPr>
          <w:t>ORGANISATORISKA FRÅGOR</w:t>
        </w:r>
        <w:r>
          <w:rPr>
            <w:noProof w:val="1"/>
          </w:rPr>
          <w:tab/>
        </w:r>
        <w:r>
          <w:rPr>
            <w:noProof w:val="1"/>
          </w:rPr>
          <w:fldChar w:fldCharType="begin"/>
        </w:r>
        <w:r>
          <w:rPr>
            <w:noProof w:val="1"/>
          </w:rPr>
          <w:instrText xml:space="preserve"> PAGEREF _Toc151732656 \h </w:instrText>
        </w:r>
        <w:r>
          <w:rPr>
            <w:noProof w:val="1"/>
          </w:rPr>
          <w:fldChar w:fldCharType="separate"/>
        </w:r>
        <w:r>
          <w:rPr>
            <w:noProof w:val="1"/>
          </w:rPr>
          <w:t>33</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57">
        <w:r>
          <w:rPr>
            <w:rStyle w:val="C2"/>
            <w:noProof w:val="1"/>
          </w:rPr>
          <w:t>Planförfarande</w:t>
        </w:r>
        <w:r>
          <w:rPr>
            <w:noProof w:val="1"/>
          </w:rPr>
          <w:tab/>
        </w:r>
        <w:r>
          <w:rPr>
            <w:noProof w:val="1"/>
          </w:rPr>
          <w:fldChar w:fldCharType="begin"/>
        </w:r>
        <w:r>
          <w:rPr>
            <w:noProof w:val="1"/>
          </w:rPr>
          <w:instrText xml:space="preserve"> PAGEREF _Toc151732657 \h </w:instrText>
        </w:r>
        <w:r>
          <w:rPr>
            <w:noProof w:val="1"/>
          </w:rPr>
          <w:fldChar w:fldCharType="separate"/>
        </w:r>
        <w:r>
          <w:rPr>
            <w:noProof w:val="1"/>
          </w:rPr>
          <w:t>33</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58">
        <w:r>
          <w:rPr>
            <w:rStyle w:val="C2"/>
            <w:noProof w:val="1"/>
          </w:rPr>
          <w:t>Tidplan</w:t>
        </w:r>
        <w:r>
          <w:rPr>
            <w:noProof w:val="1"/>
          </w:rPr>
          <w:tab/>
        </w:r>
        <w:r>
          <w:rPr>
            <w:noProof w:val="1"/>
          </w:rPr>
          <w:fldChar w:fldCharType="begin"/>
        </w:r>
        <w:r>
          <w:rPr>
            <w:noProof w:val="1"/>
          </w:rPr>
          <w:instrText xml:space="preserve"> PAGEREF _Toc151732658 \h </w:instrText>
        </w:r>
        <w:r>
          <w:rPr>
            <w:noProof w:val="1"/>
          </w:rPr>
          <w:fldChar w:fldCharType="separate"/>
        </w:r>
        <w:r>
          <w:rPr>
            <w:noProof w:val="1"/>
          </w:rPr>
          <w:t>33</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59">
        <w:r>
          <w:rPr>
            <w:rStyle w:val="C2"/>
            <w:noProof w:val="1"/>
          </w:rPr>
          <w:t>Genomförandetid</w:t>
        </w:r>
        <w:r>
          <w:rPr>
            <w:noProof w:val="1"/>
          </w:rPr>
          <w:tab/>
        </w:r>
        <w:r>
          <w:rPr>
            <w:noProof w:val="1"/>
          </w:rPr>
          <w:fldChar w:fldCharType="begin"/>
        </w:r>
        <w:r>
          <w:rPr>
            <w:noProof w:val="1"/>
          </w:rPr>
          <w:instrText xml:space="preserve"> PAGEREF _Toc151732659 \h </w:instrText>
        </w:r>
        <w:r>
          <w:rPr>
            <w:noProof w:val="1"/>
          </w:rPr>
          <w:fldChar w:fldCharType="separate"/>
        </w:r>
        <w:r>
          <w:rPr>
            <w:noProof w:val="1"/>
          </w:rPr>
          <w:t>33</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60">
        <w:r>
          <w:rPr>
            <w:rStyle w:val="C2"/>
            <w:noProof w:val="1"/>
          </w:rPr>
          <w:t>Ansvarsfördelning, huvudmannaskap</w:t>
        </w:r>
        <w:r>
          <w:rPr>
            <w:noProof w:val="1"/>
          </w:rPr>
          <w:tab/>
        </w:r>
        <w:r>
          <w:rPr>
            <w:noProof w:val="1"/>
          </w:rPr>
          <w:fldChar w:fldCharType="begin"/>
        </w:r>
        <w:r>
          <w:rPr>
            <w:noProof w:val="1"/>
          </w:rPr>
          <w:instrText xml:space="preserve"> PAGEREF _Toc151732660 \h </w:instrText>
        </w:r>
        <w:r>
          <w:rPr>
            <w:noProof w:val="1"/>
          </w:rPr>
          <w:fldChar w:fldCharType="separate"/>
        </w:r>
        <w:r>
          <w:rPr>
            <w:noProof w:val="1"/>
          </w:rPr>
          <w:t>33</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61">
        <w:r>
          <w:rPr>
            <w:rStyle w:val="C2"/>
            <w:noProof w:val="1"/>
          </w:rPr>
          <w:t>Avtal m.m.</w:t>
        </w:r>
        <w:r>
          <w:rPr>
            <w:noProof w:val="1"/>
          </w:rPr>
          <w:tab/>
        </w:r>
        <w:r>
          <w:rPr>
            <w:noProof w:val="1"/>
          </w:rPr>
          <w:fldChar w:fldCharType="begin"/>
        </w:r>
        <w:r>
          <w:rPr>
            <w:noProof w:val="1"/>
          </w:rPr>
          <w:instrText xml:space="preserve"> PAGEREF _Toc151732661 \h </w:instrText>
        </w:r>
        <w:r>
          <w:rPr>
            <w:noProof w:val="1"/>
          </w:rPr>
          <w:fldChar w:fldCharType="separate"/>
        </w:r>
        <w:r>
          <w:rPr>
            <w:noProof w:val="1"/>
          </w:rPr>
          <w:t>34</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62">
        <w:r>
          <w:rPr>
            <w:rStyle w:val="C2"/>
            <w:noProof w:val="1"/>
          </w:rPr>
          <w:t>Gatunamn</w:t>
        </w:r>
        <w:r>
          <w:rPr>
            <w:noProof w:val="1"/>
          </w:rPr>
          <w:tab/>
        </w:r>
        <w:r>
          <w:rPr>
            <w:noProof w:val="1"/>
          </w:rPr>
          <w:fldChar w:fldCharType="begin"/>
        </w:r>
        <w:r>
          <w:rPr>
            <w:noProof w:val="1"/>
          </w:rPr>
          <w:instrText xml:space="preserve"> PAGEREF _Toc151732662 \h </w:instrText>
        </w:r>
        <w:r>
          <w:rPr>
            <w:noProof w:val="1"/>
          </w:rPr>
          <w:fldChar w:fldCharType="separate"/>
        </w:r>
        <w:r>
          <w:rPr>
            <w:noProof w:val="1"/>
          </w:rPr>
          <w:t>34</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63">
        <w:r>
          <w:rPr>
            <w:rStyle w:val="C2"/>
            <w:noProof w:val="1"/>
          </w:rPr>
          <w:t>Kvartersnamn</w:t>
        </w:r>
        <w:r>
          <w:rPr>
            <w:noProof w:val="1"/>
          </w:rPr>
          <w:tab/>
        </w:r>
        <w:r>
          <w:rPr>
            <w:noProof w:val="1"/>
          </w:rPr>
          <w:fldChar w:fldCharType="begin"/>
        </w:r>
        <w:r>
          <w:rPr>
            <w:noProof w:val="1"/>
          </w:rPr>
          <w:instrText xml:space="preserve"> PAGEREF _Toc151732663 \h </w:instrText>
        </w:r>
        <w:r>
          <w:rPr>
            <w:noProof w:val="1"/>
          </w:rPr>
          <w:fldChar w:fldCharType="separate"/>
        </w:r>
        <w:r>
          <w:rPr>
            <w:noProof w:val="1"/>
          </w:rPr>
          <w:t>34</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64">
        <w:r>
          <w:rPr>
            <w:rStyle w:val="C2"/>
            <w:noProof w:val="1"/>
          </w:rPr>
          <w:t>Markreservat</w:t>
        </w:r>
        <w:r>
          <w:rPr>
            <w:noProof w:val="1"/>
          </w:rPr>
          <w:tab/>
        </w:r>
        <w:r>
          <w:rPr>
            <w:noProof w:val="1"/>
          </w:rPr>
          <w:fldChar w:fldCharType="begin"/>
        </w:r>
        <w:r>
          <w:rPr>
            <w:noProof w:val="1"/>
          </w:rPr>
          <w:instrText xml:space="preserve"> PAGEREF _Toc151732664 \h </w:instrText>
        </w:r>
        <w:r>
          <w:rPr>
            <w:noProof w:val="1"/>
          </w:rPr>
          <w:fldChar w:fldCharType="separate"/>
        </w:r>
        <w:r>
          <w:rPr>
            <w:noProof w:val="1"/>
          </w:rPr>
          <w:t>34</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65">
        <w:r>
          <w:rPr>
            <w:rStyle w:val="C2"/>
            <w:noProof w:val="1"/>
          </w:rPr>
          <w:t>Strandskydd</w:t>
        </w:r>
        <w:r>
          <w:rPr>
            <w:noProof w:val="1"/>
          </w:rPr>
          <w:tab/>
        </w:r>
        <w:r>
          <w:rPr>
            <w:noProof w:val="1"/>
          </w:rPr>
          <w:fldChar w:fldCharType="begin"/>
        </w:r>
        <w:r>
          <w:rPr>
            <w:noProof w:val="1"/>
          </w:rPr>
          <w:instrText xml:space="preserve"> PAGEREF _Toc151732665 \h </w:instrText>
        </w:r>
        <w:r>
          <w:rPr>
            <w:noProof w:val="1"/>
          </w:rPr>
          <w:fldChar w:fldCharType="separate"/>
        </w:r>
        <w:r>
          <w:rPr>
            <w:noProof w:val="1"/>
          </w:rPr>
          <w:t>34</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66">
        <w:r>
          <w:rPr>
            <w:rStyle w:val="C2"/>
            <w:noProof w:val="1"/>
          </w:rPr>
          <w:t>Upphävande av planer</w:t>
        </w:r>
        <w:r>
          <w:rPr>
            <w:noProof w:val="1"/>
          </w:rPr>
          <w:tab/>
        </w:r>
        <w:r>
          <w:rPr>
            <w:noProof w:val="1"/>
          </w:rPr>
          <w:fldChar w:fldCharType="begin"/>
        </w:r>
        <w:r>
          <w:rPr>
            <w:noProof w:val="1"/>
          </w:rPr>
          <w:instrText xml:space="preserve"> PAGEREF _Toc151732666 \h </w:instrText>
        </w:r>
        <w:r>
          <w:rPr>
            <w:noProof w:val="1"/>
          </w:rPr>
          <w:fldChar w:fldCharType="separate"/>
        </w:r>
        <w:r>
          <w:rPr>
            <w:noProof w:val="1"/>
          </w:rPr>
          <w:t>34</w:t>
        </w:r>
        <w:r>
          <w:rPr>
            <w:noProof w:val="1"/>
          </w:rPr>
          <w:fldChar w:fldCharType="end"/>
        </w:r>
      </w:hyperlink>
    </w:p>
    <w:p>
      <w:pPr>
        <w:pStyle w:val="P27"/>
        <w:rPr>
          <w:rFonts w:cstheme="minorBidi" w:eastAsiaTheme="minorEastAsia"/>
          <w:noProof w:val="1"/>
          <w:szCs w:val="22"/>
          <w:kern w:val="2"/>
        </w:rPr>
      </w:pPr>
      <w:hyperlink w:anchor="_Toc151732667">
        <w:r>
          <w:rPr>
            <w:rStyle w:val="C2"/>
            <w:noProof w:val="1"/>
          </w:rPr>
          <w:t>FASTIGHETSRÄTTSLIGA FRÅGOR</w:t>
        </w:r>
        <w:r>
          <w:rPr>
            <w:noProof w:val="1"/>
          </w:rPr>
          <w:tab/>
        </w:r>
        <w:r>
          <w:rPr>
            <w:noProof w:val="1"/>
          </w:rPr>
          <w:fldChar w:fldCharType="begin"/>
        </w:r>
        <w:r>
          <w:rPr>
            <w:noProof w:val="1"/>
          </w:rPr>
          <w:instrText xml:space="preserve"> PAGEREF _Toc151732667 \h </w:instrText>
        </w:r>
        <w:r>
          <w:rPr>
            <w:noProof w:val="1"/>
          </w:rPr>
          <w:fldChar w:fldCharType="separate"/>
        </w:r>
        <w:r>
          <w:rPr>
            <w:noProof w:val="1"/>
          </w:rPr>
          <w:t>35</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68">
        <w:r>
          <w:rPr>
            <w:rStyle w:val="C2"/>
            <w:noProof w:val="1"/>
          </w:rPr>
          <w:t>Fastighetsbildning</w:t>
        </w:r>
        <w:r>
          <w:rPr>
            <w:noProof w:val="1"/>
          </w:rPr>
          <w:tab/>
        </w:r>
        <w:r>
          <w:rPr>
            <w:noProof w:val="1"/>
          </w:rPr>
          <w:fldChar w:fldCharType="begin"/>
        </w:r>
        <w:r>
          <w:rPr>
            <w:noProof w:val="1"/>
          </w:rPr>
          <w:instrText xml:space="preserve"> PAGEREF _Toc151732668 \h </w:instrText>
        </w:r>
        <w:r>
          <w:rPr>
            <w:noProof w:val="1"/>
          </w:rPr>
          <w:fldChar w:fldCharType="separate"/>
        </w:r>
        <w:r>
          <w:rPr>
            <w:noProof w:val="1"/>
          </w:rPr>
          <w:t>35</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69">
        <w:r>
          <w:rPr>
            <w:rStyle w:val="C2"/>
            <w:noProof w:val="1"/>
          </w:rPr>
          <w:t>Servitut</w:t>
        </w:r>
        <w:r>
          <w:rPr>
            <w:noProof w:val="1"/>
          </w:rPr>
          <w:tab/>
        </w:r>
        <w:r>
          <w:rPr>
            <w:noProof w:val="1"/>
          </w:rPr>
          <w:fldChar w:fldCharType="begin"/>
        </w:r>
        <w:r>
          <w:rPr>
            <w:noProof w:val="1"/>
          </w:rPr>
          <w:instrText xml:space="preserve"> PAGEREF _Toc151732669 \h </w:instrText>
        </w:r>
        <w:r>
          <w:rPr>
            <w:noProof w:val="1"/>
          </w:rPr>
          <w:fldChar w:fldCharType="separate"/>
        </w:r>
        <w:r>
          <w:rPr>
            <w:noProof w:val="1"/>
          </w:rPr>
          <w:t>36</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70">
        <w:r>
          <w:rPr>
            <w:rStyle w:val="C2"/>
            <w:noProof w:val="1"/>
          </w:rPr>
          <w:t>Ledningsrätt</w:t>
        </w:r>
        <w:r>
          <w:rPr>
            <w:noProof w:val="1"/>
          </w:rPr>
          <w:tab/>
        </w:r>
        <w:r>
          <w:rPr>
            <w:noProof w:val="1"/>
          </w:rPr>
          <w:fldChar w:fldCharType="begin"/>
        </w:r>
        <w:r>
          <w:rPr>
            <w:noProof w:val="1"/>
          </w:rPr>
          <w:instrText xml:space="preserve"> PAGEREF _Toc151732670 \h </w:instrText>
        </w:r>
        <w:r>
          <w:rPr>
            <w:noProof w:val="1"/>
          </w:rPr>
          <w:fldChar w:fldCharType="separate"/>
        </w:r>
        <w:r>
          <w:rPr>
            <w:noProof w:val="1"/>
          </w:rPr>
          <w:t>37</w:t>
        </w:r>
        <w:r>
          <w:rPr>
            <w:noProof w:val="1"/>
          </w:rPr>
          <w:fldChar w:fldCharType="end"/>
        </w:r>
      </w:hyperlink>
    </w:p>
    <w:p>
      <w:pPr>
        <w:pStyle w:val="P27"/>
        <w:rPr>
          <w:rFonts w:cstheme="minorBidi" w:eastAsiaTheme="minorEastAsia"/>
          <w:noProof w:val="1"/>
          <w:szCs w:val="22"/>
          <w:kern w:val="2"/>
        </w:rPr>
      </w:pPr>
      <w:hyperlink w:anchor="_Toc151732671">
        <w:r>
          <w:rPr>
            <w:rStyle w:val="C2"/>
            <w:noProof w:val="1"/>
          </w:rPr>
          <w:t>TEKNISKA FRÅGOR</w:t>
        </w:r>
        <w:r>
          <w:rPr>
            <w:noProof w:val="1"/>
          </w:rPr>
          <w:tab/>
        </w:r>
        <w:r>
          <w:rPr>
            <w:noProof w:val="1"/>
          </w:rPr>
          <w:fldChar w:fldCharType="begin"/>
        </w:r>
        <w:r>
          <w:rPr>
            <w:noProof w:val="1"/>
          </w:rPr>
          <w:instrText xml:space="preserve"> PAGEREF _Toc151732671 \h </w:instrText>
        </w:r>
        <w:r>
          <w:rPr>
            <w:noProof w:val="1"/>
          </w:rPr>
          <w:fldChar w:fldCharType="separate"/>
        </w:r>
        <w:r>
          <w:rPr>
            <w:noProof w:val="1"/>
          </w:rPr>
          <w:t>37</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72">
        <w:r>
          <w:rPr>
            <w:rStyle w:val="C2"/>
            <w:noProof w:val="1"/>
          </w:rPr>
          <w:t>Teknisk försörjning</w:t>
        </w:r>
        <w:r>
          <w:rPr>
            <w:noProof w:val="1"/>
          </w:rPr>
          <w:tab/>
        </w:r>
        <w:r>
          <w:rPr>
            <w:noProof w:val="1"/>
          </w:rPr>
          <w:fldChar w:fldCharType="begin"/>
        </w:r>
        <w:r>
          <w:rPr>
            <w:noProof w:val="1"/>
          </w:rPr>
          <w:instrText xml:space="preserve"> PAGEREF _Toc151732672 \h </w:instrText>
        </w:r>
        <w:r>
          <w:rPr>
            <w:noProof w:val="1"/>
          </w:rPr>
          <w:fldChar w:fldCharType="separate"/>
        </w:r>
        <w:r>
          <w:rPr>
            <w:noProof w:val="1"/>
          </w:rPr>
          <w:t>37</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73">
        <w:r>
          <w:rPr>
            <w:rStyle w:val="C2"/>
            <w:noProof w:val="1"/>
          </w:rPr>
          <w:t>Ledningsflytt</w:t>
        </w:r>
        <w:r>
          <w:rPr>
            <w:noProof w:val="1"/>
          </w:rPr>
          <w:tab/>
        </w:r>
        <w:r>
          <w:rPr>
            <w:noProof w:val="1"/>
          </w:rPr>
          <w:fldChar w:fldCharType="begin"/>
        </w:r>
        <w:r>
          <w:rPr>
            <w:noProof w:val="1"/>
          </w:rPr>
          <w:instrText xml:space="preserve"> PAGEREF _Toc151732673 \h </w:instrText>
        </w:r>
        <w:r>
          <w:rPr>
            <w:noProof w:val="1"/>
          </w:rPr>
          <w:fldChar w:fldCharType="separate"/>
        </w:r>
        <w:r>
          <w:rPr>
            <w:noProof w:val="1"/>
          </w:rPr>
          <w:t>37</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74">
        <w:r>
          <w:rPr>
            <w:rStyle w:val="C2"/>
            <w:noProof w:val="1"/>
          </w:rPr>
          <w:t>Buller</w:t>
        </w:r>
        <w:r>
          <w:rPr>
            <w:noProof w:val="1"/>
          </w:rPr>
          <w:tab/>
        </w:r>
        <w:r>
          <w:rPr>
            <w:noProof w:val="1"/>
          </w:rPr>
          <w:fldChar w:fldCharType="begin"/>
        </w:r>
        <w:r>
          <w:rPr>
            <w:noProof w:val="1"/>
          </w:rPr>
          <w:instrText xml:space="preserve"> PAGEREF _Toc151732674 \h </w:instrText>
        </w:r>
        <w:r>
          <w:rPr>
            <w:noProof w:val="1"/>
          </w:rPr>
          <w:fldChar w:fldCharType="separate"/>
        </w:r>
        <w:r>
          <w:rPr>
            <w:noProof w:val="1"/>
          </w:rPr>
          <w:t>37</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75">
        <w:r>
          <w:rPr>
            <w:rStyle w:val="C2"/>
            <w:noProof w:val="1"/>
          </w:rPr>
          <w:t>Brandskydd</w:t>
        </w:r>
        <w:r>
          <w:rPr>
            <w:noProof w:val="1"/>
          </w:rPr>
          <w:tab/>
        </w:r>
        <w:r>
          <w:rPr>
            <w:noProof w:val="1"/>
          </w:rPr>
          <w:fldChar w:fldCharType="begin"/>
        </w:r>
        <w:r>
          <w:rPr>
            <w:noProof w:val="1"/>
          </w:rPr>
          <w:instrText xml:space="preserve"> PAGEREF _Toc151732675 \h </w:instrText>
        </w:r>
        <w:r>
          <w:rPr>
            <w:noProof w:val="1"/>
          </w:rPr>
          <w:fldChar w:fldCharType="separate"/>
        </w:r>
        <w:r>
          <w:rPr>
            <w:noProof w:val="1"/>
          </w:rPr>
          <w:t>37</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76">
        <w:r>
          <w:rPr>
            <w:rStyle w:val="C2"/>
            <w:noProof w:val="1"/>
          </w:rPr>
          <w:t>Geoteknik</w:t>
        </w:r>
        <w:r>
          <w:rPr>
            <w:noProof w:val="1"/>
          </w:rPr>
          <w:tab/>
        </w:r>
        <w:r>
          <w:rPr>
            <w:noProof w:val="1"/>
          </w:rPr>
          <w:fldChar w:fldCharType="begin"/>
        </w:r>
        <w:r>
          <w:rPr>
            <w:noProof w:val="1"/>
          </w:rPr>
          <w:instrText xml:space="preserve"> PAGEREF _Toc151732676 \h </w:instrText>
        </w:r>
        <w:r>
          <w:rPr>
            <w:noProof w:val="1"/>
          </w:rPr>
          <w:fldChar w:fldCharType="separate"/>
        </w:r>
        <w:r>
          <w:rPr>
            <w:noProof w:val="1"/>
          </w:rPr>
          <w:t>37</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77">
        <w:r>
          <w:rPr>
            <w:rStyle w:val="C2"/>
            <w:noProof w:val="1"/>
          </w:rPr>
          <w:t>Förorenad mark</w:t>
        </w:r>
        <w:r>
          <w:rPr>
            <w:noProof w:val="1"/>
          </w:rPr>
          <w:tab/>
        </w:r>
        <w:r>
          <w:rPr>
            <w:noProof w:val="1"/>
          </w:rPr>
          <w:fldChar w:fldCharType="begin"/>
        </w:r>
        <w:r>
          <w:rPr>
            <w:noProof w:val="1"/>
          </w:rPr>
          <w:instrText xml:space="preserve"> PAGEREF _Toc151732677 \h </w:instrText>
        </w:r>
        <w:r>
          <w:rPr>
            <w:noProof w:val="1"/>
          </w:rPr>
          <w:fldChar w:fldCharType="separate"/>
        </w:r>
        <w:r>
          <w:rPr>
            <w:noProof w:val="1"/>
          </w:rPr>
          <w:t>37</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78">
        <w:r>
          <w:rPr>
            <w:rStyle w:val="C2"/>
            <w:noProof w:val="1"/>
          </w:rPr>
          <w:t>Radon</w:t>
        </w:r>
        <w:r>
          <w:rPr>
            <w:noProof w:val="1"/>
          </w:rPr>
          <w:tab/>
        </w:r>
        <w:r>
          <w:rPr>
            <w:noProof w:val="1"/>
          </w:rPr>
          <w:fldChar w:fldCharType="begin"/>
        </w:r>
        <w:r>
          <w:rPr>
            <w:noProof w:val="1"/>
          </w:rPr>
          <w:instrText xml:space="preserve"> PAGEREF _Toc151732678 \h </w:instrText>
        </w:r>
        <w:r>
          <w:rPr>
            <w:noProof w:val="1"/>
          </w:rPr>
          <w:fldChar w:fldCharType="separate"/>
        </w:r>
        <w:r>
          <w:rPr>
            <w:noProof w:val="1"/>
          </w:rPr>
          <w:t>38</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79">
        <w:r>
          <w:rPr>
            <w:rStyle w:val="C2"/>
            <w:rFonts w:eastAsia="Calibri"/>
            <w:noProof w:val="1"/>
          </w:rPr>
          <w:t>Gator, parkering</w:t>
        </w:r>
        <w:r>
          <w:rPr>
            <w:noProof w:val="1"/>
          </w:rPr>
          <w:tab/>
        </w:r>
        <w:r>
          <w:rPr>
            <w:noProof w:val="1"/>
          </w:rPr>
          <w:fldChar w:fldCharType="begin"/>
        </w:r>
        <w:r>
          <w:rPr>
            <w:noProof w:val="1"/>
          </w:rPr>
          <w:instrText xml:space="preserve"> PAGEREF _Toc151732679 \h </w:instrText>
        </w:r>
        <w:r>
          <w:rPr>
            <w:noProof w:val="1"/>
          </w:rPr>
          <w:fldChar w:fldCharType="separate"/>
        </w:r>
        <w:r>
          <w:rPr>
            <w:noProof w:val="1"/>
          </w:rPr>
          <w:t>39</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80">
        <w:r>
          <w:rPr>
            <w:rStyle w:val="C2"/>
            <w:noProof w:val="1"/>
          </w:rPr>
          <w:t>Arkeologi</w:t>
        </w:r>
        <w:r>
          <w:rPr>
            <w:noProof w:val="1"/>
          </w:rPr>
          <w:tab/>
        </w:r>
        <w:r>
          <w:rPr>
            <w:noProof w:val="1"/>
          </w:rPr>
          <w:fldChar w:fldCharType="begin"/>
        </w:r>
        <w:r>
          <w:rPr>
            <w:noProof w:val="1"/>
          </w:rPr>
          <w:instrText xml:space="preserve"> PAGEREF _Toc151732680 \h </w:instrText>
        </w:r>
        <w:r>
          <w:rPr>
            <w:noProof w:val="1"/>
          </w:rPr>
          <w:fldChar w:fldCharType="separate"/>
        </w:r>
        <w:r>
          <w:rPr>
            <w:noProof w:val="1"/>
          </w:rPr>
          <w:t>39</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81">
        <w:r>
          <w:rPr>
            <w:rStyle w:val="C2"/>
            <w:noProof w:val="1"/>
          </w:rPr>
          <w:t>Tekniska utredningar</w:t>
        </w:r>
        <w:r>
          <w:rPr>
            <w:noProof w:val="1"/>
          </w:rPr>
          <w:tab/>
        </w:r>
        <w:r>
          <w:rPr>
            <w:noProof w:val="1"/>
          </w:rPr>
          <w:fldChar w:fldCharType="begin"/>
        </w:r>
        <w:r>
          <w:rPr>
            <w:noProof w:val="1"/>
          </w:rPr>
          <w:instrText xml:space="preserve"> PAGEREF _Toc151732681 \h </w:instrText>
        </w:r>
        <w:r>
          <w:rPr>
            <w:noProof w:val="1"/>
          </w:rPr>
          <w:fldChar w:fldCharType="separate"/>
        </w:r>
        <w:r>
          <w:rPr>
            <w:noProof w:val="1"/>
          </w:rPr>
          <w:t>39</w:t>
        </w:r>
        <w:r>
          <w:rPr>
            <w:noProof w:val="1"/>
          </w:rPr>
          <w:fldChar w:fldCharType="end"/>
        </w:r>
      </w:hyperlink>
    </w:p>
    <w:p>
      <w:pPr>
        <w:pStyle w:val="P27"/>
        <w:rPr>
          <w:rFonts w:cstheme="minorBidi" w:eastAsiaTheme="minorEastAsia"/>
          <w:noProof w:val="1"/>
          <w:szCs w:val="22"/>
          <w:kern w:val="2"/>
        </w:rPr>
      </w:pPr>
      <w:hyperlink w:anchor="_Toc151732682">
        <w:r>
          <w:rPr>
            <w:rStyle w:val="C2"/>
            <w:noProof w:val="1"/>
          </w:rPr>
          <w:t>EKONOMISKA FRÅGOR</w:t>
        </w:r>
        <w:r>
          <w:rPr>
            <w:noProof w:val="1"/>
          </w:rPr>
          <w:tab/>
        </w:r>
        <w:r>
          <w:rPr>
            <w:noProof w:val="1"/>
          </w:rPr>
          <w:fldChar w:fldCharType="begin"/>
        </w:r>
        <w:r>
          <w:rPr>
            <w:noProof w:val="1"/>
          </w:rPr>
          <w:instrText xml:space="preserve"> PAGEREF _Toc151732682 \h </w:instrText>
        </w:r>
        <w:r>
          <w:rPr>
            <w:noProof w:val="1"/>
          </w:rPr>
          <w:fldChar w:fldCharType="separate"/>
        </w:r>
        <w:r>
          <w:rPr>
            <w:noProof w:val="1"/>
          </w:rPr>
          <w:t>39</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83">
        <w:r>
          <w:rPr>
            <w:rStyle w:val="C2"/>
            <w:noProof w:val="1"/>
          </w:rPr>
          <w:t>Fastighetsbildning</w:t>
        </w:r>
        <w:r>
          <w:rPr>
            <w:noProof w:val="1"/>
          </w:rPr>
          <w:tab/>
        </w:r>
        <w:r>
          <w:rPr>
            <w:noProof w:val="1"/>
          </w:rPr>
          <w:fldChar w:fldCharType="begin"/>
        </w:r>
        <w:r>
          <w:rPr>
            <w:noProof w:val="1"/>
          </w:rPr>
          <w:instrText xml:space="preserve"> PAGEREF _Toc151732683 \h </w:instrText>
        </w:r>
        <w:r>
          <w:rPr>
            <w:noProof w:val="1"/>
          </w:rPr>
          <w:fldChar w:fldCharType="separate"/>
        </w:r>
        <w:r>
          <w:rPr>
            <w:noProof w:val="1"/>
          </w:rPr>
          <w:t>39</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84">
        <w:r>
          <w:rPr>
            <w:rStyle w:val="C2"/>
            <w:noProof w:val="1"/>
          </w:rPr>
          <w:t>Planavgift</w:t>
        </w:r>
        <w:r>
          <w:rPr>
            <w:noProof w:val="1"/>
          </w:rPr>
          <w:tab/>
        </w:r>
        <w:r>
          <w:rPr>
            <w:noProof w:val="1"/>
          </w:rPr>
          <w:fldChar w:fldCharType="begin"/>
        </w:r>
        <w:r>
          <w:rPr>
            <w:noProof w:val="1"/>
          </w:rPr>
          <w:instrText xml:space="preserve"> PAGEREF _Toc151732684 \h </w:instrText>
        </w:r>
        <w:r>
          <w:rPr>
            <w:noProof w:val="1"/>
          </w:rPr>
          <w:fldChar w:fldCharType="separate"/>
        </w:r>
        <w:r>
          <w:rPr>
            <w:noProof w:val="1"/>
          </w:rPr>
          <w:t>39</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85">
        <w:r>
          <w:rPr>
            <w:rStyle w:val="C2"/>
            <w:noProof w:val="1"/>
          </w:rPr>
          <w:t>Anslutningsavgifter</w:t>
        </w:r>
        <w:r>
          <w:rPr>
            <w:noProof w:val="1"/>
          </w:rPr>
          <w:tab/>
        </w:r>
        <w:r>
          <w:rPr>
            <w:noProof w:val="1"/>
          </w:rPr>
          <w:fldChar w:fldCharType="begin"/>
        </w:r>
        <w:r>
          <w:rPr>
            <w:noProof w:val="1"/>
          </w:rPr>
          <w:instrText xml:space="preserve"> PAGEREF _Toc151732685 \h </w:instrText>
        </w:r>
        <w:r>
          <w:rPr>
            <w:noProof w:val="1"/>
          </w:rPr>
          <w:fldChar w:fldCharType="separate"/>
        </w:r>
        <w:r>
          <w:rPr>
            <w:noProof w:val="1"/>
          </w:rPr>
          <w:t>39</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86">
        <w:r>
          <w:rPr>
            <w:rStyle w:val="C2"/>
            <w:noProof w:val="1"/>
          </w:rPr>
          <w:t>Utredningar</w:t>
        </w:r>
        <w:r>
          <w:rPr>
            <w:noProof w:val="1"/>
          </w:rPr>
          <w:tab/>
        </w:r>
        <w:r>
          <w:rPr>
            <w:noProof w:val="1"/>
          </w:rPr>
          <w:fldChar w:fldCharType="begin"/>
        </w:r>
        <w:r>
          <w:rPr>
            <w:noProof w:val="1"/>
          </w:rPr>
          <w:instrText xml:space="preserve"> PAGEREF _Toc151732686 \h </w:instrText>
        </w:r>
        <w:r>
          <w:rPr>
            <w:noProof w:val="1"/>
          </w:rPr>
          <w:fldChar w:fldCharType="separate"/>
        </w:r>
        <w:r>
          <w:rPr>
            <w:noProof w:val="1"/>
          </w:rPr>
          <w:t>39</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87">
        <w:r>
          <w:rPr>
            <w:rStyle w:val="C2"/>
            <w:noProof w:val="1"/>
          </w:rPr>
          <w:t>Byggnation och rivning</w:t>
        </w:r>
        <w:r>
          <w:rPr>
            <w:noProof w:val="1"/>
          </w:rPr>
          <w:tab/>
        </w:r>
        <w:r>
          <w:rPr>
            <w:noProof w:val="1"/>
          </w:rPr>
          <w:fldChar w:fldCharType="begin"/>
        </w:r>
        <w:r>
          <w:rPr>
            <w:noProof w:val="1"/>
          </w:rPr>
          <w:instrText xml:space="preserve"> PAGEREF _Toc151732687 \h </w:instrText>
        </w:r>
        <w:r>
          <w:rPr>
            <w:noProof w:val="1"/>
          </w:rPr>
          <w:fldChar w:fldCharType="separate"/>
        </w:r>
        <w:r>
          <w:rPr>
            <w:noProof w:val="1"/>
          </w:rPr>
          <w:t>40</w:t>
        </w:r>
        <w:r>
          <w:rPr>
            <w:noProof w:val="1"/>
          </w:rPr>
          <w:fldChar w:fldCharType="end"/>
        </w:r>
      </w:hyperlink>
    </w:p>
    <w:p>
      <w:pPr>
        <w:pStyle w:val="P28"/>
        <w:tabs>
          <w:tab w:val="right" w:pos="10055" w:leader="dot"/>
        </w:tabs>
        <w:rPr>
          <w:rFonts w:cstheme="minorBidi" w:eastAsiaTheme="minorEastAsia"/>
          <w:noProof w:val="1"/>
          <w:szCs w:val="22"/>
          <w:kern w:val="2"/>
        </w:rPr>
      </w:pPr>
      <w:hyperlink w:anchor="_Toc151732688">
        <w:r>
          <w:rPr>
            <w:rStyle w:val="C2"/>
            <w:noProof w:val="1"/>
          </w:rPr>
          <w:t>Markföroreningar</w:t>
        </w:r>
        <w:r>
          <w:rPr>
            <w:noProof w:val="1"/>
          </w:rPr>
          <w:tab/>
        </w:r>
        <w:r>
          <w:rPr>
            <w:noProof w:val="1"/>
          </w:rPr>
          <w:fldChar w:fldCharType="begin"/>
        </w:r>
        <w:r>
          <w:rPr>
            <w:noProof w:val="1"/>
          </w:rPr>
          <w:instrText xml:space="preserve"> PAGEREF _Toc151732688 \h </w:instrText>
        </w:r>
        <w:r>
          <w:rPr>
            <w:noProof w:val="1"/>
          </w:rPr>
          <w:fldChar w:fldCharType="separate"/>
        </w:r>
        <w:r>
          <w:rPr>
            <w:noProof w:val="1"/>
          </w:rPr>
          <w:t>40</w:t>
        </w:r>
        <w:r>
          <w:rPr>
            <w:noProof w:val="1"/>
          </w:rPr>
          <w:fldChar w:fldCharType="end"/>
        </w:r>
      </w:hyperlink>
    </w:p>
    <w:p>
      <w:pPr>
        <w:pStyle w:val="P27"/>
        <w:rPr>
          <w:rFonts w:cstheme="minorBidi" w:eastAsiaTheme="minorEastAsia"/>
          <w:noProof w:val="1"/>
          <w:szCs w:val="22"/>
          <w:kern w:val="2"/>
        </w:rPr>
      </w:pPr>
      <w:hyperlink w:anchor="_Toc151732689">
        <w:r>
          <w:rPr>
            <w:rStyle w:val="C2"/>
            <w:noProof w:val="1"/>
          </w:rPr>
          <w:t>MEDVERKANDE TJÄNSTEPERSONER</w:t>
        </w:r>
        <w:r>
          <w:rPr>
            <w:noProof w:val="1"/>
          </w:rPr>
          <w:tab/>
        </w:r>
        <w:r>
          <w:rPr>
            <w:noProof w:val="1"/>
          </w:rPr>
          <w:fldChar w:fldCharType="begin"/>
        </w:r>
        <w:r>
          <w:rPr>
            <w:noProof w:val="1"/>
          </w:rPr>
          <w:instrText xml:space="preserve"> PAGEREF _Toc151732689 \h </w:instrText>
        </w:r>
        <w:r>
          <w:rPr>
            <w:noProof w:val="1"/>
          </w:rPr>
          <w:fldChar w:fldCharType="separate"/>
        </w:r>
        <w:r>
          <w:rPr>
            <w:noProof w:val="1"/>
          </w:rPr>
          <w:t>40</w:t>
        </w:r>
        <w:r>
          <w:rPr>
            <w:noProof w:val="1"/>
          </w:rPr>
          <w:fldChar w:fldCharType="end"/>
        </w:r>
      </w:hyperlink>
    </w:p>
    <w:p>
      <w:pPr>
        <w:pStyle w:val="P1"/>
      </w:pPr>
      <w:r>
        <w:fldChar w:fldCharType="end"/>
      </w:r>
      <w:bookmarkStart w:id="10" w:name="_Toc530399241"/>
      <w:bookmarkStart w:id="11" w:name="_Toc531084870"/>
      <w:bookmarkStart w:id="12" w:name="_Toc531084977"/>
      <w:bookmarkStart w:id="13" w:name="_Toc530402971"/>
      <w:r>
        <w:br w:type="page"/>
      </w:r>
    </w:p>
    <w:p>
      <w:pPr>
        <w:pStyle w:val="P1"/>
      </w:pPr>
      <w:bookmarkStart w:id="14" w:name="_Toc151732615"/>
      <w:bookmarkStart w:id="15" w:name="be_ärendeinformation01"/>
      <w:r>
        <w:t>HANDLINGAR</w:t>
      </w:r>
      <w:bookmarkEnd w:id="10"/>
      <w:bookmarkEnd w:id="11"/>
      <w:bookmarkEnd w:id="12"/>
      <w:bookmarkEnd w:id="13"/>
      <w:bookmarkEnd w:id="14"/>
    </w:p>
    <w:p>
      <w:r>
        <w:t>Till detaljplanen hör följande handlingar:</w:t>
      </w:r>
    </w:p>
    <w:p>
      <w:pPr>
        <w:pStyle w:val="P22"/>
        <w:numPr>
          <w:ilvl w:val="0"/>
          <w:numId w:val="1"/>
        </w:numPr>
      </w:pPr>
      <w:r>
        <w:t xml:space="preserve">Plankarta med bestämmelser, 2023-11-29 </w:t>
      </w:r>
    </w:p>
    <w:p>
      <w:pPr>
        <w:pStyle w:val="P22"/>
        <w:numPr>
          <w:ilvl w:val="0"/>
          <w:numId w:val="1"/>
        </w:numPr>
      </w:pPr>
      <w:r>
        <w:t>Plan- och genomförandebeskrivning 2023-06-30</w:t>
      </w:r>
    </w:p>
    <w:p>
      <w:pPr>
        <w:pStyle w:val="P22"/>
        <w:numPr>
          <w:ilvl w:val="0"/>
          <w:numId w:val="1"/>
        </w:numPr>
      </w:pPr>
      <w:r>
        <w:t>Illustrationskarta, 2023-02-21</w:t>
      </w:r>
    </w:p>
    <w:p/>
    <w:p>
      <w:r>
        <w:t>Till detaljplanen hör även följande underlag:</w:t>
      </w:r>
    </w:p>
    <w:p>
      <w:pPr>
        <w:pStyle w:val="P22"/>
        <w:numPr>
          <w:ilvl w:val="0"/>
          <w:numId w:val="1"/>
        </w:numPr>
      </w:pPr>
      <w:r>
        <w:t>Undersökning av betydande miljöpåverkan, 2023-06-22</w:t>
      </w:r>
    </w:p>
    <w:p>
      <w:pPr>
        <w:pStyle w:val="P22"/>
        <w:numPr>
          <w:ilvl w:val="0"/>
          <w:numId w:val="1"/>
        </w:numPr>
      </w:pPr>
      <w:r>
        <w:t>Checklista barnperspektiv, 2023-02-21</w:t>
      </w:r>
    </w:p>
    <w:p>
      <w:pPr>
        <w:pStyle w:val="P22"/>
        <w:numPr>
          <w:ilvl w:val="0"/>
          <w:numId w:val="1"/>
        </w:numPr>
      </w:pPr>
      <w:r>
        <w:t>Fastighetsförteckning, 2023-06-27</w:t>
      </w:r>
    </w:p>
    <w:p/>
    <w:p>
      <w:r>
        <w:t>Bilagor</w:t>
      </w:r>
    </w:p>
    <w:p>
      <w:pPr>
        <w:ind w:firstLine="426"/>
      </w:pPr>
      <w:r>
        <w:t>- Dagvattenutredning, 2023-04-21</w:t>
      </w:r>
    </w:p>
    <w:p>
      <w:pPr>
        <w:ind w:firstLine="426"/>
      </w:pPr>
      <w:r>
        <w:t>- Trafikbullerutredning, 2022-09-30</w:t>
      </w:r>
    </w:p>
    <w:p/>
    <w:p/>
    <w:p>
      <w:pPr>
        <w:pStyle w:val="P2"/>
      </w:pPr>
      <w:bookmarkStart w:id="16" w:name="_Toc530399247"/>
      <w:bookmarkStart w:id="17" w:name="_Toc530402977"/>
      <w:bookmarkStart w:id="18" w:name="_Toc531084871"/>
      <w:bookmarkStart w:id="19" w:name="_Toc151732616"/>
      <w:r>
        <w:t>Detaljplan</w:t>
      </w:r>
      <w:bookmarkEnd w:id="16"/>
      <w:bookmarkEnd w:id="17"/>
      <w:bookmarkEnd w:id="18"/>
      <w:bookmarkEnd w:id="19"/>
      <w:r>
        <w:t xml:space="preserve"> </w:t>
      </w:r>
    </w:p>
    <w:p>
      <w:r>
        <w:t>Detaljplanen består av en plankarta med bestämmelser. Till planen hör en plan- och genomförandebeskrivning med en illustrationskarta, som finns för att underlätta förståelsen av planförslagets innebörd samt redovisa de förutsättningar, konsekvenser och syften planen har. Plan- och genomförandebeskrivningen har ingen egen rättsverkan utan ska vara vägledande vid tolkning av plankartan som är det juridiskt bindande dokumentet.</w:t>
      </w:r>
    </w:p>
    <w:p/>
    <w:p>
      <w:r>
        <w:t>Kommunen undersöker även om planförslaget har betydande miljöpåverkan för att avgöra om detaljplaneförslaget kan antas påverka miljön så pass mycket att en miljökonsekvensbeskrivning behövs.</w:t>
      </w:r>
    </w:p>
    <w:p/>
    <w:p>
      <w:pPr>
        <w:pStyle w:val="P2"/>
      </w:pPr>
      <w:bookmarkStart w:id="20" w:name="_Toc531084872"/>
      <w:bookmarkStart w:id="21" w:name="_Toc151732617"/>
      <w:r>
        <w:t>Kontaktpersoner</w:t>
      </w:r>
      <w:bookmarkEnd w:id="20"/>
      <w:bookmarkEnd w:id="21"/>
    </w:p>
    <w:p>
      <w:pPr>
        <w:pStyle w:val="P11"/>
        <w:ind w:left="0"/>
        <w:rPr>
          <w:highlight w:val="yellow"/>
        </w:rPr>
      </w:pPr>
    </w:p>
    <w:p>
      <w:r>
        <w:t>Anna Herge</w:t>
      </w:r>
    </w:p>
    <w:p>
      <w:r>
        <w:t xml:space="preserve">Planarkitekt </w:t>
      </w:r>
    </w:p>
    <w:p>
      <w:r>
        <w:t>E-post: anna.herge@vastervik.se</w:t>
      </w:r>
    </w:p>
    <w:p>
      <w:r>
        <w:t>Telefon: 010- 35 540 70</w:t>
      </w:r>
    </w:p>
    <w:p>
      <w:bookmarkEnd w:id="15"/>
    </w:p>
    <w:p>
      <w:pPr>
        <w:pStyle w:val="P1"/>
      </w:pPr>
      <w:bookmarkStart w:id="22" w:name="_Toc530399242"/>
      <w:bookmarkStart w:id="23" w:name="_Toc530402972"/>
      <w:bookmarkStart w:id="24" w:name="_Toc531084873"/>
      <w:bookmarkStart w:id="25" w:name="_Toc531084978"/>
      <w:bookmarkStart w:id="26" w:name="_Toc151732618"/>
      <w:r>
        <w:rPr>
          <w:caps w:val="0"/>
        </w:rPr>
        <w:t>PLANPROCESSEN</w:t>
      </w:r>
      <w:bookmarkEnd w:id="22"/>
      <w:bookmarkEnd w:id="23"/>
      <w:bookmarkEnd w:id="24"/>
      <w:bookmarkEnd w:id="25"/>
      <w:bookmarkEnd w:id="26"/>
    </w:p>
    <w:p>
      <w:r>
        <w:t xml:space="preserve">Detaljplanen handläggs med standardförfarande enligt 5 kap Plan- och bygglagen (2010:900). </w:t>
      </w:r>
    </w:p>
    <w:p>
      <w:pPr>
        <w:keepNext w:val="1"/>
      </w:pPr>
      <w:r>
        <w:rPr>
          <w:noProof w:val="1"/>
        </w:rPr>
        <w:drawing>
          <wp:inline xmlns:wp="http://schemas.openxmlformats.org/drawingml/2006/wordprocessingDrawing" distT="0" distB="0" distL="0" distR="0">
            <wp:extent cx="4550410" cy="2361565"/>
            <wp:effectExtent l="0" t="0" r="2540" b="635"/>
            <wp:docPr id="18" name="Bildobjekt 18" descr="En bild som visar planprocessens olika steg och var i processen allmänheten har möjlighet att påver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ildobjekt 18" descr="En bild som visar planprocessens olika steg och var i processen allmänheten har möjlighet att påverka."/>
                    <pic:cNvPicPr>
                      <a:picLocks noChangeAspect="1" noChangeArrowheads="1"/>
                    </pic:cNvPicPr>
                  </pic:nvPicPr>
                  <pic:blipFill dpi="0">
                    <a:blip xmlns:r="http://schemas.openxmlformats.org/officeDocument/2006/relationships" r:embed="Relimage2"/>
                    <a:srcRect t="3361"/>
                    <a:stretch>
                      <a:fillRect/>
                    </a:stretch>
                  </pic:blipFill>
                  <pic:spPr bwMode="auto">
                    <a:xfrm>
                      <a:off x="0" y="0"/>
                      <a:ext cx="4568378" cy="2370758"/>
                    </a:xfrm>
                    <a:prstGeom prst="rect"/>
                    <a:noFill/>
                    <a:ln>
                      <a:noFill/>
                    </a:ln>
                  </pic:spPr>
                </pic:pic>
              </a:graphicData>
            </a:graphic>
          </wp:inline>
        </w:drawing>
      </w:r>
    </w:p>
    <w:p>
      <w:pPr>
        <w:pStyle w:val="P42"/>
        <w:ind w:left="1701"/>
      </w:pPr>
      <w:r>
        <w:t xml:space="preserve">Figur </w:t>
      </w:r>
      <w:r>
        <w:fldChar w:fldCharType="begin"/>
      </w:r>
      <w:r>
        <w:instrText xml:space="preserve"> SEQ Figur \* ARABIC </w:instrText>
      </w:r>
      <w:r>
        <w:fldChar w:fldCharType="separate"/>
      </w:r>
      <w:r>
        <w:rPr>
          <w:noProof w:val="1"/>
        </w:rPr>
        <w:t>1</w:t>
      </w:r>
      <w:r>
        <w:rPr>
          <w:noProof w:val="1"/>
        </w:rPr>
        <w:fldChar w:fldCharType="end"/>
      </w:r>
      <w:r>
        <w:t xml:space="preserve"> Planprocessen enligt Plan- och bygglagen (2010:900)</w:t>
      </w:r>
    </w:p>
    <w:p>
      <w:pPr>
        <w:ind w:left="0"/>
        <w:rPr>
          <w:color w:val="FF0000"/>
        </w:rPr>
      </w:pPr>
    </w:p>
    <w:p>
      <w:r>
        <w:t xml:space="preserve">Samrådet syftar till att samla in information, önskemål och synpunkter som berör planförslaget i ett tidigt skede i detaljplanearbetet. Kommunen ska samråda om ett förslag till detaljplan med bland andra länsstyrelsen, lantmäterimyndigheten, kända sakägare och boende som berörs. </w:t>
      </w:r>
    </w:p>
    <w:p/>
    <w:p>
      <w:r>
        <w:t xml:space="preserve">När ett förslag till detaljplan har varit på samråd och redigerats efter inkomna synpunkter ska det färdiga förslaget vara tillgängligt för granskning under minst två veckor innan det kan antas. Under granskningen ges myndigheter, sakägare och andra som berörs av planen möjlighet att lämna synpunkter på planförslaget. För att vara säker på att senare ha rätt att överklaga beslutet att anta detaljplanen ska skriftliga synpunkter lämnas senast under granskningstiden. Efter granskningen kan kommunen endast göra mindre ändringar av planförslaget. Om förslaget ändras väsentligt efter granskningen ska en ny granskning genomföras. </w:t>
      </w:r>
    </w:p>
    <w:p>
      <w:pPr>
        <w:rPr>
          <w:color w:val="FF0000"/>
        </w:rPr>
      </w:pPr>
    </w:p>
    <w:p>
      <w:pPr>
        <w:rPr>
          <w:color w:val="FF0000"/>
        </w:rPr>
      </w:pPr>
      <w:r>
        <w:t xml:space="preserve">Detaljplanen antas av Kommunstyrelsen. När detaljplanen har antagits ska kommunen skicka ett meddelande om det till länsstyrelsen, lantmäterimyndigheten och de kommuner och regionplaneorgan som är berörda samt till dem som senast under granskningstiden har lämnat skriftliga synpunkter som inte blivit tillgodosedda. </w:t>
      </w:r>
    </w:p>
    <w:p>
      <w:pPr>
        <w:rPr>
          <w:color w:val="FF0000"/>
        </w:rPr>
      </w:pPr>
    </w:p>
    <w:p>
      <w:r>
        <w:t xml:space="preserve">Ett beslut att anta en detaljplan vinner laga kraft tre veckor efter att beslutet har tillkännagetts på kommunens anslagstavla. Detta är under förutsättning att ingen har överklagat beslutet och att länsstyrelsen inte heller valt att överpröva beslutet. </w:t>
      </w:r>
    </w:p>
    <w:p>
      <w:pPr>
        <w:ind w:left="0" w:right="0"/>
        <w:rPr>
          <w:rFonts w:ascii="Gotham Book" w:hAnsi="Gotham Book" w:cstheme="majorBidi" w:eastAsiaTheme="majorEastAsia"/>
          <w:color w:val="004B6E"/>
          <w:sz w:val="36"/>
          <w:szCs w:val="32"/>
          <w:spacing w:val="5"/>
          <w:kern w:val="28"/>
        </w:rPr>
      </w:pPr>
      <w:r>
        <w:br w:type="page"/>
      </w:r>
    </w:p>
    <w:p>
      <w:pPr>
        <w:pStyle w:val="P1"/>
      </w:pPr>
      <w:bookmarkStart w:id="27" w:name="_Toc530399249"/>
      <w:bookmarkStart w:id="28" w:name="_Toc530402979"/>
      <w:bookmarkStart w:id="29" w:name="_Toc531084874"/>
      <w:bookmarkStart w:id="30" w:name="_Toc531084979"/>
      <w:bookmarkStart w:id="31" w:name="_Toc151732619"/>
      <w:r>
        <w:t>PLANBESKRIVNING</w:t>
      </w:r>
      <w:bookmarkEnd w:id="27"/>
      <w:bookmarkEnd w:id="28"/>
      <w:bookmarkEnd w:id="29"/>
      <w:bookmarkEnd w:id="30"/>
      <w:bookmarkEnd w:id="31"/>
    </w:p>
    <w:p>
      <w:pPr>
        <w:pStyle w:val="P1"/>
      </w:pPr>
      <w:bookmarkStart w:id="32" w:name="_Toc531084875"/>
      <w:bookmarkStart w:id="33" w:name="_Toc531084980"/>
      <w:bookmarkStart w:id="34" w:name="_Toc151732620"/>
      <w:bookmarkStart w:id="35" w:name="_Toc530399250"/>
      <w:bookmarkStart w:id="36" w:name="_Toc530402980"/>
      <w:r>
        <w:t>PLANENS BAKGRUND OCH SYFTE</w:t>
      </w:r>
      <w:bookmarkEnd w:id="32"/>
      <w:bookmarkEnd w:id="33"/>
      <w:bookmarkEnd w:id="34"/>
      <w:r>
        <w:t xml:space="preserve"> </w:t>
      </w:r>
      <w:bookmarkEnd w:id="35"/>
      <w:bookmarkEnd w:id="36"/>
    </w:p>
    <w:p>
      <w:pPr>
        <w:pStyle w:val="P2"/>
      </w:pPr>
      <w:bookmarkStart w:id="37" w:name="_Toc151732621"/>
      <w:bookmarkStart w:id="38" w:name="be_heladetaljplan01"/>
      <w:bookmarkStart w:id="39" w:name="_Toc530399251"/>
      <w:bookmarkStart w:id="40" w:name="_Toc530402981"/>
      <w:r>
        <w:t>Bakgrund</w:t>
      </w:r>
      <w:bookmarkEnd w:id="37"/>
    </w:p>
    <w:p>
      <w:bookmarkStart w:id="41" w:name="_Hlk139002221"/>
      <w:r>
        <w:rPr>
          <w:szCs w:val="22"/>
        </w:rPr>
        <w:t xml:space="preserve">Folkparksvägen är idag en genomfartsled som är skyltad från infarten till Västervik för trafik till hamnen, mot Gotland, Västerviks resort, resecetrum m.fl.  Trafiken har ökat de senaste åren och med stadens utbyggnad förväntas en ytterligare ökning över tid.</w:t>
      </w:r>
      <w:r>
        <w:t xml:space="preserve"> Samtidigt är Vattentornsvägen som går i nord- sydlig riktning och som korsar Folkparksvägen en viktig länk till bostäder i Didrikslund vilket medför att behovet av säkra gång- och cykelpassager ökar.</w:t>
      </w:r>
    </w:p>
    <w:p/>
    <w:p>
      <w:r>
        <w:t xml:space="preserve">Behovet av ökad trafiksäkerhet i korsningen Folkparksvägen/Vattentornsvägen lyftes i ett medborgarförslag 2017. I det läget bedömdes det inte vara aktuellt att gå vidare och förslaget avslogs. </w:t>
      </w:r>
    </w:p>
    <w:p/>
    <w:p>
      <w:r>
        <w:t xml:space="preserve">2020-06-16 beslutade kommunstyrelsen (Ks § 241) att uppdra till </w:t>
      </w:r>
    </w:p>
    <w:p>
      <w:r>
        <w:t xml:space="preserve">Enheten för samhällsbyggnad att arbeta fram förslag för en säkrare passage för gående över Folkparksvägen intill korsningen Vattentornsvägen och att objektet behandlats och prioriteras i kommande budgetprocess </w:t>
      </w:r>
    </w:p>
    <w:p/>
    <w:p>
      <w:r>
        <w:t xml:space="preserve">2020-11-24 inkom ett E- förslag om nytt trafikljus i korsningen (Ks §399). </w:t>
      </w:r>
    </w:p>
    <w:p>
      <w:r>
        <w:t xml:space="preserve">Som svar på E-förslaget beslutar Kommunstyrelsen att efter planläggning tas underlag för arbetet med i kommande investeringsbudget.  </w:t>
      </w:r>
    </w:p>
    <w:p/>
    <w:p>
      <w:r>
        <w:t>Åtgärden för en ny cirkulationsplats finns preliminärt i den långsiktiga budgeten och med ett genomförande år 2025. För att kunna göra ett genomförande 2025 behöver en ny detaljplan tas fram tillsammans med en projektering av ny cirkulationsplats.</w:t>
      </w:r>
    </w:p>
    <w:p/>
    <w:p>
      <w:pPr>
        <w:rPr>
          <w:color w:val="FF0000"/>
        </w:rPr>
      </w:pPr>
      <w:r>
        <w:t>Kommunstyrelsen gav, 2022-02-01 § 12 enheten för Samhällsbyggnad i uppdrag att upprätta förslag på Detaljplan för del av Västervik 3:1 mfl, Cirkulationsplats Didrikslund, Västerviks kommun</w:t>
      </w:r>
      <w:r>
        <w:rPr>
          <w:color w:val="FF0000"/>
        </w:rPr>
        <w:t>.</w:t>
      </w:r>
      <w:bookmarkEnd w:id="38"/>
      <w:r>
        <w:rPr>
          <w:color w:val="FF0000"/>
        </w:rPr>
        <w:t xml:space="preserve"> </w:t>
      </w:r>
    </w:p>
    <w:p>
      <w:bookmarkEnd w:id="41"/>
    </w:p>
    <w:p>
      <w:pPr>
        <w:pStyle w:val="P2"/>
      </w:pPr>
      <w:bookmarkStart w:id="42" w:name="_Toc151732622"/>
      <w:bookmarkStart w:id="43" w:name="sy_syfte01"/>
      <w:r>
        <w:t>Syfte</w:t>
      </w:r>
      <w:bookmarkEnd w:id="42"/>
      <w:r>
        <w:t xml:space="preserve"> </w:t>
      </w:r>
      <w:bookmarkEnd w:id="39"/>
      <w:bookmarkEnd w:id="40"/>
    </w:p>
    <w:p>
      <w:bookmarkStart w:id="44" w:name="_Hlk139002206"/>
      <w:bookmarkStart w:id="45" w:name="_Toc530399253"/>
      <w:bookmarkStart w:id="46" w:name="_Toc530402983"/>
      <w:r>
        <w:t>Syftet med planen är att möjliggöra för en cirkulationsplats i korsningen Folkparksvägen och Vattentornsvägen. Planen syftar även till att utveckla cykelvägnätet och säkrare gångpassager. Befintliga verksamhets- och handelstomter ges ny användningsbeteckning med syfte att anpassa bestämmelsen till rådande rekommendationer från Boverket.</w:t>
      </w:r>
    </w:p>
    <w:p>
      <w:bookmarkEnd w:id="44"/>
      <w:r>
        <w:t xml:space="preserve"> </w:t>
      </w:r>
    </w:p>
    <w:p>
      <w:r>
        <w:t xml:space="preserve">En ny detaljplan behövs för att säkerställa utbredningen av en cirkulationsplats för att höja trafiksäkerheten i korsningen Folkparksvägen/Vattentornsvägen. Även cykelvägnätet förbättras. Planen innebär även förändringar i infarter till omgivande verksamhets- och handelstomter och ny placering av befintlig busshållplats. Den nya trafiklösningen tar också en liten bit mark i anspråk från ett bostadskvarter, naturmark och mark tillhörande transformatorstation. </w:t>
      </w:r>
    </w:p>
    <w:p>
      <w:pPr>
        <w:pStyle w:val="P1"/>
      </w:pPr>
      <w:bookmarkEnd w:id="43"/>
      <w:bookmarkEnd w:id="45"/>
      <w:bookmarkEnd w:id="46"/>
      <w:bookmarkStart w:id="47" w:name="_Toc531084876"/>
      <w:bookmarkStart w:id="48" w:name="_Toc531084981"/>
      <w:bookmarkStart w:id="49" w:name="_Toc151732623"/>
      <w:r>
        <w:t>PLANFÖRSLAG</w:t>
      </w:r>
      <w:bookmarkEnd w:id="47"/>
      <w:bookmarkEnd w:id="48"/>
      <w:bookmarkEnd w:id="49"/>
    </w:p>
    <w:p>
      <w:pPr>
        <w:pStyle w:val="P2"/>
      </w:pPr>
      <w:bookmarkStart w:id="50" w:name="_Toc531084877"/>
      <w:bookmarkStart w:id="51" w:name="_Toc151732624"/>
      <w:bookmarkStart w:id="52" w:name="be_befintligt01"/>
      <w:r>
        <w:t>Områdesbeskrivning</w:t>
      </w:r>
      <w:bookmarkEnd w:id="50"/>
      <w:bookmarkEnd w:id="51"/>
      <w:r>
        <w:tab/>
      </w:r>
    </w:p>
    <w:p>
      <w:pPr>
        <w:keepNext w:val="1"/>
      </w:pPr>
      <w:r>
        <w:rPr>
          <w:noProof w:val="1"/>
        </w:rPr>
        <w:drawing>
          <wp:inline xmlns:wp="http://schemas.openxmlformats.org/drawingml/2006/wordprocessingDrawing" distT="0" distB="0" distL="0" distR="0">
            <wp:extent cx="4503420" cy="3136265"/>
            <wp:effectExtent l="0" t="0" r="0" b="6985"/>
            <wp:docPr id="11" name="Bildobjekt 11" descr="En bild som visar planområdets placering i Västerv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objekt 11" descr="En bild som visar planområdets placering i Västervik"/>
                    <pic:cNvPicPr>
                      <a:picLocks noChangeAspect="1" noChangeArrowheads="1"/>
                    </pic:cNvPicPr>
                  </pic:nvPicPr>
                  <pic:blipFill dpi="0">
                    <a:blip xmlns:r="http://schemas.openxmlformats.org/officeDocument/2006/relationships" r:embed="Relimage3"/>
                    <a:srcRect l="10944" t="10762" r="28198" b="13890"/>
                    <a:stretch>
                      <a:fillRect/>
                    </a:stretch>
                  </pic:blipFill>
                  <pic:spPr bwMode="auto">
                    <a:xfrm>
                      <a:off x="0" y="0"/>
                      <a:ext cx="4512519" cy="3142647"/>
                    </a:xfrm>
                    <a:prstGeom prst="rect"/>
                    <a:noFill/>
                    <a:ln>
                      <a:noFill/>
                    </a:ln>
                  </pic:spPr>
                </pic:pic>
              </a:graphicData>
            </a:graphic>
          </wp:inline>
        </w:drawing>
      </w:r>
    </w:p>
    <w:p>
      <w:pPr>
        <w:pStyle w:val="P42"/>
        <w:ind w:left="1701"/>
      </w:pPr>
      <w:r>
        <w:t xml:space="preserve">Figur </w:t>
      </w:r>
      <w:r>
        <w:fldChar w:fldCharType="begin"/>
      </w:r>
      <w:r>
        <w:instrText xml:space="preserve"> SEQ Figur \* ARABIC </w:instrText>
      </w:r>
      <w:r>
        <w:fldChar w:fldCharType="separate"/>
      </w:r>
      <w:r>
        <w:rPr>
          <w:noProof w:val="1"/>
        </w:rPr>
        <w:t>2</w:t>
      </w:r>
      <w:r>
        <w:rPr>
          <w:noProof w:val="1"/>
        </w:rPr>
        <w:fldChar w:fldCharType="end"/>
      </w:r>
      <w:r>
        <w:t>: Planområdet i Didrikslund</w:t>
      </w:r>
    </w:p>
    <w:p>
      <w:r>
        <w:t>Planområdet är beläget i stadsdelen Didrikslund, ca 2 km från Västerviks centrum. Planområdet omfattar korsningen Folkparksvägen/Vattentornsvägen och de närmast belägna delarna av dessa vägar. Ca 100 meter av Folkparksvägen omfattas på vardera sidan om korsningen. I Norr gränsar planområdet till korsningen mot Kolonivägen och i söder gränsar det till korsning med gång- och cykelväg. Även delar av kvartersmark längs vägarna omfattas av planområdet.</w:t>
      </w:r>
    </w:p>
    <w:p/>
    <w:p>
      <w:pPr>
        <w:ind w:left="0"/>
      </w:pPr>
    </w:p>
    <w:p>
      <w:pPr>
        <w:pStyle w:val="P2"/>
      </w:pPr>
      <w:bookmarkStart w:id="53" w:name="_Toc530399254"/>
      <w:bookmarkStart w:id="54" w:name="_Toc531084878"/>
      <w:bookmarkStart w:id="55" w:name="_Toc151732625"/>
      <w:bookmarkStart w:id="56" w:name="_Toc530402984"/>
      <w:r>
        <w:t>Areal</w:t>
      </w:r>
      <w:bookmarkEnd w:id="53"/>
      <w:bookmarkEnd w:id="54"/>
      <w:bookmarkEnd w:id="55"/>
      <w:bookmarkEnd w:id="56"/>
    </w:p>
    <w:p>
      <w:r>
        <w:t>Området omfattar 15 725 m</w:t>
      </w:r>
      <w:r>
        <w:rPr>
          <w:vertAlign w:val="superscript"/>
        </w:rPr>
        <w:t>2</w:t>
      </w:r>
      <w:r>
        <w:t xml:space="preserve">. </w:t>
      </w:r>
    </w:p>
    <w:p/>
    <w:p>
      <w:pPr>
        <w:pStyle w:val="P2"/>
      </w:pPr>
      <w:bookmarkStart w:id="57" w:name="_Toc531084879"/>
      <w:bookmarkStart w:id="58" w:name="_Toc151732626"/>
      <w:r>
        <w:t>Markägoförhållanden</w:t>
      </w:r>
      <w:bookmarkEnd w:id="57"/>
      <w:bookmarkEnd w:id="58"/>
    </w:p>
    <w:p>
      <w:pPr>
        <w:rPr>
          <w:color w:val="FF0000"/>
        </w:rPr>
      </w:pPr>
      <w:r>
        <w:t xml:space="preserve">Fastigheter som helt eller delvist ingår i planområdet är: </w:t>
      </w:r>
    </w:p>
    <w:p>
      <w:r>
        <w:t xml:space="preserve">Västervik 3:1 </w:t>
      </w:r>
    </w:p>
    <w:p>
      <w:r>
        <w:t xml:space="preserve">Rullstenen 7 </w:t>
      </w:r>
    </w:p>
    <w:p>
      <w:r>
        <w:t>Rullstenen 1</w:t>
      </w:r>
    </w:p>
    <w:p>
      <w:r>
        <w:t>Västerås 7</w:t>
      </w:r>
    </w:p>
    <w:p>
      <w:r>
        <w:t>Didrikslund 1</w:t>
      </w:r>
    </w:p>
    <w:p>
      <w:r>
        <w:t>Kalkalgen 1</w:t>
      </w:r>
    </w:p>
    <w:p>
      <w:bookmarkEnd w:id="52"/>
      <w:bookmarkStart w:id="59" w:name="be_befintligt02"/>
      <w:r>
        <w:t>Fräkenväxten 1</w:t>
      </w:r>
    </w:p>
    <w:p/>
    <w:p>
      <w:r>
        <w:t>Av dessa ägs Västervik 3:1 av Västerviks kommun. Didrikslund 1 och Kalgalgen 1 ägs av Västerviks Bostads AB. Övriga fastigheter är privatägda.</w:t>
      </w:r>
    </w:p>
    <w:p>
      <w:r>
        <w:tab/>
      </w:r>
    </w:p>
    <w:p>
      <w:pPr>
        <w:keepNext w:val="1"/>
      </w:pPr>
      <w:r>
        <w:rPr>
          <w:noProof w:val="1"/>
        </w:rPr>
        <w:drawing>
          <wp:inline xmlns:wp="http://schemas.openxmlformats.org/drawingml/2006/wordprocessingDrawing" distT="0" distB="0" distL="0" distR="0">
            <wp:extent cx="4588510" cy="3182620"/>
            <wp:effectExtent l="0" t="0" r="2540" b="0"/>
            <wp:docPr id="12" name="Bildobjekt 12" descr="En bild som visar ett ortofoto över planområ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objekt 12" descr="En bild som visar ett ortofoto över planområdet."/>
                    <pic:cNvPicPr>
                      <a:picLocks noChangeAspect="1" noChangeArrowheads="1"/>
                    </pic:cNvPicPr>
                  </pic:nvPicPr>
                  <pic:blipFill dpi="0">
                    <a:blip xmlns:r="http://schemas.openxmlformats.org/officeDocument/2006/relationships" r:embed="Relimage1"/>
                    <a:srcRect/>
                    <a:stretch>
                      <a:fillRect/>
                    </a:stretch>
                  </pic:blipFill>
                  <pic:spPr bwMode="auto">
                    <a:xfrm>
                      <a:off x="0" y="0"/>
                      <a:ext cx="4588768" cy="3182656"/>
                    </a:xfrm>
                    <a:prstGeom prst="rect"/>
                    <a:noFill/>
                    <a:ln>
                      <a:noFill/>
                    </a:ln>
                  </pic:spPr>
                </pic:pic>
              </a:graphicData>
            </a:graphic>
          </wp:inline>
        </w:drawing>
      </w:r>
    </w:p>
    <w:p>
      <w:pPr>
        <w:pStyle w:val="P42"/>
        <w:ind w:left="1701"/>
      </w:pPr>
      <w:r>
        <w:t xml:space="preserve">Figur </w:t>
      </w:r>
      <w:r>
        <w:fldChar w:fldCharType="begin"/>
      </w:r>
      <w:r>
        <w:instrText xml:space="preserve"> SEQ Figur \* ARABIC </w:instrText>
      </w:r>
      <w:r>
        <w:fldChar w:fldCharType="separate"/>
      </w:r>
      <w:r>
        <w:rPr>
          <w:noProof w:val="1"/>
        </w:rPr>
        <w:t>3</w:t>
      </w:r>
      <w:r>
        <w:rPr>
          <w:noProof w:val="1"/>
        </w:rPr>
        <w:fldChar w:fldCharType="end"/>
      </w:r>
      <w:r>
        <w:t xml:space="preserve"> Ortofoto av planområdet.</w:t>
      </w:r>
    </w:p>
    <w:p>
      <w:pPr>
        <w:pStyle w:val="P2"/>
      </w:pPr>
      <w:bookmarkEnd w:id="59"/>
      <w:bookmarkStart w:id="60" w:name="_Toc530399321"/>
      <w:bookmarkStart w:id="61" w:name="_Toc531084880"/>
      <w:bookmarkStart w:id="62" w:name="_Toc151732627"/>
      <w:bookmarkStart w:id="63" w:name="_Toc530403051"/>
      <w:r>
        <w:t>Planerad bebyggelse, mark- och vattenanvändning</w:t>
      </w:r>
      <w:bookmarkEnd w:id="60"/>
      <w:bookmarkEnd w:id="61"/>
      <w:bookmarkEnd w:id="62"/>
      <w:bookmarkEnd w:id="63"/>
    </w:p>
    <w:p>
      <w:pPr>
        <w:pStyle w:val="P11"/>
      </w:pPr>
      <w:bookmarkStart w:id="64" w:name="be_allmänplats01"/>
      <w:r>
        <w:t xml:space="preserve">Föreslagen detaljplan innebär att befintlig gatumark för Folkparksvägen och Vattentornsvägen fortsätter att vara gatumark samt att gatumarken utökas vid korsningen för att kunna inrymma en cirkulationsplats. Inom gatumarken ingår förutom körbanan även ytor som kan innehålla vägslänter, vägdiken, vägplanteringar, gång- och cykelbana och busshållplatser m.m. </w:t>
      </w:r>
    </w:p>
    <w:p>
      <w:pPr>
        <w:pStyle w:val="P11"/>
      </w:pPr>
      <w:bookmarkEnd w:id="64"/>
    </w:p>
    <w:p>
      <w:pPr>
        <w:pStyle w:val="P11"/>
      </w:pPr>
      <w:bookmarkStart w:id="65" w:name="be_allmänplats02"/>
      <w:r>
        <w:t>I söder omfattas befintlig transformatorstation och intilliggande naturmark av planområdet på grund av att gatumarken går in en bit på mark planlagd för dessa ändamål.</w:t>
      </w:r>
    </w:p>
    <w:p>
      <w:pPr>
        <w:pStyle w:val="P11"/>
      </w:pPr>
      <w:bookmarkEnd w:id="65"/>
    </w:p>
    <w:p>
      <w:pPr>
        <w:pStyle w:val="P11"/>
      </w:pPr>
      <w:bookmarkStart w:id="66" w:name="be_kvartersmark01"/>
      <w:r>
        <w:t>Norr om korsningen Folkparksvägen/Vattentornsvägen omfattas befintliga verksamhetstomter eftersom dessa påverkas av den utökade gatumarken och förändrade utfarter.</w:t>
      </w:r>
    </w:p>
    <w:p>
      <w:pPr>
        <w:pStyle w:val="P11"/>
      </w:pPr>
    </w:p>
    <w:p>
      <w:pPr>
        <w:rPr>
          <w:sz w:val="36"/>
          <w:szCs w:val="32"/>
        </w:rPr>
      </w:pPr>
      <w:r>
        <w:t xml:space="preserve">På dessa verksamhetstomter möjliggörs för befintlig verksamhet genom att bestämmelserna uppdateras till lydelser enligt gällande lagstiftning för verksamheter som har begränsad omgivningspåverkan och för handel med varor och tjänster. </w:t>
      </w:r>
    </w:p>
    <w:p>
      <w:pPr>
        <w:pStyle w:val="P11"/>
      </w:pPr>
      <w:bookmarkEnd w:id="66"/>
    </w:p>
    <w:p>
      <w:pPr>
        <w:pStyle w:val="P11"/>
      </w:pPr>
      <w:bookmarkStart w:id="67" w:name="be_allmänplats03"/>
      <w:r>
        <w:t>Längs Vattentornsvägen förtydligas i planförslaget att utfart inte ska ske mot denna från intilliggande bostadsområde.</w:t>
      </w:r>
    </w:p>
    <w:p>
      <w:pPr>
        <w:pStyle w:val="P24"/>
      </w:pPr>
      <w:bookmarkEnd w:id="67"/>
    </w:p>
    <w:p>
      <w:pPr>
        <w:pStyle w:val="P24"/>
      </w:pPr>
    </w:p>
    <w:p>
      <w:pPr>
        <w:pStyle w:val="P24"/>
        <w:keepNext w:val="1"/>
      </w:pPr>
      <w:bookmarkStart w:id="68" w:name="be_heladetaljplan02"/>
      <w:r>
        <w:rPr>
          <w:noProof w:val="1"/>
        </w:rPr>
        <w:drawing>
          <wp:inline xmlns:wp="http://schemas.openxmlformats.org/drawingml/2006/wordprocessingDrawing" distT="0" distB="0" distL="0" distR="0">
            <wp:extent cx="4138930" cy="4212590"/>
            <wp:effectExtent l="0" t="0" r="0" b="0"/>
            <wp:docPr id="15" name="Bildobjekt 15" descr="En bild som visar en illustration över planområ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ildobjekt 15" descr="En bild som visar en illustration över planområdet."/>
                    <pic:cNvPicPr/>
                  </pic:nvPicPr>
                  <pic:blipFill dpi="0">
                    <a:blip xmlns:r="http://schemas.openxmlformats.org/officeDocument/2006/relationships" r:embed="Relimage4"/>
                    <a:srcRect l="2528" r="2528"/>
                    <a:stretch>
                      <a:fillRect/>
                    </a:stretch>
                  </pic:blipFill>
                  <pic:spPr bwMode="auto">
                    <a:xfrm>
                      <a:off x="0" y="0"/>
                      <a:ext cx="4139149" cy="4213110"/>
                    </a:xfrm>
                    <a:prstGeom prst="rect"/>
                    <a:ln>
                      <a:noFill/>
                    </a:ln>
                  </pic:spPr>
                </pic:pic>
              </a:graphicData>
            </a:graphic>
          </wp:inline>
        </w:drawing>
      </w:r>
      <w:bookmarkEnd w:id="68"/>
    </w:p>
    <w:p>
      <w:pPr>
        <w:pStyle w:val="P42"/>
        <w:ind w:left="1701"/>
      </w:pPr>
      <w:bookmarkStart w:id="69" w:name="be_heladetaljplan03"/>
      <w:r>
        <w:t xml:space="preserve">Figur </w:t>
      </w:r>
      <w:r>
        <w:fldChar w:fldCharType="begin"/>
      </w:r>
      <w:r>
        <w:instrText xml:space="preserve"> SEQ Figur \* ARABIC </w:instrText>
      </w:r>
      <w:r>
        <w:fldChar w:fldCharType="separate"/>
      </w:r>
      <w:r>
        <w:rPr>
          <w:noProof w:val="1"/>
        </w:rPr>
        <w:t>4</w:t>
      </w:r>
      <w:r>
        <w:rPr>
          <w:noProof w:val="1"/>
        </w:rPr>
        <w:fldChar w:fldCharType="end"/>
      </w:r>
      <w:r>
        <w:t xml:space="preserve"> Illustration</w:t>
      </w:r>
    </w:p>
    <w:p>
      <w:pPr>
        <w:pStyle w:val="P2"/>
      </w:pPr>
      <w:bookmarkEnd w:id="69"/>
      <w:bookmarkStart w:id="70" w:name="_Toc151732628"/>
      <w:bookmarkStart w:id="71" w:name="pf_miljö01"/>
      <w:bookmarkStart w:id="72" w:name="_Toc530578883"/>
      <w:bookmarkStart w:id="73" w:name="_Toc530579020"/>
      <w:bookmarkStart w:id="74" w:name="_Toc531084881"/>
      <w:r>
        <w:t>Naturvärden</w:t>
      </w:r>
      <w:bookmarkEnd w:id="70"/>
    </w:p>
    <w:p>
      <w:pPr>
        <w:rPr>
          <w:shd w:val="clear" w:color="auto" w:fill="FFFFFF"/>
        </w:rPr>
      </w:pPr>
      <w:r>
        <w:rPr>
          <w:shd w:val="clear" w:color="auto" w:fill="FFFFFF"/>
        </w:rPr>
        <w:t xml:space="preserve">Inom det område som observation av sandödla är gjord kommer ingen förändring av markens anordnande att ske i och med ett genomförande av planen. Inom planområdet utökas vägområdet för att möjliggöra en gång- och cykelväg i västra delen av planområdet. De befintliga småvägrenarna inom planområdet har sedan byggnationen av Didrikslund 1 under 2018-2021 blivit mycket påverkade. Vegetationsskitet har i princip avlägsnats helt under byggtiden vilket inte gynnar artens möjlighet för fortplantning. </w:t>
      </w:r>
    </w:p>
    <w:p>
      <w:pPr>
        <w:rPr>
          <w:shd w:val="clear" w:color="auto" w:fill="FFFFFF"/>
        </w:rPr>
      </w:pPr>
    </w:p>
    <w:p>
      <w:pPr>
        <w:rPr>
          <w:shd w:val="clear" w:color="auto" w:fill="FFFFFF"/>
        </w:rPr>
      </w:pPr>
      <w:r>
        <w:rPr>
          <w:shd w:val="clear" w:color="auto" w:fill="FFFFFF"/>
        </w:rPr>
        <w:t xml:space="preserve">Ett genomförande av detaljplanen bedöms med denna bakgrund inte skada lämpliga fortplantningsområden eller viloplatser för sandödlan inom planområdet. </w:t>
      </w:r>
    </w:p>
    <w:p>
      <w:pPr>
        <w:rPr>
          <w:shd w:val="clear" w:color="auto" w:fill="FFFFFF"/>
        </w:rPr>
      </w:pPr>
    </w:p>
    <w:p>
      <w:pPr>
        <w:rPr>
          <w:shd w:val="clear" w:color="auto" w:fill="FFFFFF"/>
        </w:rPr>
      </w:pPr>
      <w:r>
        <w:rPr>
          <w:shd w:val="clear" w:color="auto" w:fill="FFFFFF"/>
        </w:rPr>
        <w:t>I den planerade cykelvägens sträckning planeras vägslänter och svackdicken att anordnas utöver själva gång- och cykelvägen.</w:t>
      </w:r>
    </w:p>
    <w:p>
      <w:pPr>
        <w:rPr>
          <w:shd w:val="clear" w:color="auto" w:fill="FFFFFF"/>
        </w:rPr>
      </w:pPr>
    </w:p>
    <w:p>
      <w:r>
        <w:rPr>
          <w:shd w:val="clear" w:color="auto" w:fill="FFFFFF"/>
        </w:rPr>
        <w:t xml:space="preserve">I direkt anslutning till planområdet finns det andra biotoper som besitter sådana kvaliteter som sandödlan kräver. Några observationer av arten har dock inte skett där utan längre västerut, mot Jennyområdet. </w:t>
      </w:r>
    </w:p>
    <w:p>
      <w:pPr>
        <w:ind w:left="0"/>
        <w:rPr>
          <w:rFonts w:ascii="Gotham Light" w:hAnsi="Gotham Light"/>
          <w:noProof w:val="1"/>
          <w:sz w:val="24"/>
        </w:rPr>
      </w:pPr>
      <w:bookmarkEnd w:id="71"/>
    </w:p>
    <w:p>
      <w:pPr>
        <w:pStyle w:val="P2"/>
      </w:pPr>
      <w:bookmarkStart w:id="75" w:name="_Toc151732629"/>
      <w:r>
        <w:t>Plankarta och bestämmelser</w:t>
      </w:r>
      <w:bookmarkEnd w:id="72"/>
      <w:bookmarkEnd w:id="73"/>
      <w:bookmarkEnd w:id="74"/>
      <w:bookmarkEnd w:id="75"/>
      <w:r>
        <w:t xml:space="preserve"> </w:t>
      </w:r>
    </w:p>
    <w:p>
      <w:pPr>
        <w:pStyle w:val="P3"/>
      </w:pPr>
      <w:r>
        <w:t>Plankarta</w:t>
      </w:r>
    </w:p>
    <w:p>
      <w:bookmarkStart w:id="76" w:name="be_heladetaljplan04"/>
      <w:r>
        <w:t>En plankarta med bestämmelser är det juridiskt bindande dokument som reglerar användningen av mark- och vattenområde. Plankartan omfattar det område inom vilken detaljplanens bestämmelser gäller och visar vilka byggrätter som medgivits.</w:t>
      </w:r>
    </w:p>
    <w:p/>
    <w:p>
      <w:pPr>
        <w:ind w:left="0"/>
      </w:pPr>
    </w:p>
    <w:p>
      <w:pPr>
        <w:keepNext w:val="1"/>
      </w:pPr>
      <w:r>
        <w:rPr>
          <w:noProof w:val="1"/>
        </w:rPr>
        <w:drawing>
          <wp:inline xmlns:wp="http://schemas.openxmlformats.org/drawingml/2006/wordprocessingDrawing" distT="0" distB="0" distL="0" distR="0">
            <wp:extent cx="4765040" cy="3261360"/>
            <wp:effectExtent l="0" t="0" r="0" b="0"/>
            <wp:docPr id="17" name="Bildobjekt 17" descr="Föreslagen plankart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ildobjekt 17" descr="Föreslagen plankarta "/>
                    <pic:cNvPicPr/>
                  </pic:nvPicPr>
                  <pic:blipFill dpi="0">
                    <a:blip xmlns:r="http://schemas.openxmlformats.org/officeDocument/2006/relationships" r:embed="Relimage5"/>
                    <a:srcRect/>
                    <a:stretch>
                      <a:fillRect/>
                    </a:stretch>
                  </pic:blipFill>
                  <pic:spPr>
                    <a:xfrm>
                      <a:off x="0" y="0"/>
                      <a:ext cx="4779451" cy="3270825"/>
                    </a:xfrm>
                    <a:prstGeom prst="rect"/>
                  </pic:spPr>
                </pic:pic>
              </a:graphicData>
            </a:graphic>
          </wp:inline>
        </w:drawing>
      </w:r>
    </w:p>
    <w:p>
      <w:pPr>
        <w:pStyle w:val="P42"/>
        <w:ind w:left="1701"/>
      </w:pPr>
      <w:r>
        <w:t xml:space="preserve">Figur </w:t>
      </w:r>
      <w:r>
        <w:fldChar w:fldCharType="begin"/>
      </w:r>
      <w:r>
        <w:instrText xml:space="preserve"> SEQ Figur \* ARABIC </w:instrText>
      </w:r>
      <w:r>
        <w:fldChar w:fldCharType="separate"/>
      </w:r>
      <w:r>
        <w:rPr>
          <w:noProof w:val="1"/>
        </w:rPr>
        <w:t>5</w:t>
      </w:r>
      <w:r>
        <w:rPr>
          <w:noProof w:val="1"/>
        </w:rPr>
        <w:fldChar w:fldCharType="end"/>
      </w:r>
      <w:r>
        <w:t xml:space="preserve"> Plankarta</w:t>
      </w:r>
    </w:p>
    <w:p>
      <w:pPr>
        <w:suppressAutoHyphens w:val="0"/>
        <w:ind w:left="0" w:right="0"/>
        <w:rPr>
          <w:rFonts w:ascii="Arial Black" w:hAnsi="Arial Black" w:eastAsiaTheme="majorEastAsia"/>
          <w:noProof w:val="1"/>
        </w:rPr>
      </w:pPr>
      <w:bookmarkEnd w:id="76"/>
      <w:r>
        <w:rPr>
          <w:rFonts w:ascii="Arial Black" w:hAnsi="Arial Black" w:eastAsiaTheme="majorEastAsia"/>
          <w:noProof w:val="1"/>
        </w:rPr>
        <w:tab/>
        <w:tab/>
        <w:tab/>
      </w:r>
    </w:p>
    <w:p>
      <w:pPr>
        <w:pStyle w:val="P3"/>
      </w:pPr>
      <w:bookmarkStart w:id="77" w:name="be_heladetaljplan05"/>
      <w:r>
        <w:t>Bestämmelser</w:t>
      </w:r>
    </w:p>
    <w:p>
      <w:r>
        <w:t xml:space="preserve">Detaljplanen är upprättad med stöd av PBL 2010:900. Detaljplanen upprättas enligt Boverkets föreskrifter (BFS 2020:5) och Boverkets allmänna råd </w:t>
        <w:br w:type="textWrapping"/>
        <w:t>(BFS 2020:6).</w:t>
      </w:r>
    </w:p>
    <w:p>
      <w:bookmarkEnd w:id="77"/>
      <w:bookmarkStart w:id="78" w:name="_Toc530578884"/>
      <w:bookmarkStart w:id="79" w:name="_Toc530579021"/>
    </w:p>
    <w:p>
      <w:pPr>
        <w:rPr>
          <w:rFonts w:ascii="Gotham Light" w:hAnsi="Gotham Light"/>
          <w:sz w:val="28"/>
          <w:szCs w:val="28"/>
        </w:rPr>
      </w:pPr>
      <w:bookmarkStart w:id="80" w:name="be_heladetaljplan06"/>
      <w:r>
        <w:rPr>
          <w:rFonts w:ascii="Gotham Light" w:hAnsi="Gotham Light"/>
          <w:sz w:val="24"/>
          <w:szCs w:val="28"/>
        </w:rPr>
        <w:t>Användning av mark och vatten</w:t>
      </w:r>
      <w:bookmarkEnd w:id="78"/>
      <w:bookmarkEnd w:id="79"/>
      <w:r>
        <w:rPr>
          <w:rFonts w:ascii="Gotham Light" w:hAnsi="Gotham Light"/>
          <w:sz w:val="28"/>
          <w:szCs w:val="28"/>
        </w:rPr>
        <w:t xml:space="preserve"> </w:t>
      </w:r>
    </w:p>
    <w:p>
      <w:pPr>
        <w:rPr>
          <w:rFonts w:ascii="Gotham Light" w:hAnsi="Gotham Light"/>
          <w:sz w:val="28"/>
          <w:szCs w:val="28"/>
        </w:rPr>
      </w:pPr>
    </w:p>
    <w:p>
      <w:pPr>
        <w:rPr>
          <w:rFonts w:ascii="Gotham Light" w:hAnsi="Gotham Light"/>
          <w:szCs w:val="22"/>
        </w:rPr>
      </w:pPr>
      <w:r>
        <w:t>Inom planområdet tillåts gatumark, verksamhet- och handelstomter, natur, teknisk anläggning i form av transformatorstation samt bostadsmark</w:t>
      </w:r>
      <w:r>
        <w:rPr>
          <w:rFonts w:ascii="Gotham Light" w:hAnsi="Gotham Light"/>
          <w:szCs w:val="22"/>
        </w:rPr>
        <w:t>.</w:t>
      </w:r>
    </w:p>
    <w:p>
      <w:pPr>
        <w:pStyle w:val="P11"/>
      </w:pPr>
      <w:bookmarkEnd w:id="80"/>
      <w:r>
        <w:tab/>
        <w:tab/>
      </w:r>
    </w:p>
    <w:p>
      <w:pPr>
        <w:suppressAutoHyphens w:val="0"/>
        <w:ind w:left="0" w:right="0"/>
        <w:rPr>
          <w:rFonts w:ascii="Gotham Light" w:hAnsi="Gotham Light"/>
          <w:noProof w:val="1"/>
          <w:sz w:val="24"/>
        </w:rPr>
      </w:pPr>
      <w:bookmarkStart w:id="81" w:name="_Toc530578885"/>
      <w:bookmarkStart w:id="82" w:name="_Toc530579022"/>
      <w:r>
        <w:br w:type="page"/>
      </w:r>
    </w:p>
    <w:p>
      <w:pPr>
        <w:pStyle w:val="P2"/>
      </w:pPr>
      <w:bookmarkStart w:id="83" w:name="_Toc151732630"/>
      <w:r>
        <w:t>Allmäna platser med kommunalt huvudmannaskap</w:t>
      </w:r>
      <w:bookmarkEnd w:id="81"/>
      <w:bookmarkEnd w:id="82"/>
      <w:bookmarkEnd w:id="83"/>
    </w:p>
    <w:p>
      <w:pPr>
        <w:ind w:left="0"/>
        <w:rPr>
          <w:rFonts w:ascii="Arial Black" w:hAnsi="Arial Black"/>
          <w:sz w:val="24"/>
          <w:highlight w:val="yellow"/>
        </w:rPr>
      </w:pPr>
    </w:p>
    <w:p>
      <w:pPr>
        <w:ind w:firstLine="426" w:left="3119"/>
        <w:rPr>
          <w:rFonts w:ascii="Gotham Light" w:hAnsi="Gotham Light"/>
          <w:sz w:val="24"/>
        </w:rPr>
      </w:pPr>
      <w:r>
        <w:rPr>
          <w:rFonts w:ascii="Arial Black" w:hAnsi="Arial Black"/>
          <w:noProof w:val="1"/>
          <w:sz w:val="24"/>
        </w:rPr>
        <w:drawing>
          <wp:anchor xmlns:wp="http://schemas.openxmlformats.org/drawingml/2006/wordprocessingDrawing" distT="0" distB="0" distL="114300" distR="114300" simplePos="0" relativeHeight="3" behindDoc="0" locked="0" layoutInCell="1" allowOverlap="1">
            <wp:simplePos x="0" y="0"/>
            <wp:positionH relativeFrom="column">
              <wp:posOffset>1108710</wp:posOffset>
            </wp:positionH>
            <wp:positionV relativeFrom="paragraph">
              <wp:posOffset>7620</wp:posOffset>
            </wp:positionV>
            <wp:extent cx="600710" cy="136525"/>
            <wp:effectExtent l="19050" t="19050" r="8890" b="15875"/>
            <wp:wrapNone/>
            <wp:docPr id="24" name="Bildobjekt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3"/>
                    <pic:cNvPicPr/>
                  </pic:nvPicPr>
                  <pic:blipFill dpi="0">
                    <a:blip xmlns:r="http://schemas.openxmlformats.org/officeDocument/2006/relationships" r:embed="Relimage6"/>
                    <a:srcRect/>
                    <a:stretch>
                      <a:fillRect/>
                    </a:stretch>
                  </pic:blipFill>
                  <pic:spPr>
                    <a:xfrm>
                      <a:off x="0" y="0"/>
                      <a:ext cx="601202" cy="136802"/>
                    </a:xfrm>
                    <a:prstGeom prst="rect"/>
                    <a:ln>
                      <a:solidFill>
                        <a:schemeClr val="tx1"/>
                      </a:solidFill>
                    </a:ln>
                  </pic:spPr>
                </pic:pic>
              </a:graphicData>
            </a:graphic>
          </wp:anchor>
        </w:drawing>
      </w:r>
      <w:bookmarkStart w:id="84" w:name="be_allmänplats04"/>
      <w:r>
        <w:rPr>
          <w:rFonts w:ascii="Arial Black" w:hAnsi="Arial Black"/>
          <w:sz w:val="24"/>
        </w:rPr>
        <w:t>G</w:t>
      </w:r>
      <w:bookmarkStart w:id="85" w:name="_Toc530578886"/>
      <w:bookmarkStart w:id="86" w:name="_Toc530579023"/>
      <w:r>
        <w:rPr>
          <w:rFonts w:ascii="Arial Black" w:hAnsi="Arial Black"/>
          <w:sz w:val="24"/>
        </w:rPr>
        <w:t>ata</w:t>
      </w:r>
      <w:bookmarkEnd w:id="85"/>
      <w:bookmarkEnd w:id="86"/>
    </w:p>
    <w:p>
      <w:pPr>
        <w:ind w:left="3545"/>
        <w:rPr>
          <w:rStyle w:val="C6"/>
          <w:i w:val="0"/>
          <w:iCs w:val="0"/>
        </w:rPr>
      </w:pPr>
      <w:r>
        <w:rPr>
          <w:shd w:val="clear" w:color="auto" w:fill="FFFFFF"/>
        </w:rPr>
        <w:t xml:space="preserve">Markanvändningen Gata används för områden avsedda främst för trafik inom en ort eller för trafik som har sitt mål vid gatan. </w:t>
      </w:r>
      <w:r>
        <w:rPr>
          <w:rStyle w:val="C6"/>
          <w:i w:val="0"/>
          <w:iCs w:val="0"/>
        </w:rPr>
        <w:t xml:space="preserve">En gata är en allmän plats som är avsedd både för fordonstrafik och gång- och cykeltrafik. </w:t>
      </w:r>
    </w:p>
    <w:p>
      <w:pPr>
        <w:ind w:left="3545"/>
        <w:rPr>
          <w:rStyle w:val="C6"/>
          <w:i w:val="0"/>
          <w:iCs w:val="0"/>
        </w:rPr>
      </w:pPr>
    </w:p>
    <w:p>
      <w:pPr>
        <w:ind w:left="3545"/>
        <w:rPr>
          <w:rStyle w:val="C6"/>
          <w:i w:val="0"/>
          <w:iCs w:val="0"/>
        </w:rPr>
      </w:pPr>
      <w:r>
        <w:rPr>
          <w:rStyle w:val="C6"/>
          <w:i w:val="0"/>
          <w:iCs w:val="0"/>
        </w:rPr>
        <w:t>I användningen ingår lokalgator, industrigator, bussgator, gågator och gångfartsområden. I användningen ingår även komplement som behövs för gatans funktion. </w:t>
      </w:r>
      <w:r>
        <w:t xml:space="preserve"> </w:t>
      </w:r>
      <w:bookmarkEnd w:id="84"/>
      <w:r>
        <w:rPr>
          <w:rStyle w:val="C6"/>
          <w:i w:val="0"/>
          <w:iCs w:val="0"/>
        </w:rPr>
        <w:t xml:space="preserve"> </w:t>
      </w:r>
    </w:p>
    <w:p>
      <w:pPr>
        <w:pStyle w:val="P11"/>
        <w:ind w:left="3545"/>
      </w:pPr>
    </w:p>
    <w:p>
      <w:pPr>
        <w:pStyle w:val="P11"/>
        <w:ind w:left="3545"/>
        <w:rPr>
          <w:b w:val="1"/>
          <w:bCs w:val="1"/>
        </w:rPr>
      </w:pPr>
      <w:bookmarkStart w:id="87" w:name="mo_motivtillreglering01"/>
      <w:r>
        <w:rPr>
          <w:b w:val="1"/>
          <w:bCs w:val="1"/>
        </w:rPr>
        <w:t>Motiv: Befintliga gator samt delar av intilliggande mark regleras som GATA för att bekräfta nuvarande användningar och möjliggöra för cirkulationsplats, gång- och cykelvägar, säkrare gångpassager och grönytor som tillhör gaturummet. Gata möjliggör planens syfte.</w:t>
      </w:r>
    </w:p>
    <w:p>
      <w:pPr>
        <w:pStyle w:val="P11"/>
        <w:ind w:left="2836"/>
      </w:pPr>
      <w:bookmarkEnd w:id="87"/>
    </w:p>
    <w:p>
      <w:pPr>
        <w:pStyle w:val="P11"/>
        <w:ind w:left="2836"/>
      </w:pPr>
    </w:p>
    <w:p>
      <w:pPr>
        <w:pStyle w:val="P3"/>
        <w:ind w:firstLine="426" w:left="3119"/>
      </w:pPr>
      <w:bookmarkStart w:id="88" w:name="_Toc530578887"/>
      <w:bookmarkStart w:id="89" w:name="_Toc530579024"/>
      <w:bookmarkStart w:id="90" w:name="be_allmänplats05"/>
      <w:r>
        <w:t>Natur</w:t>
      </w:r>
      <w:bookmarkEnd w:id="88"/>
      <w:bookmarkEnd w:id="89"/>
    </w:p>
    <w:p>
      <w:pPr>
        <w:ind w:left="3545"/>
        <w:rPr>
          <w:rStyle w:val="C6"/>
          <w:i w:val="0"/>
          <w:iCs w:val="0"/>
        </w:rPr>
      </w:pPr>
      <w:r>
        <w:rPr>
          <w:rStyle w:val="C6"/>
          <w:i w:val="0"/>
          <w:iCs w:val="0"/>
          <w:noProof w:val="1"/>
        </w:rPr>
        <w:drawing>
          <wp:anchor xmlns:wp="http://schemas.openxmlformats.org/drawingml/2006/wordprocessingDrawing" distT="0" distB="0" distL="114300" distR="114300" simplePos="0" relativeHeight="2" behindDoc="0" locked="0" layoutInCell="1" allowOverlap="1">
            <wp:simplePos x="0" y="0"/>
            <wp:positionH relativeFrom="column">
              <wp:posOffset>1072515</wp:posOffset>
            </wp:positionH>
            <wp:positionV relativeFrom="paragraph">
              <wp:posOffset>17780</wp:posOffset>
            </wp:positionV>
            <wp:extent cx="608330" cy="147320"/>
            <wp:effectExtent l="19050" t="19050" r="20320" b="24130"/>
            <wp:wrapNone/>
            <wp:docPr id="25" name="Bildobjekt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4"/>
                    <pic:cNvPicPr/>
                  </pic:nvPicPr>
                  <pic:blipFill dpi="0">
                    <a:blip xmlns:r="http://schemas.openxmlformats.org/officeDocument/2006/relationships" r:embed="Relimage7"/>
                    <a:srcRect/>
                    <a:stretch>
                      <a:fillRect/>
                    </a:stretch>
                  </pic:blipFill>
                  <pic:spPr>
                    <a:xfrm>
                      <a:off x="0" y="0"/>
                      <a:ext cx="608400" cy="147602"/>
                    </a:xfrm>
                    <a:prstGeom prst="rect"/>
                    <a:ln>
                      <a:solidFill>
                        <a:schemeClr val="tx1"/>
                      </a:solidFill>
                    </a:ln>
                  </pic:spPr>
                </pic:pic>
              </a:graphicData>
            </a:graphic>
          </wp:anchor>
        </w:drawing>
      </w:r>
      <w:r>
        <w:rPr>
          <w:rStyle w:val="C6"/>
          <w:i w:val="0"/>
          <w:iCs w:val="0"/>
        </w:rPr>
        <w:t>Markanvändningen Natur används för grönområden som inte är anlagda och som inte kräver någon omfattande skötsel. Det kan handla om gröna stråk mellan bebyggelse som leder ut i större naturområden eller grönområden som utgör skydd mot störningar från buller eller ljus. Natur kan även innehålla utrymmen för omhändertagande av dagvatten, till exempel i form av utjämningsmagasin, våtmarker eller dammar.</w:t>
      </w:r>
    </w:p>
    <w:p>
      <w:pPr>
        <w:pStyle w:val="P11"/>
        <w:ind w:left="3545"/>
      </w:pPr>
      <w:bookmarkEnd w:id="90"/>
    </w:p>
    <w:p>
      <w:pPr>
        <w:pStyle w:val="P11"/>
        <w:ind w:left="3545"/>
        <w:rPr>
          <w:b w:val="1"/>
          <w:bCs w:val="1"/>
        </w:rPr>
      </w:pPr>
      <w:bookmarkStart w:id="91" w:name="mo_motivtillreglering02"/>
      <w:r>
        <w:rPr>
          <w:b w:val="1"/>
          <w:bCs w:val="1"/>
        </w:rPr>
        <w:t>Motiv: Syftet med bestämmelsen är att säkerställa att markanvändningen förblir naturmark som buffert mellan bostäder och transformatorstation och att kommunen är huvudman för naturmarken.</w:t>
      </w:r>
    </w:p>
    <w:p>
      <w:pPr>
        <w:suppressAutoHyphens w:val="0"/>
        <w:ind w:left="0" w:right="0"/>
        <w:rPr>
          <w:rFonts w:ascii="Gotham Light" w:hAnsi="Gotham Light"/>
          <w:noProof w:val="1"/>
          <w:sz w:val="24"/>
        </w:rPr>
      </w:pPr>
      <w:bookmarkEnd w:id="91"/>
      <w:r>
        <w:br w:type="page"/>
      </w:r>
    </w:p>
    <w:p>
      <w:pPr>
        <w:pStyle w:val="P2"/>
      </w:pPr>
      <w:bookmarkStart w:id="92" w:name="_Toc151732631"/>
      <w:r>
        <w:t>Kvartersmark</w:t>
      </w:r>
      <w:bookmarkEnd w:id="92"/>
    </w:p>
    <w:p>
      <w:pPr>
        <w:ind w:hanging="1844" w:left="3545"/>
        <w:rPr>
          <w:rFonts w:ascii="Arial Black" w:hAnsi="Arial Black"/>
          <w:sz w:val="24"/>
        </w:rPr>
      </w:pPr>
    </w:p>
    <w:p>
      <w:pPr>
        <w:pStyle w:val="P3"/>
        <w:rPr>
          <w:rFonts w:ascii="Gotham Light" w:hAnsi="Gotham Light"/>
        </w:rPr>
      </w:pPr>
      <w:bookmarkStart w:id="93" w:name="be_kvartersmark02"/>
      <w:r>
        <w:t>Verksamheter,</w:t>
      </w:r>
      <w:bookmarkEnd w:id="93"/>
      <w:r>
        <w:t xml:space="preserve"> Detaljhandel</w:t>
      </w:r>
      <w:r>
        <w:rPr>
          <w:rFonts w:ascii="Gotham Light" w:hAnsi="Gotham Light"/>
        </w:rPr>
        <w:tab/>
      </w:r>
    </w:p>
    <w:p>
      <w:pPr>
        <w:ind w:firstLine="426" w:left="3119"/>
      </w:pPr>
      <w:r>
        <w:rPr>
          <w:noProof w:val="1"/>
        </w:rPr>
        <w:drawing>
          <wp:anchor xmlns:wp="http://schemas.openxmlformats.org/drawingml/2006/wordprocessingDrawing" distT="0" distB="0" distL="114300" distR="114300" simplePos="0" relativeHeight="4" behindDoc="0" locked="0" layoutInCell="1" allowOverlap="1">
            <wp:simplePos x="0" y="0"/>
            <wp:positionH relativeFrom="column">
              <wp:posOffset>1091565</wp:posOffset>
            </wp:positionH>
            <wp:positionV relativeFrom="paragraph">
              <wp:posOffset>6350</wp:posOffset>
            </wp:positionV>
            <wp:extent cx="608330" cy="147320"/>
            <wp:effectExtent l="19050" t="19050" r="20320" b="24130"/>
            <wp:wrapNone/>
            <wp:docPr id="26" name="Bildobjekt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6"/>
                    <pic:cNvPicPr/>
                  </pic:nvPicPr>
                  <pic:blipFill dpi="0">
                    <a:blip xmlns:r="http://schemas.openxmlformats.org/officeDocument/2006/relationships" r:embed="Relimage8"/>
                    <a:srcRect/>
                    <a:stretch>
                      <a:fillRect/>
                    </a:stretch>
                  </pic:blipFill>
                  <pic:spPr>
                    <a:xfrm>
                      <a:off x="0" y="0"/>
                      <a:ext cx="608400" cy="147602"/>
                    </a:xfrm>
                    <a:prstGeom prst="rect"/>
                    <a:ln>
                      <a:solidFill>
                        <a:schemeClr val="tx1"/>
                      </a:solidFill>
                    </a:ln>
                  </pic:spPr>
                </pic:pic>
              </a:graphicData>
            </a:graphic>
          </wp:anchor>
        </w:drawing>
      </w:r>
      <w:bookmarkStart w:id="94" w:name="be_kvartersmark03"/>
      <w:r>
        <w:t xml:space="preserve">Användningen Verksamheter ska tillämpas för </w:t>
      </w:r>
    </w:p>
    <w:p>
      <w:pPr>
        <w:ind w:left="3545"/>
        <w:rPr>
          <w:sz w:val="24"/>
          <w:szCs w:val="24"/>
        </w:rPr>
      </w:pPr>
      <w:r>
        <w:t>områden för service, lager, tillverkning med tillhörande försäljning, partihandel och annan jämförlig verksamhet med begränsad omgivningspåverkan. Även komplement till verksamheten ingår i användningen.</w:t>
      </w:r>
    </w:p>
    <w:p>
      <w:pPr>
        <w:ind w:left="0"/>
        <w:rPr>
          <w:rFonts w:ascii="Gotham Light" w:hAnsi="Gotham Light"/>
          <w:color w:val="FF0000"/>
          <w:sz w:val="24"/>
        </w:rPr>
      </w:pPr>
      <w:bookmarkEnd w:id="94"/>
    </w:p>
    <w:p>
      <w:pPr>
        <w:ind w:firstLine="1" w:left="3545"/>
        <w:rPr>
          <w:b w:val="1"/>
          <w:bCs w:val="1"/>
        </w:rPr>
      </w:pPr>
      <w:bookmarkStart w:id="95" w:name="mo_motivtillreglering03"/>
      <w:r>
        <w:rPr>
          <w:b w:val="1"/>
          <w:bCs w:val="1"/>
        </w:rPr>
        <w:t>Motiv: Bestämmelsen säkerställer att nuvarande verksamheter kan fortsätta bedrivas. Eftersom tomterna omfattas av planen uppdateras bestämmelsen för verksamheter till en lydelse enligt gällande lagstiftning. Det innebär ingen ändring i verksamheten utifrån gällande plan utan endast uppdatering av bestämmelsen. Bestämmelsen möjliggör planens syfte genom att infarter till befintliga verksamhets- och handelstomter kan justeras mot ny trafiklösning.</w:t>
      </w:r>
    </w:p>
    <w:p>
      <w:pPr>
        <w:ind w:left="0"/>
        <w:rPr>
          <w:shd w:val="clear" w:color="auto" w:fill="FFFFFF"/>
        </w:rPr>
      </w:pPr>
      <w:bookmarkEnd w:id="95"/>
    </w:p>
    <w:p>
      <w:pPr>
        <w:ind w:left="3545"/>
        <w:rPr>
          <w:rStyle w:val="C6"/>
          <w:i w:val="0"/>
          <w:iCs w:val="0"/>
        </w:rPr>
      </w:pPr>
      <w:bookmarkStart w:id="96" w:name="be_kvartersmark09"/>
      <w:r>
        <w:rPr>
          <w:rStyle w:val="C6"/>
          <w:i w:val="0"/>
          <w:iCs w:val="0"/>
        </w:rPr>
        <w:t>Detaljhandel omfattar alla slag av köp och försäljning av varor och tjänster till framförallt privatpersoner. Försäljning av varor innefattar både dagligvaruhandel och sällanköpshandel. Till tjänster räknas exempelvis frisör och resebyrå. Även service och hantverk av olika slag till exempel bank och skomakeri ingår i användningen. Handeln kan äga rum i butiker, stormarknader, varuhus eller gallerior och kan bedrivas inomhus eller utomhus. Även komplement till handelsverksamheten ingår i användningen.</w:t>
      </w:r>
    </w:p>
    <w:p>
      <w:pPr>
        <w:ind w:hanging="1844" w:left="3545"/>
      </w:pPr>
      <w:bookmarkEnd w:id="96"/>
      <w:r>
        <w:tab/>
      </w:r>
    </w:p>
    <w:p>
      <w:pPr>
        <w:ind w:hanging="1844" w:left="3545"/>
        <w:rPr>
          <w:rFonts w:ascii="Gotham Light" w:hAnsi="Gotham Light"/>
          <w:b w:val="1"/>
          <w:bCs w:val="1"/>
          <w:sz w:val="24"/>
        </w:rPr>
      </w:pPr>
      <w:r>
        <w:tab/>
      </w:r>
      <w:bookmarkStart w:id="97" w:name="mo_motivtillreglering04"/>
      <w:r>
        <w:rPr>
          <w:b w:val="1"/>
          <w:bCs w:val="1"/>
        </w:rPr>
        <w:t>Motiv: Bestämmelsen säkerställer att nuvarande verksamheter kan fortsätta bedrivas. Bestämmelsen möjliggör planens syfte genom att infarter till befintliga verksamhets- och handelstomter kan justeras mot ny trafiklösning.</w:t>
      </w:r>
      <w:bookmarkEnd w:id="97"/>
      <w:r>
        <w:rPr>
          <w:b w:val="1"/>
          <w:bCs w:val="1"/>
        </w:rPr>
        <w:br w:type="page"/>
      </w:r>
    </w:p>
    <w:p>
      <w:pPr>
        <w:pStyle w:val="P3"/>
      </w:pPr>
      <w:bookmarkStart w:id="98" w:name="be_kvartersmark04"/>
      <w:r>
        <w:t>Bostäder</w:t>
      </w:r>
    </w:p>
    <w:p>
      <w:pPr>
        <w:ind w:left="3545"/>
        <w:rPr>
          <w:rStyle w:val="C6"/>
          <w:i w:val="0"/>
          <w:iCs w:val="0"/>
        </w:rPr>
      </w:pPr>
      <w:bookmarkStart w:id="99" w:name="_Toc530578889"/>
      <w:bookmarkStart w:id="100" w:name="_Toc530579026"/>
      <w:r>
        <w:rPr>
          <w:noProof w:val="1"/>
        </w:rPr>
        <w:drawing>
          <wp:anchor xmlns:wp="http://schemas.openxmlformats.org/drawingml/2006/wordprocessingDrawing" distT="0" distB="0" distL="114300" distR="114300" simplePos="0" relativeHeight="8" behindDoc="0" locked="0" layoutInCell="1" allowOverlap="1">
            <wp:simplePos x="0" y="0"/>
            <wp:positionH relativeFrom="column">
              <wp:posOffset>1118235</wp:posOffset>
            </wp:positionH>
            <wp:positionV relativeFrom="paragraph">
              <wp:posOffset>17780</wp:posOffset>
            </wp:positionV>
            <wp:extent cx="608330" cy="147320"/>
            <wp:effectExtent l="19050" t="19050" r="20320" b="24130"/>
            <wp:wrapNone/>
            <wp:docPr id="27" name="Bildobjekt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0"/>
                    <pic:cNvPicPr/>
                  </pic:nvPicPr>
                  <pic:blipFill dpi="0">
                    <a:blip xmlns:r="http://schemas.openxmlformats.org/officeDocument/2006/relationships" r:embed="Relimage9"/>
                    <a:srcRect/>
                    <a:stretch>
                      <a:fillRect/>
                    </a:stretch>
                  </pic:blipFill>
                  <pic:spPr>
                    <a:xfrm>
                      <a:off x="0" y="0"/>
                      <a:ext cx="608400" cy="147602"/>
                    </a:xfrm>
                    <a:prstGeom prst="rect"/>
                    <a:ln>
                      <a:solidFill>
                        <a:schemeClr val="tx1"/>
                      </a:solidFill>
                    </a:ln>
                  </pic:spPr>
                </pic:pic>
              </a:graphicData>
            </a:graphic>
          </wp:anchor>
        </w:drawing>
      </w:r>
      <w:bookmarkEnd w:id="99"/>
      <w:bookmarkEnd w:id="100"/>
      <w:r>
        <w:rPr>
          <w:rStyle w:val="C6"/>
          <w:i w:val="0"/>
          <w:iCs w:val="0"/>
        </w:rPr>
        <w:t>Med användningen Bostäder avses boende med varaktig karaktär. I användningen ingår vanliga bostäder, fritidshus och olika typer av kategoribostäder som till exempel studentbostäder och seniorbostäder. Även gruppbostäder, träningsbostäder och liknande typer av boenden som innefattar viss omsorg kan ingå, om inte vårdinslaget är för stort.</w:t>
      </w:r>
    </w:p>
    <w:p>
      <w:pPr>
        <w:ind w:left="3545"/>
        <w:rPr>
          <w:rStyle w:val="C6"/>
          <w:i w:val="0"/>
          <w:iCs w:val="0"/>
        </w:rPr>
      </w:pPr>
    </w:p>
    <w:p>
      <w:pPr>
        <w:ind w:left="3545"/>
        <w:rPr>
          <w:rStyle w:val="C6"/>
          <w:i w:val="0"/>
          <w:iCs w:val="0"/>
        </w:rPr>
      </w:pPr>
      <w:r>
        <w:rPr>
          <w:rStyle w:val="C6"/>
          <w:i w:val="0"/>
          <w:iCs w:val="0"/>
        </w:rPr>
        <w:t>I användningen ingår också bostadskomplement av olika slag. Bostadskomplement kan ligga i eller i anslutning till bostaden och är sådant som är till för de boendes behov. Det kan till exempel vara garage, parkering, tvättstuga, gäststuga eller gästlägenhet, växthus, lekplats och miljöhus för flerbostadshus. Även förskola i begränsad omfattning som är inrymd i ett flerbostadshus kan betraktas som bostadskomplement.</w:t>
      </w:r>
    </w:p>
    <w:p>
      <w:pPr>
        <w:pStyle w:val="P11"/>
        <w:ind w:left="3545"/>
      </w:pPr>
      <w:bookmarkEnd w:id="98"/>
    </w:p>
    <w:p>
      <w:pPr>
        <w:pStyle w:val="P11"/>
        <w:ind w:left="3545"/>
        <w:rPr>
          <w:b w:val="1"/>
          <w:bCs w:val="1"/>
        </w:rPr>
      </w:pPr>
      <w:bookmarkStart w:id="101" w:name="mo_motivtillreglering05"/>
      <w:r>
        <w:rPr>
          <w:b w:val="1"/>
          <w:bCs w:val="1"/>
        </w:rPr>
        <w:t xml:space="preserve">Motiv: Bostäder möjliggör planens syfte genom att anpassa användningsgräns mot ny trafiklösning. </w:t>
      </w:r>
    </w:p>
    <w:p>
      <w:pPr>
        <w:pStyle w:val="P11"/>
        <w:ind w:left="3545"/>
      </w:pPr>
      <w:bookmarkEnd w:id="101"/>
    </w:p>
    <w:p>
      <w:pPr>
        <w:pStyle w:val="P11"/>
        <w:ind w:left="3545"/>
      </w:pPr>
    </w:p>
    <w:p>
      <w:pPr>
        <w:pStyle w:val="P3"/>
      </w:pPr>
      <w:bookmarkStart w:id="102" w:name="be_kvartersmark05"/>
      <w:r>
        <w:t>Teknisk anläggning, transformatorstation</w:t>
      </w:r>
    </w:p>
    <w:p>
      <w:pPr>
        <w:ind w:left="3545"/>
        <w:rPr>
          <w:rStyle w:val="C6"/>
        </w:rPr>
      </w:pPr>
      <w:r>
        <w:rPr>
          <w:noProof w:val="1"/>
        </w:rPr>
        <w:drawing>
          <wp:anchor xmlns:wp="http://schemas.openxmlformats.org/drawingml/2006/wordprocessingDrawing" distT="0" distB="0" distL="114300" distR="114300" simplePos="0" relativeHeight="6" behindDoc="0" locked="0" layoutInCell="1" allowOverlap="1">
            <wp:simplePos x="0" y="0"/>
            <wp:positionH relativeFrom="column">
              <wp:posOffset>1125855</wp:posOffset>
            </wp:positionH>
            <wp:positionV relativeFrom="paragraph">
              <wp:posOffset>65405</wp:posOffset>
            </wp:positionV>
            <wp:extent cx="608330" cy="147320"/>
            <wp:effectExtent l="19050" t="19050" r="20320" b="24130"/>
            <wp:wrapNone/>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1"/>
                    <pic:cNvPicPr/>
                  </pic:nvPicPr>
                  <pic:blipFill dpi="0">
                    <a:blip xmlns:r="http://schemas.openxmlformats.org/officeDocument/2006/relationships" r:embed="Relimage10"/>
                    <a:srcRect/>
                    <a:stretch>
                      <a:fillRect/>
                    </a:stretch>
                  </pic:blipFill>
                  <pic:spPr>
                    <a:xfrm>
                      <a:off x="0" y="0"/>
                      <a:ext cx="608400" cy="147602"/>
                    </a:xfrm>
                    <a:prstGeom prst="rect"/>
                    <a:ln>
                      <a:solidFill>
                        <a:schemeClr val="tx1"/>
                      </a:solidFill>
                    </a:ln>
                  </pic:spPr>
                </pic:pic>
              </a:graphicData>
            </a:graphic>
          </wp:anchor>
        </w:drawing>
      </w:r>
      <w:r>
        <w:rPr>
          <w:rStyle w:val="C6"/>
          <w:i w:val="0"/>
          <w:iCs w:val="0"/>
        </w:rPr>
        <w:t>Användningen Tekniska anläggningar omfattar flera olika typer av tekniska anläggningar. Det handlar om anläggningar för produktion, distribution, omvandling eller hantering av elektricitet, tele, TV- och radiosignaler, digital datatrafik samt värme, kyla, vatten, avlopp och avfall eller om annan teknisk anläggning.</w:t>
      </w:r>
    </w:p>
    <w:p>
      <w:pPr>
        <w:ind w:left="3545"/>
      </w:pPr>
      <w:bookmarkEnd w:id="102"/>
    </w:p>
    <w:p>
      <w:pPr>
        <w:ind w:left="3545"/>
        <w:rPr>
          <w:b w:val="1"/>
          <w:bCs w:val="1"/>
        </w:rPr>
      </w:pPr>
      <w:bookmarkStart w:id="103" w:name="mo_motivtillreglering06"/>
      <w:r>
        <w:rPr>
          <w:b w:val="1"/>
          <w:bCs w:val="1"/>
        </w:rPr>
        <w:t>Motiv: Teknisk anläggning med preciseringen transformatorstation möjliggör planens syfte att reglera befintlig teknisk anläggning.</w:t>
      </w:r>
    </w:p>
    <w:p>
      <w:pPr>
        <w:pStyle w:val="P11"/>
      </w:pPr>
      <w:bookmarkEnd w:id="103"/>
    </w:p>
    <w:p>
      <w:pPr>
        <w:suppressAutoHyphens w:val="0"/>
        <w:ind w:left="0" w:right="0"/>
        <w:rPr>
          <w:rFonts w:ascii="Gotham Light" w:hAnsi="Gotham Light"/>
          <w:sz w:val="24"/>
        </w:rPr>
      </w:pPr>
      <w:bookmarkStart w:id="104" w:name="_Toc530578890"/>
      <w:bookmarkStart w:id="105" w:name="_Toc530579027"/>
      <w:r>
        <w:rPr>
          <w:rFonts w:ascii="Gotham Light" w:hAnsi="Gotham Light"/>
          <w:sz w:val="24"/>
        </w:rPr>
        <w:br w:type="page"/>
      </w:r>
    </w:p>
    <w:p>
      <w:pPr>
        <w:rPr>
          <w:rFonts w:ascii="Gotham Light" w:hAnsi="Gotham Light"/>
          <w:sz w:val="24"/>
        </w:rPr>
      </w:pPr>
      <w:r>
        <w:rPr>
          <w:rFonts w:ascii="Gotham Light" w:hAnsi="Gotham Light"/>
          <w:sz w:val="24"/>
        </w:rPr>
        <w:t>Egenskapsbestämmelser för kvartersmark</w:t>
      </w:r>
      <w:bookmarkEnd w:id="104"/>
      <w:bookmarkEnd w:id="105"/>
    </w:p>
    <w:p>
      <w:pPr>
        <w:pStyle w:val="P11"/>
      </w:pPr>
    </w:p>
    <w:p>
      <w:pPr>
        <w:pStyle w:val="P3"/>
      </w:pPr>
      <w:bookmarkStart w:id="106" w:name="_Toc530578891"/>
      <w:bookmarkStart w:id="107" w:name="_Toc530579028"/>
      <w:bookmarkStart w:id="108" w:name="be_kvartersmark06"/>
      <w:r>
        <w:t>Begränsning av marken utnyttjande</w:t>
      </w:r>
      <w:bookmarkEnd w:id="106"/>
      <w:bookmarkEnd w:id="107"/>
    </w:p>
    <w:p>
      <w:pPr>
        <w:rPr>
          <w:b w:val="1"/>
          <w:bCs w:val="1"/>
          <w:iCs w:val="1"/>
        </w:rPr>
      </w:pPr>
      <w:r>
        <w:rPr>
          <w:noProof w:val="1"/>
        </w:rPr>
        <w:drawing>
          <wp:anchor xmlns:wp="http://schemas.openxmlformats.org/drawingml/2006/wordprocessingDrawing" distT="0" distB="0" distL="114300" distR="114300" simplePos="0" relativeHeight="251622400" behindDoc="1" locked="0" layoutInCell="1" allowOverlap="1">
            <wp:simplePos x="0" y="0"/>
            <wp:positionH relativeFrom="column">
              <wp:posOffset>1144270</wp:posOffset>
            </wp:positionH>
            <wp:positionV relativeFrom="paragraph">
              <wp:posOffset>13970</wp:posOffset>
            </wp:positionV>
            <wp:extent cx="604520" cy="267335"/>
            <wp:effectExtent l="0" t="0" r="5080" b="0"/>
            <wp:wrapNone/>
            <wp:docPr id="5" name="Bildobjekt 5" descr="F:\KSF\Sbe\Planer\Illustrationer\Symboler planbestämmelsekatalog\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KSF\Sbe\Planer\Illustrationer\Symboler planbestämmelsekatalog\18.png"/>
                    <pic:cNvPicPr>
                      <a:picLocks noChangeAspect="1" noChangeArrowheads="1"/>
                    </pic:cNvPicPr>
                  </pic:nvPicPr>
                  <pic:blipFill dpi="0">
                    <a:blip xmlns:r="http://schemas.openxmlformats.org/officeDocument/2006/relationships" r:embed="Relimage11" cstate="print"/>
                    <a:srcRect/>
                    <a:stretch>
                      <a:fillRect/>
                    </a:stretch>
                  </pic:blipFill>
                  <pic:spPr bwMode="auto">
                    <a:xfrm>
                      <a:off x="0" y="0"/>
                      <a:ext cx="604520" cy="267335"/>
                    </a:xfrm>
                    <a:prstGeom prst="rect"/>
                    <a:noFill/>
                    <a:ln>
                      <a:noFill/>
                    </a:ln>
                  </pic:spPr>
                </pic:pic>
              </a:graphicData>
            </a:graphic>
          </wp:anchor>
        </w:drawing>
      </w:r>
      <w:r>
        <w:rPr>
          <w:i w:val="1"/>
        </w:rPr>
        <w:tab/>
        <w:tab/>
        <w:tab/>
      </w:r>
      <w:r>
        <w:rPr>
          <w:b w:val="1"/>
          <w:bCs w:val="1"/>
          <w:iCs w:val="1"/>
        </w:rPr>
        <w:t>Marken får inte förses med byggnad</w:t>
      </w:r>
    </w:p>
    <w:p>
      <w:pPr>
        <w:ind w:left="3545"/>
        <w:rPr>
          <w:rStyle w:val="C6"/>
          <w:i w:val="0"/>
          <w:iCs w:val="0"/>
        </w:rPr>
      </w:pPr>
      <w:r>
        <w:rPr>
          <w:rStyle w:val="C6"/>
          <w:i w:val="0"/>
          <w:iCs w:val="0"/>
        </w:rPr>
        <w:t xml:space="preserve">Med en bestämmelse om begränsning av markens utnyttjande kan kommunen reglera att marken inte får förses med byggnad inom ett egenskapsområde. Det innebär att de byggnader som omfattas av bestämmelsen varken får uppföras, byggas till inom eller flyttas till egenskapsområdet. </w:t>
      </w:r>
    </w:p>
    <w:p>
      <w:pPr>
        <w:ind w:left="3545"/>
      </w:pPr>
      <w:bookmarkEnd w:id="108"/>
    </w:p>
    <w:p>
      <w:pPr>
        <w:ind w:left="3545"/>
        <w:rPr>
          <w:b w:val="1"/>
          <w:bCs w:val="1"/>
        </w:rPr>
      </w:pPr>
      <w:bookmarkStart w:id="109" w:name="mo_motivtillreglering07"/>
      <w:r>
        <w:rPr>
          <w:b w:val="1"/>
          <w:bCs w:val="1"/>
        </w:rPr>
        <w:t>Motiv: Marken behöver vara fri från byggnader av trafiksäkerhetsskäl genom att säkra siktförhållanden i gatumiljön.</w:t>
      </w:r>
    </w:p>
    <w:p>
      <w:pPr>
        <w:pStyle w:val="P11"/>
        <w:ind w:left="0"/>
      </w:pPr>
      <w:bookmarkEnd w:id="109"/>
    </w:p>
    <w:p>
      <w:pPr>
        <w:pStyle w:val="P11"/>
        <w:ind w:left="0"/>
      </w:pPr>
    </w:p>
    <w:p>
      <w:pPr>
        <w:pStyle w:val="P3"/>
      </w:pPr>
      <w:bookmarkStart w:id="110" w:name="be_kvartersmark07"/>
      <w:r>
        <w:t xml:space="preserve">Utfart </w:t>
        <w:tab/>
        <w:tab/>
      </w:r>
    </w:p>
    <w:p>
      <w:r>
        <w:rPr>
          <w:i w:val="1"/>
          <w:iCs w:val="1"/>
          <w:noProof w:val="1"/>
        </w:rPr>
        <w:drawing>
          <wp:inline xmlns:wp="http://schemas.openxmlformats.org/drawingml/2006/wordprocessingDrawing" distT="0" distB="0" distL="0" distR="0">
            <wp:extent cx="890905" cy="99060"/>
            <wp:effectExtent l="0" t="0" r="4445" b="0"/>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objekt 3"/>
                    <pic:cNvPicPr/>
                  </pic:nvPicPr>
                  <pic:blipFill dpi="0">
                    <a:blip xmlns:r="http://schemas.openxmlformats.org/officeDocument/2006/relationships" r:embed="Relimage12" cstate="print"/>
                    <a:srcRect/>
                    <a:stretch>
                      <a:fillRect/>
                    </a:stretch>
                  </pic:blipFill>
                  <pic:spPr>
                    <a:xfrm flipV="1">
                      <a:off x="0" y="0"/>
                      <a:ext cx="1006924" cy="111882"/>
                    </a:xfrm>
                    <a:prstGeom prst="rect"/>
                  </pic:spPr>
                </pic:pic>
              </a:graphicData>
            </a:graphic>
          </wp:inline>
        </w:drawing>
      </w:r>
      <w:r>
        <w:rPr>
          <w:i w:val="1"/>
          <w:iCs w:val="1"/>
        </w:rPr>
        <w:tab/>
      </w:r>
      <w:r>
        <w:rPr>
          <w:b w:val="1"/>
          <w:bCs w:val="1"/>
        </w:rPr>
        <w:t>Utfart får inte anordnas</w:t>
      </w:r>
    </w:p>
    <w:p>
      <w:pPr>
        <w:ind w:firstLine="3" w:left="3542"/>
        <w:rPr>
          <w:rStyle w:val="C6"/>
          <w:i w:val="0"/>
          <w:iCs w:val="0"/>
        </w:rPr>
      </w:pPr>
      <w:r>
        <w:rPr>
          <w:rStyle w:val="C6"/>
          <w:i w:val="0"/>
          <w:iCs w:val="0"/>
        </w:rPr>
        <w:t xml:space="preserve">Med planbestämmelser om utfart och annan utgång kan kommunen reglera var det ska finnas utfartsförbud. Begreppen utfart och annan utgång innefattar även infart och annan ingång. </w:t>
      </w:r>
      <w:r>
        <w:t>Regleringen i denna plan avser inte förbud för förbindelse för gång eller cykel.</w:t>
      </w:r>
    </w:p>
    <w:p>
      <w:pPr>
        <w:pStyle w:val="P11"/>
        <w:ind w:left="3542"/>
      </w:pPr>
      <w:bookmarkEnd w:id="110"/>
    </w:p>
    <w:p>
      <w:pPr>
        <w:pStyle w:val="P11"/>
        <w:ind w:left="3542"/>
        <w:rPr>
          <w:b w:val="1"/>
          <w:bCs w:val="1"/>
          <w:sz w:val="36"/>
          <w:szCs w:val="32"/>
        </w:rPr>
      </w:pPr>
      <w:bookmarkStart w:id="111" w:name="mo_motivtillreglering08"/>
      <w:r>
        <w:rPr>
          <w:b w:val="1"/>
          <w:bCs w:val="1"/>
        </w:rPr>
        <w:t xml:space="preserve">Motiv: Utfart för motorfordon är inte lämpligt mot cirkulationsplatsen. Utfart för motorfordon är inte heller lämplig längs Vattentornsvägen och utfarter för motorfordon mot Folkparksvägen behöver begränsas. Dock får anslutning för gång och cykel till gång- och cykelväg anläggas mot utfartsförbudet. </w:t>
      </w:r>
      <w:bookmarkEnd w:id="111"/>
      <w:r>
        <w:rPr>
          <w:b w:val="1"/>
          <w:bCs w:val="1"/>
          <w:sz w:val="36"/>
          <w:szCs w:val="32"/>
        </w:rPr>
        <w:tab/>
        <w:tab/>
      </w:r>
    </w:p>
    <w:p>
      <w:pPr>
        <w:pStyle w:val="P11"/>
        <w:ind w:left="3542"/>
        <w:rPr>
          <w:b w:val="1"/>
          <w:bCs w:val="1"/>
          <w:sz w:val="36"/>
          <w:szCs w:val="32"/>
        </w:rPr>
      </w:pPr>
    </w:p>
    <w:p>
      <w:pPr>
        <w:pStyle w:val="P11"/>
        <w:ind w:left="3542"/>
        <w:rPr>
          <w:b w:val="1"/>
          <w:bCs w:val="1"/>
        </w:rPr>
      </w:pPr>
      <w:r>
        <w:rPr>
          <w:b w:val="1"/>
          <w:bCs w:val="1"/>
          <w:sz w:val="36"/>
          <w:szCs w:val="32"/>
        </w:rPr>
        <w:tab/>
        <w:tab/>
        <w:tab/>
      </w:r>
    </w:p>
    <w:p>
      <w:pPr>
        <w:pStyle w:val="P3"/>
      </w:pPr>
      <w:bookmarkStart w:id="112" w:name="be_genomförandetid01"/>
      <w:r>
        <w:t>Genomförandetid</w:t>
        <w:tab/>
        <w:tab/>
        <w:tab/>
      </w:r>
    </w:p>
    <w:p>
      <w:pPr>
        <w:ind w:left="3545"/>
        <w:rPr>
          <w:b w:val="1"/>
          <w:bCs w:val="1"/>
          <w:iCs w:val="1"/>
        </w:rPr>
      </w:pPr>
      <w:r>
        <w:rPr>
          <w:b w:val="1"/>
          <w:bCs w:val="1"/>
          <w:iCs w:val="1"/>
        </w:rPr>
        <w:t>Genomförandetiden</w:t>
      </w:r>
      <w:r>
        <w:rPr>
          <w:iCs w:val="1"/>
        </w:rPr>
        <w:t xml:space="preserve"> </w:t>
      </w:r>
      <w:r>
        <w:rPr>
          <w:b w:val="1"/>
          <w:bCs w:val="1"/>
          <w:iCs w:val="1"/>
        </w:rPr>
        <w:t xml:space="preserve">är 60 månader från den dag då planen vinner laga kraft. </w:t>
      </w:r>
    </w:p>
    <w:p>
      <w:pPr>
        <w:ind w:firstLine="3" w:left="3542"/>
      </w:pPr>
      <w:r>
        <w:t>Genomförandetiden ger en skälig tid för en utbyggnad av området. Före genomförandetidens utgång, det vill säga både innan genomförandetiden börjar gälla och under genomförandetiden, får planen inte ändras, ersättas eller upphävas mot berörda fastighetsägares vilja.</w:t>
      </w:r>
      <w:r>
        <w:rPr>
          <w:rFonts w:ascii="Helvetica" w:hAnsi="Helvetica"/>
          <w:sz w:val="21"/>
          <w:szCs w:val="21"/>
          <w:shd w:val="clear" w:color="auto" w:fill="FFFFFF"/>
        </w:rPr>
        <w:t xml:space="preserve"> </w:t>
      </w:r>
      <w:r>
        <w:t>Fastighetsägarna har under planens genomförandetid en garanterad byggrätt i enlighet med planen. </w:t>
      </w:r>
      <w:bookmarkStart w:id="113" w:name="_Hlk125326251"/>
    </w:p>
    <w:p>
      <w:pPr>
        <w:ind w:left="0"/>
        <w:rPr>
          <w:b w:val="1"/>
          <w:bCs w:val="1"/>
        </w:rPr>
      </w:pPr>
    </w:p>
    <w:p>
      <w:pPr>
        <w:ind w:firstLine="3" w:left="3542"/>
      </w:pPr>
      <w:r>
        <w:rPr>
          <w:b w:val="1"/>
          <w:bCs w:val="1"/>
        </w:rPr>
        <w:t xml:space="preserve">Motiv för en genomförandetid på 60 månader är </w:t>
      </w:r>
      <w:bookmarkEnd w:id="113"/>
      <w:r>
        <w:rPr>
          <w:b w:val="1"/>
          <w:bCs w:val="1"/>
        </w:rPr>
        <w:t>att planen bedöms vara rimlig att genomföra under denna tid</w:t>
      </w:r>
      <w:r>
        <w:t>.</w:t>
      </w:r>
      <w:bookmarkEnd w:id="112"/>
    </w:p>
    <w:p>
      <w:pPr>
        <w:ind w:left="3545"/>
      </w:pPr>
    </w:p>
    <w:p>
      <w:pPr>
        <w:pStyle w:val="P3"/>
      </w:pPr>
      <w:bookmarkStart w:id="114" w:name="be_kvartersmark08"/>
      <w:r>
        <w:t xml:space="preserve">Markreservat för allmännyttiga ändamål </w:t>
      </w:r>
    </w:p>
    <w:p>
      <w:pPr>
        <w:pStyle w:val="P11"/>
        <w:ind w:hanging="1841" w:left="3542"/>
      </w:pPr>
      <w:r>
        <w:t>u</w:t>
      </w:r>
      <w:r>
        <w:rPr>
          <w:vertAlign w:val="subscript"/>
        </w:rPr>
        <w:t xml:space="preserve">1 </w:t>
      </w:r>
      <w:r>
        <w:rPr>
          <w:i w:val="1"/>
          <w:iCs w:val="1"/>
        </w:rPr>
        <w:tab/>
        <w:tab/>
      </w:r>
      <w:r>
        <w:rPr>
          <w:b w:val="1"/>
          <w:bCs w:val="1"/>
        </w:rPr>
        <w:t>Markreservat för allmännyttiga underjordiska ledningar</w:t>
      </w:r>
      <w:r>
        <w:t xml:space="preserve"> </w:t>
      </w:r>
    </w:p>
    <w:p>
      <w:pPr>
        <w:ind w:firstLine="3" w:left="3542"/>
        <w:rPr>
          <w:rStyle w:val="C6"/>
          <w:i w:val="0"/>
          <w:iCs w:val="0"/>
        </w:rPr>
      </w:pPr>
      <w:r>
        <w:rPr>
          <w:rStyle w:val="C6"/>
          <w:i w:val="0"/>
          <w:iCs w:val="0"/>
        </w:rPr>
        <w:t xml:space="preserve">Med bestämmelser om markreservat för allmännyttiga ändamål kan kommunen reservera områden för att ge utrymme för ett visst allmännyttigt ändamål. </w:t>
      </w:r>
    </w:p>
    <w:p>
      <w:pPr>
        <w:pStyle w:val="P11"/>
        <w:ind w:left="3542"/>
      </w:pPr>
      <w:bookmarkEnd w:id="114"/>
    </w:p>
    <w:p>
      <w:pPr>
        <w:pStyle w:val="P11"/>
        <w:ind w:left="3542"/>
        <w:rPr>
          <w:b w:val="1"/>
          <w:bCs w:val="1"/>
        </w:rPr>
      </w:pPr>
      <w:bookmarkStart w:id="115" w:name="mo_motivtillreglering10"/>
      <w:r>
        <w:rPr>
          <w:b w:val="1"/>
          <w:bCs w:val="1"/>
        </w:rPr>
        <w:t>Motiv: Inom angivet område finns idag en ledningsrätt för underjordiska ledningar. Motivet är att skydda ledningarnas framtida underhåll och läge.</w:t>
      </w:r>
    </w:p>
    <w:p>
      <w:pPr>
        <w:pStyle w:val="P11"/>
      </w:pPr>
      <w:bookmarkEnd w:id="115"/>
    </w:p>
    <w:p>
      <w:pPr>
        <w:pStyle w:val="P1"/>
      </w:pPr>
      <w:bookmarkStart w:id="116" w:name="_Toc531084982"/>
      <w:bookmarkStart w:id="117" w:name="_Toc151732632"/>
      <w:r>
        <w:t>PLANENS FÖRUTSÄTTNINGAR</w:t>
      </w:r>
      <w:bookmarkEnd w:id="116"/>
      <w:bookmarkEnd w:id="117"/>
      <w:bookmarkStart w:id="118" w:name="_Toc530399257"/>
      <w:bookmarkStart w:id="119" w:name="_Toc530402987"/>
    </w:p>
    <w:p>
      <w:pPr>
        <w:pStyle w:val="P2"/>
      </w:pPr>
      <w:bookmarkStart w:id="120" w:name="_Toc531084883"/>
      <w:bookmarkStart w:id="121" w:name="_Toc151732633"/>
      <w:r>
        <w:t>Tidigare ställningstaganden</w:t>
      </w:r>
      <w:bookmarkEnd w:id="120"/>
      <w:bookmarkEnd w:id="121"/>
      <w:r>
        <w:t xml:space="preserve"> </w:t>
      </w:r>
    </w:p>
    <w:p>
      <w:pPr>
        <w:pStyle w:val="P3"/>
      </w:pPr>
      <w:bookmarkStart w:id="122" w:name="pf_översiktsplan01"/>
      <w:r>
        <w:t>Översiktliga planer</w:t>
      </w:r>
      <w:bookmarkEnd w:id="118"/>
      <w:bookmarkEnd w:id="119"/>
    </w:p>
    <w:p>
      <w:pPr>
        <w:rPr>
          <w:szCs w:val="22"/>
        </w:rPr>
      </w:pPr>
      <w:r>
        <w:t xml:space="preserve">Översiktsplanen för Västerviks kommun är antagen av kommunfullmäktige </w:t>
      </w:r>
      <w:r>
        <w:rPr>
          <w:szCs w:val="22"/>
        </w:rPr>
        <w:t xml:space="preserve">2013-01-28, § 6. </w:t>
      </w:r>
    </w:p>
    <w:p>
      <w:pPr>
        <w:rPr>
          <w:szCs w:val="22"/>
        </w:rPr>
      </w:pPr>
    </w:p>
    <w:p>
      <w:pPr>
        <w:rPr>
          <w:szCs w:val="22"/>
        </w:rPr>
      </w:pPr>
      <w:r>
        <w:rPr>
          <w:szCs w:val="22"/>
        </w:rPr>
        <w:t>Översiktsplanen anger inga särskilda anvisningar för området och det gör inte heller den fördjupade tätortsstudien för Västervik (från 1992). Planområdet omfattas av bostäder och industri i den fördjupade tätortsstudien.</w:t>
      </w:r>
    </w:p>
    <w:p>
      <w:pPr>
        <w:rPr>
          <w:szCs w:val="22"/>
        </w:rPr>
      </w:pPr>
    </w:p>
    <w:p>
      <w:pPr>
        <w:rPr>
          <w:szCs w:val="22"/>
        </w:rPr>
      </w:pPr>
      <w:r>
        <w:rPr>
          <w:szCs w:val="22"/>
        </w:rPr>
        <w:t xml:space="preserve">I den till översiktsplanen hörande Trafikstrategi lyfts två mål som är av betydelse för planen eftersom den omfattar gatunätet: </w:t>
      </w:r>
    </w:p>
    <w:p>
      <w:pPr>
        <w:pStyle w:val="P22"/>
        <w:numPr>
          <w:ilvl w:val="0"/>
          <w:numId w:val="14"/>
        </w:numPr>
        <w:rPr>
          <w:szCs w:val="22"/>
        </w:rPr>
      </w:pPr>
      <w:r>
        <w:rPr>
          <w:szCs w:val="22"/>
        </w:rPr>
        <w:t xml:space="preserve">Cykelnätet ska vara sammanhängande, säkert, gent och med god </w:t>
      </w:r>
    </w:p>
    <w:p>
      <w:pPr>
        <w:rPr>
          <w:szCs w:val="22"/>
        </w:rPr>
      </w:pPr>
      <w:r>
        <w:rPr>
          <w:szCs w:val="22"/>
        </w:rPr>
        <w:t xml:space="preserve">ytstandard och med god belysning </w:t>
      </w:r>
    </w:p>
    <w:p>
      <w:pPr>
        <w:rPr>
          <w:szCs w:val="22"/>
        </w:rPr>
      </w:pPr>
      <w:r>
        <w:rPr>
          <w:rFonts w:ascii="Segoe UI Symbol" w:hAnsi="Segoe UI Symbol" w:cs="Segoe UI Symbol"/>
          <w:szCs w:val="22"/>
        </w:rPr>
        <w:t>-</w:t>
      </w:r>
      <w:r>
        <w:rPr>
          <w:szCs w:val="22"/>
        </w:rPr>
        <w:t xml:space="preserve"> Biltrafikens hastighet ska vara v</w:t>
      </w:r>
      <w:r>
        <w:rPr>
          <w:rFonts w:ascii="Calibri" w:hAnsi="Calibri" w:cs="Calibri"/>
          <w:szCs w:val="22"/>
        </w:rPr>
        <w:t>ä</w:t>
      </w:r>
      <w:r>
        <w:rPr>
          <w:szCs w:val="22"/>
        </w:rPr>
        <w:t>l avv</w:t>
      </w:r>
      <w:r>
        <w:rPr>
          <w:rFonts w:ascii="Calibri" w:hAnsi="Calibri" w:cs="Calibri"/>
          <w:szCs w:val="22"/>
        </w:rPr>
        <w:t>ä</w:t>
      </w:r>
      <w:r>
        <w:rPr>
          <w:szCs w:val="22"/>
        </w:rPr>
        <w:t xml:space="preserve">gd med andra trafikslag och </w:t>
      </w:r>
    </w:p>
    <w:p>
      <w:pPr>
        <w:rPr>
          <w:szCs w:val="22"/>
        </w:rPr>
      </w:pPr>
      <w:r>
        <w:rPr>
          <w:szCs w:val="22"/>
        </w:rPr>
        <w:t>stadsbyggnadskvaliteter</w:t>
      </w:r>
    </w:p>
    <w:p>
      <w:pPr>
        <w:rPr>
          <w:szCs w:val="22"/>
        </w:rPr>
      </w:pPr>
      <w:bookmarkEnd w:id="122"/>
    </w:p>
    <w:p>
      <w:pPr>
        <w:pStyle w:val="P3"/>
      </w:pPr>
      <w:bookmarkStart w:id="123" w:name="_Toc530399258"/>
      <w:bookmarkStart w:id="124" w:name="_Toc530402988"/>
      <w:bookmarkStart w:id="125" w:name="pf_detaljplan01"/>
      <w:r>
        <w:t>Detaljplaner</w:t>
      </w:r>
      <w:bookmarkEnd w:id="123"/>
      <w:bookmarkEnd w:id="124"/>
    </w:p>
    <w:p>
      <w:pPr>
        <w:rPr>
          <w:i w:val="1"/>
        </w:rPr>
      </w:pPr>
      <w:r>
        <w:rPr>
          <w:i w:val="1"/>
        </w:rPr>
        <w:t>Detaljplanen berör följande gällande planer:</w:t>
        <w:br w:type="textWrapping"/>
      </w:r>
    </w:p>
    <w:p>
      <w:pPr>
        <w:rPr>
          <w:szCs w:val="22"/>
        </w:rPr>
      </w:pPr>
      <w:r>
        <w:rPr>
          <w:szCs w:val="22"/>
        </w:rPr>
        <w:t>C 326 – Detaljplan för Didrikslund, del av Västervik 3:1, laga kraft 2013- 04- 24, genomförandetid 10 år. Delar som berörs är lokalgata, natur, bostäder och tekniska anläggningar. Delar av plan C 326 upphävs och ersätts med denna nya detaljplan.</w:t>
        <w:br w:type="textWrapping"/>
      </w:r>
    </w:p>
    <w:p>
      <w:pPr>
        <w:rPr>
          <w:szCs w:val="22"/>
        </w:rPr>
      </w:pPr>
      <w:r>
        <w:rPr>
          <w:szCs w:val="22"/>
        </w:rPr>
        <w:t>C 289 – Ändring av detaljplan för Kv Rullstenen 1, laga kraft 2002-10-11, genomförandetid 5 år. Delar som berörs är industri, hantverk som inte är störande för omgivningen. Hela C 289 upphävs till följd av denna nya detaljplan och ersätts med denna nya detaljplan.</w:t>
      </w:r>
    </w:p>
    <w:p>
      <w:pPr>
        <w:rPr>
          <w:szCs w:val="22"/>
        </w:rPr>
      </w:pPr>
    </w:p>
    <w:p>
      <w:pPr>
        <w:rPr>
          <w:szCs w:val="22"/>
        </w:rPr>
      </w:pPr>
      <w:r>
        <w:rPr>
          <w:szCs w:val="22"/>
        </w:rPr>
        <w:t>C203 – Detaljplan för del av Kvännarenområdet, laga kraft 1987-05-06. Genomförandetiden har gått ut. Delar som berörs är gata, gatuplantering, småindustri och handel, transformatorstation och bostäder. Delar av plan C 203 upphävs och ersätts med denna nya detaljplan.</w:t>
      </w:r>
    </w:p>
    <w:p>
      <w:pPr>
        <w:rPr>
          <w:i w:val="1"/>
        </w:rPr>
      </w:pPr>
    </w:p>
    <w:p>
      <w:pPr>
        <w:keepNext w:val="1"/>
      </w:pPr>
      <w:r>
        <w:rPr>
          <w:i w:val="1"/>
          <w:noProof w:val="1"/>
        </w:rPr>
        <w:drawing>
          <wp:inline xmlns:wp="http://schemas.openxmlformats.org/drawingml/2006/wordprocessingDrawing" distT="0" distB="0" distL="0" distR="0">
            <wp:extent cx="4727575" cy="3874135"/>
            <wp:effectExtent l="0" t="0" r="0" b="0"/>
            <wp:docPr id="4" name="Bildobjekt 4" descr="En bild som visar angränsande detaljplaner till aktuellt planområ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4" descr="En bild som visar angränsande detaljplaner till aktuellt planområde."/>
                    <pic:cNvPicPr/>
                  </pic:nvPicPr>
                  <pic:blipFill dpi="0">
                    <a:blip xmlns:r="http://schemas.openxmlformats.org/officeDocument/2006/relationships" r:embed="Relimage13" cstate="print"/>
                    <a:srcRect/>
                    <a:stretch>
                      <a:fillRect/>
                    </a:stretch>
                  </pic:blipFill>
                  <pic:spPr>
                    <a:xfrm>
                      <a:off x="0" y="0"/>
                      <a:ext cx="4739836" cy="3884771"/>
                    </a:xfrm>
                    <a:prstGeom prst="rect"/>
                  </pic:spPr>
                </pic:pic>
              </a:graphicData>
            </a:graphic>
          </wp:inline>
        </w:drawing>
      </w:r>
    </w:p>
    <w:p>
      <w:pPr>
        <w:pStyle w:val="P42"/>
        <w:ind w:left="1701"/>
        <w:rPr>
          <w:i w:val="0"/>
        </w:rPr>
      </w:pPr>
      <w:r>
        <w:t xml:space="preserve">Figur </w:t>
      </w:r>
      <w:r>
        <w:fldChar w:fldCharType="begin"/>
      </w:r>
      <w:r>
        <w:instrText xml:space="preserve"> SEQ Figur \* ARABIC </w:instrText>
      </w:r>
      <w:r>
        <w:fldChar w:fldCharType="separate"/>
      </w:r>
      <w:r>
        <w:rPr>
          <w:noProof w:val="1"/>
        </w:rPr>
        <w:t>6</w:t>
      </w:r>
      <w:r>
        <w:rPr>
          <w:noProof w:val="1"/>
        </w:rPr>
        <w:fldChar w:fldCharType="end"/>
      </w:r>
      <w:r>
        <w:t xml:space="preserve"> Angränsande detaljplaner</w:t>
      </w:r>
    </w:p>
    <w:p>
      <w:bookmarkEnd w:id="125"/>
    </w:p>
    <w:p>
      <w:pPr>
        <w:pStyle w:val="P3"/>
      </w:pPr>
      <w:bookmarkStart w:id="126" w:name="pf_planprogram01"/>
      <w:bookmarkStart w:id="127" w:name="_Toc530399281"/>
      <w:bookmarkStart w:id="128" w:name="_Toc530403011"/>
      <w:r>
        <w:rPr>
          <w:rStyle w:val="C10"/>
          <w:b w:val="0"/>
          <w:bCs w:val="0"/>
        </w:rPr>
        <w:t>Planprogram</w:t>
      </w:r>
    </w:p>
    <w:p>
      <w:r>
        <w:rPr>
          <w:rStyle w:val="C10"/>
          <w:b w:val="0"/>
          <w:bCs w:val="0"/>
        </w:rPr>
        <w:t xml:space="preserve">Planområdet berör del av ett stort område för ett pågående programarbete för </w:t>
      </w:r>
      <w:r>
        <w:rPr>
          <w:i w:val="1"/>
          <w:iCs w:val="1"/>
        </w:rPr>
        <w:t>Stora Infartsvägen, Allén</w:t>
      </w:r>
      <w:r>
        <w:t>,</w:t>
      </w:r>
      <w:r>
        <w:rPr>
          <w:rStyle w:val="C10"/>
          <w:b w:val="0"/>
          <w:bCs w:val="0"/>
        </w:rPr>
        <w:t xml:space="preserve"> som är uppstartsfasen.</w:t>
      </w:r>
      <w:r>
        <w:rPr>
          <w:rFonts w:ascii="Helvetica" w:hAnsi="Helvetica"/>
          <w:b w:val="1"/>
          <w:bCs w:val="1"/>
          <w:color w:val="333333"/>
          <w:sz w:val="20"/>
          <w:shd w:val="clear" w:color="auto" w:fill="FFFFFF"/>
        </w:rPr>
        <w:t xml:space="preserve"> </w:t>
      </w:r>
      <w:r>
        <w:t>Syftet med planprogrammet är att planlägga för områdets framtida användning och utveckling. Under senare tid har en utveckling av området skett, där flera verksamheter flyttat eller planerar att flytta sin verksamhet till annan lokalisering inom Västervik. Samtidigt har flera intresseförfrågningar om nyetableringar och bostadsbyggnation i området aktualiserats. Med anledning av pågående utveckling ser kommunen ett behov av att se över områdets utveckling på lång sikt för att få en samordnad och översiktlig plan för området. Något programförslag är ännu inte framtaget som denna plan kan förhålla sig till.</w:t>
      </w:r>
    </w:p>
    <w:p>
      <w:pPr>
        <w:keepNext w:val="1"/>
      </w:pPr>
      <w:r>
        <w:rPr>
          <w:noProof w:val="1"/>
        </w:rPr>
        <w:drawing>
          <wp:inline xmlns:wp="http://schemas.openxmlformats.org/drawingml/2006/wordprocessingDrawing" distT="0" distB="0" distL="0" distR="0">
            <wp:extent cx="5316855" cy="5316855"/>
            <wp:effectExtent l="0" t="0" r="0" b="0"/>
            <wp:docPr id="2" name="Bildobjekt 2" descr="Bild över det pågående planprogrammets avgräns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2" descr="Bild över det pågående planprogrammets avgränsning."/>
                    <pic:cNvPicPr>
                      <a:picLocks noChangeAspect="1" noChangeArrowheads="1"/>
                    </pic:cNvPicPr>
                  </pic:nvPicPr>
                  <pic:blipFill dpi="0">
                    <a:blip xmlns:r="http://schemas.openxmlformats.org/officeDocument/2006/relationships" r:embed="Relimage14"/>
                    <a:srcRect/>
                    <a:stretch>
                      <a:fillRect/>
                    </a:stretch>
                  </pic:blipFill>
                  <pic:spPr bwMode="auto">
                    <a:xfrm>
                      <a:off x="0" y="0"/>
                      <a:ext cx="5316855" cy="5316855"/>
                    </a:xfrm>
                    <a:prstGeom prst="rect"/>
                    <a:noFill/>
                    <a:ln>
                      <a:noFill/>
                    </a:ln>
                  </pic:spPr>
                </pic:pic>
              </a:graphicData>
            </a:graphic>
          </wp:inline>
        </w:drawing>
      </w:r>
    </w:p>
    <w:p>
      <w:pPr>
        <w:pStyle w:val="P42"/>
        <w:ind w:left="1701"/>
        <w:rPr>
          <w:rStyle w:val="C10"/>
          <w:b w:val="0"/>
          <w:bCs w:val="0"/>
        </w:rPr>
      </w:pPr>
      <w:r>
        <w:t xml:space="preserve">Figur </w:t>
      </w:r>
      <w:r>
        <w:fldChar w:fldCharType="begin"/>
      </w:r>
      <w:r>
        <w:instrText xml:space="preserve"> SEQ Figur \* ARABIC </w:instrText>
      </w:r>
      <w:r>
        <w:fldChar w:fldCharType="separate"/>
      </w:r>
      <w:r>
        <w:rPr>
          <w:noProof w:val="1"/>
        </w:rPr>
        <w:t>7</w:t>
      </w:r>
      <w:r>
        <w:rPr>
          <w:noProof w:val="1"/>
        </w:rPr>
        <w:fldChar w:fldCharType="end"/>
      </w:r>
      <w:r>
        <w:t>: Programområde Stora Infartsvägen, Allén.</w:t>
      </w:r>
    </w:p>
    <w:p>
      <w:pPr>
        <w:suppressAutoHyphens w:val="0"/>
        <w:ind w:left="0" w:right="0"/>
        <w:rPr>
          <w:rFonts w:ascii="Gotham Light" w:hAnsi="Gotham Light"/>
          <w:noProof w:val="1"/>
          <w:sz w:val="24"/>
        </w:rPr>
      </w:pPr>
      <w:bookmarkEnd w:id="126"/>
      <w:bookmarkStart w:id="129" w:name="_Toc531084884"/>
      <w:bookmarkStart w:id="130" w:name="_Toc530399278"/>
      <w:bookmarkStart w:id="131" w:name="_Toc530403008"/>
      <w:r>
        <w:br w:type="page"/>
      </w:r>
    </w:p>
    <w:p>
      <w:pPr>
        <w:pStyle w:val="P2"/>
        <w:rPr>
          <w:rFonts w:ascii="Garamond" w:hAnsi="Garamond"/>
        </w:rPr>
      </w:pPr>
      <w:bookmarkStart w:id="132" w:name="_Toc151732634"/>
      <w:bookmarkStart w:id="133" w:name="pf_riksintressen01"/>
      <w:r>
        <w:t>Intressen</w:t>
      </w:r>
      <w:bookmarkEnd w:id="129"/>
      <w:bookmarkEnd w:id="132"/>
      <w:r>
        <w:rPr>
          <w:rFonts w:ascii="Garamond" w:hAnsi="Garamond"/>
        </w:rPr>
        <w:tab/>
      </w:r>
    </w:p>
    <w:p>
      <w:r>
        <w:t xml:space="preserve">Riksintressen syftar till att värna vissa egenskaper eller värden hos ett mark- eller vattenområde. Områden av riksintresse ska skyddas mot åtgärder som påtagligt kan skada intressena. De värden som varit grund för utpekandet är utgångspunkten vid bedömningen av om en åtgärd kan anses medföra en påtaglig skada. </w:t>
      </w:r>
    </w:p>
    <w:p>
      <w:pPr>
        <w:pStyle w:val="P11"/>
      </w:pPr>
      <w:bookmarkEnd w:id="133"/>
    </w:p>
    <w:p>
      <w:pPr>
        <w:pStyle w:val="P3"/>
      </w:pPr>
      <w:bookmarkStart w:id="134" w:name="_Toc530399265"/>
      <w:bookmarkStart w:id="135" w:name="_Toc530402995"/>
      <w:bookmarkStart w:id="136" w:name="pf_naturvård01"/>
      <w:r>
        <w:t>Riksintresse naturvård</w:t>
      </w:r>
      <w:bookmarkEnd w:id="134"/>
      <w:bookmarkEnd w:id="135"/>
    </w:p>
    <w:p>
      <w:pPr>
        <w:spacing w:after="120" w:beforeAutospacing="0" w:afterAutospacing="0"/>
      </w:pPr>
      <w:r>
        <w:t>Planområdet ligger inte inom riksintresse för naturvård.</w:t>
      </w:r>
    </w:p>
    <w:p>
      <w:pPr>
        <w:pStyle w:val="P3"/>
      </w:pPr>
      <w:bookmarkEnd w:id="136"/>
      <w:bookmarkStart w:id="137" w:name="_Toc530399266"/>
      <w:bookmarkStart w:id="138" w:name="_Toc530402996"/>
      <w:bookmarkStart w:id="139" w:name="pf_kulturmiljövård01"/>
      <w:r>
        <w:t>Riksintresse kulturmiljövård</w:t>
      </w:r>
      <w:bookmarkEnd w:id="137"/>
      <w:bookmarkEnd w:id="138"/>
    </w:p>
    <w:p>
      <w:pPr>
        <w:spacing w:after="120" w:beforeAutospacing="0" w:afterAutospacing="0"/>
      </w:pPr>
      <w:r>
        <w:t>Planområdet ligger inte inom riksintresse för kulturmiljövård.</w:t>
      </w:r>
    </w:p>
    <w:p>
      <w:pPr>
        <w:pStyle w:val="P3"/>
      </w:pPr>
      <w:bookmarkEnd w:id="139"/>
      <w:bookmarkStart w:id="140" w:name="_Toc530391323"/>
      <w:bookmarkStart w:id="141" w:name="_Toc530399267"/>
      <w:bookmarkStart w:id="142" w:name="_Toc530402997"/>
      <w:bookmarkStart w:id="143" w:name="pf_trafikkommunikation01"/>
      <w:r>
        <w:t>Riksintresse kommunikation</w:t>
      </w:r>
      <w:bookmarkEnd w:id="140"/>
      <w:bookmarkEnd w:id="141"/>
      <w:bookmarkEnd w:id="142"/>
    </w:p>
    <w:p>
      <w:pPr>
        <w:spacing w:after="120" w:beforeAutospacing="0" w:afterAutospacing="0"/>
      </w:pPr>
      <w:r>
        <w:t>Planområdet ligger inte inom riksintresse för kommunikation.</w:t>
      </w:r>
      <w:bookmarkEnd w:id="143"/>
      <w:r>
        <w:t xml:space="preserve"> </w:t>
      </w:r>
    </w:p>
    <w:p>
      <w:pPr>
        <w:pStyle w:val="P3"/>
      </w:pPr>
      <w:bookmarkStart w:id="144" w:name="_Toc530399268"/>
      <w:bookmarkStart w:id="145" w:name="_Toc530402998"/>
      <w:bookmarkStart w:id="146" w:name="pf_totalförsvar01"/>
      <w:r>
        <w:t>Riksintresse totalförsvaret</w:t>
      </w:r>
      <w:bookmarkEnd w:id="144"/>
      <w:bookmarkEnd w:id="145"/>
    </w:p>
    <w:p>
      <w:pPr>
        <w:spacing w:after="120" w:beforeAutospacing="0" w:afterAutospacing="0"/>
      </w:pPr>
      <w:r>
        <w:t xml:space="preserve">Planområdet ligger inte inom riksintresse förtotalförsvaret. </w:t>
      </w:r>
    </w:p>
    <w:p>
      <w:pPr>
        <w:pStyle w:val="P3"/>
      </w:pPr>
      <w:bookmarkEnd w:id="146"/>
      <w:bookmarkStart w:id="147" w:name="_Toc530399269"/>
      <w:bookmarkStart w:id="148" w:name="_Toc530402999"/>
      <w:bookmarkStart w:id="149" w:name="pf_rörligtfriluftsliv01"/>
      <w:bookmarkStart w:id="150" w:name="pf_friluftsliv01"/>
      <w:r>
        <w:t>Riksintresse för turism och rörliga friluftsliv</w:t>
      </w:r>
      <w:bookmarkEnd w:id="147"/>
      <w:bookmarkEnd w:id="148"/>
    </w:p>
    <w:p>
      <w:pPr>
        <w:spacing w:after="120" w:beforeAutospacing="0" w:afterAutospacing="0"/>
      </w:pPr>
      <w:r>
        <w:t>Planområdet berörs ej.</w:t>
      </w:r>
    </w:p>
    <w:p>
      <w:pPr>
        <w:pStyle w:val="P3"/>
      </w:pPr>
      <w:bookmarkEnd w:id="149"/>
      <w:bookmarkEnd w:id="150"/>
      <w:bookmarkStart w:id="151" w:name="_Toc530399270"/>
      <w:bookmarkStart w:id="152" w:name="_Toc530403000"/>
      <w:bookmarkStart w:id="153" w:name="pf_obrutenkust01"/>
      <w:r>
        <w:t>Riksintressen för kust och skärgårdsområde</w:t>
      </w:r>
      <w:bookmarkEnd w:id="151"/>
      <w:bookmarkEnd w:id="152"/>
    </w:p>
    <w:p>
      <w:pPr>
        <w:spacing w:after="120" w:beforeAutospacing="0" w:afterAutospacing="0"/>
      </w:pPr>
      <w:r>
        <w:t>Planområdet berörs ej.</w:t>
      </w:r>
    </w:p>
    <w:p>
      <w:pPr>
        <w:pStyle w:val="P3"/>
      </w:pPr>
      <w:bookmarkEnd w:id="153"/>
      <w:bookmarkStart w:id="154" w:name="_Toc530399271"/>
      <w:bookmarkStart w:id="155" w:name="_Toc530403001"/>
      <w:bookmarkStart w:id="156" w:name="pf_natura200001"/>
      <w:r>
        <w:t>Natura 2000- område</w:t>
      </w:r>
      <w:bookmarkEnd w:id="154"/>
      <w:bookmarkEnd w:id="155"/>
    </w:p>
    <w:p>
      <w:pPr>
        <w:spacing w:after="120" w:beforeAutospacing="0" w:afterAutospacing="0"/>
      </w:pPr>
      <w:r>
        <w:t>Planområdet berörs ej av natura-2000 område.</w:t>
      </w:r>
    </w:p>
    <w:p>
      <w:pPr>
        <w:pStyle w:val="P3"/>
      </w:pPr>
      <w:bookmarkEnd w:id="156"/>
      <w:bookmarkStart w:id="157" w:name="_Toc530399272"/>
      <w:bookmarkStart w:id="158" w:name="_Toc530403002"/>
      <w:bookmarkStart w:id="159" w:name="pf_miljö02"/>
      <w:r>
        <w:t>Naturreservat</w:t>
      </w:r>
      <w:bookmarkEnd w:id="157"/>
      <w:bookmarkEnd w:id="158"/>
    </w:p>
    <w:p>
      <w:pPr>
        <w:pStyle w:val="P11"/>
        <w:spacing w:after="120" w:beforeAutospacing="0" w:afterAutospacing="0"/>
      </w:pPr>
      <w:r>
        <w:t xml:space="preserve">Planområdet berörs ej av naturreservat. </w:t>
      </w:r>
    </w:p>
    <w:p>
      <w:pPr>
        <w:pStyle w:val="P3"/>
      </w:pPr>
      <w:bookmarkEnd w:id="159"/>
      <w:bookmarkStart w:id="160" w:name="_Toc530399273"/>
      <w:bookmarkStart w:id="161" w:name="_Toc530403003"/>
      <w:bookmarkStart w:id="162" w:name="pf_strandskydd01"/>
      <w:r>
        <w:t>Strandskydd</w:t>
      </w:r>
      <w:bookmarkEnd w:id="160"/>
      <w:bookmarkEnd w:id="161"/>
    </w:p>
    <w:p>
      <w:pPr>
        <w:spacing w:after="120" w:beforeAutospacing="0" w:afterAutospacing="0"/>
        <w:rPr>
          <w:szCs w:val="22"/>
        </w:rPr>
      </w:pPr>
      <w:r>
        <w:rPr>
          <w:szCs w:val="22"/>
        </w:rPr>
        <w:t>Strandskyddsområde berörs ej i detaljplanen.</w:t>
      </w:r>
    </w:p>
    <w:p>
      <w:pPr>
        <w:pStyle w:val="P3"/>
      </w:pPr>
      <w:bookmarkEnd w:id="162"/>
      <w:bookmarkStart w:id="163" w:name="_Toc530399274"/>
      <w:bookmarkStart w:id="164" w:name="_Toc530403004"/>
      <w:bookmarkStart w:id="165" w:name="pf_kulturmiljö01"/>
      <w:bookmarkStart w:id="166" w:name="pf_byggnadsminnen01"/>
      <w:bookmarkStart w:id="167" w:name="pf_fornlämningar01"/>
      <w:r>
        <w:t>Fornlämningar och kulturmiljö</w:t>
      </w:r>
      <w:bookmarkEnd w:id="163"/>
      <w:bookmarkEnd w:id="164"/>
    </w:p>
    <w:p>
      <w:r>
        <w:t>Det finns inte någon registrerad fornlämning inom planområdet eller i dess närhet. Skulle fornlämningar påträffas i samband med markarbeten inom planområdet ska arbetet, i enlighet med 2 kap 10 § kulturmiljölagen, omedelbart avbrytas och länsstyrelsen underrättas.</w:t>
      </w:r>
    </w:p>
    <w:p/>
    <w:p>
      <w:r>
        <w:t xml:space="preserve">Inom planområdet finns inte några utpekade objekt som är intressanta ur kulturmiljösynpunkt (t ex riksintresse för kulturmiljön, objekt som är angivna i kulturmiljöprogrammet, byggnadsminnen, Q-märkta objekt i detaljplan etc). </w:t>
      </w:r>
    </w:p>
    <w:p/>
    <w:p>
      <w:r>
        <w:t xml:space="preserve">Utifrån ovan bedöms därmed ingen påverkan på kulturmiljö ske. </w:t>
      </w:r>
    </w:p>
    <w:p>
      <w:pPr>
        <w:suppressAutoHyphens w:val="0"/>
        <w:ind w:left="0" w:right="0"/>
      </w:pPr>
      <w:bookmarkEnd w:id="165"/>
      <w:bookmarkEnd w:id="166"/>
      <w:bookmarkEnd w:id="167"/>
      <w:r>
        <w:br w:type="page"/>
      </w:r>
    </w:p>
    <w:p/>
    <w:p>
      <w:pPr>
        <w:pStyle w:val="P2"/>
      </w:pPr>
      <w:bookmarkEnd w:id="130"/>
      <w:bookmarkEnd w:id="131"/>
      <w:bookmarkStart w:id="168" w:name="_Toc531084887"/>
      <w:bookmarkStart w:id="169" w:name="_Toc151732635"/>
      <w:bookmarkStart w:id="170" w:name="_Toc531084885"/>
      <w:r>
        <w:rPr>
          <w:rStyle w:val="C10"/>
          <w:b w:val="0"/>
          <w:bCs w:val="0"/>
        </w:rPr>
        <w:t>Bebyggelse</w:t>
      </w:r>
      <w:bookmarkEnd w:id="168"/>
      <w:bookmarkEnd w:id="169"/>
    </w:p>
    <w:p>
      <w:pPr>
        <w:pStyle w:val="P3"/>
        <w:rPr>
          <w:rStyle w:val="C10"/>
          <w:b w:val="0"/>
          <w:bCs w:val="0"/>
        </w:rPr>
      </w:pPr>
      <w:bookmarkStart w:id="171" w:name="_Toc530399318"/>
      <w:bookmarkStart w:id="172" w:name="_Toc530403048"/>
      <w:bookmarkStart w:id="173" w:name="pf_fysiskmiljö01"/>
      <w:r>
        <w:rPr>
          <w:rStyle w:val="C10"/>
          <w:b w:val="0"/>
          <w:bCs w:val="0"/>
        </w:rPr>
        <w:t>Nuvarande markanvändning</w:t>
      </w:r>
      <w:bookmarkEnd w:id="171"/>
      <w:bookmarkEnd w:id="172"/>
    </w:p>
    <w:p>
      <w:pPr>
        <w:pStyle w:val="P11"/>
      </w:pPr>
      <w:r>
        <w:t xml:space="preserve">Planområdet omfattar gatunät och delar av angränsande fastigheter med bostäder, handel, industri och tekniska anläggningar. </w:t>
      </w:r>
    </w:p>
    <w:p>
      <w:pPr>
        <w:pStyle w:val="P11"/>
        <w:ind w:left="0"/>
      </w:pPr>
    </w:p>
    <w:p>
      <w:pPr>
        <w:pStyle w:val="P3"/>
        <w:rPr>
          <w:rStyle w:val="C10"/>
          <w:b w:val="0"/>
          <w:bCs w:val="0"/>
        </w:rPr>
      </w:pPr>
      <w:bookmarkStart w:id="174" w:name="_Toc530399319"/>
      <w:bookmarkStart w:id="175" w:name="_Toc530403049"/>
      <w:r>
        <w:rPr>
          <w:rStyle w:val="C10"/>
          <w:b w:val="0"/>
          <w:bCs w:val="0"/>
        </w:rPr>
        <w:t>Stadsbilden</w:t>
      </w:r>
      <w:bookmarkEnd w:id="174"/>
      <w:bookmarkEnd w:id="175"/>
    </w:p>
    <w:p>
      <w:pPr>
        <w:pStyle w:val="P11"/>
      </w:pPr>
      <w:r>
        <w:t xml:space="preserve">Planområdet ligger med sin norra del i huvudområdena Norra industri- och handelsområdet och södra delen i Kvännaren-Didrikslund. </w:t>
      </w:r>
    </w:p>
    <w:p>
      <w:pPr>
        <w:pStyle w:val="P11"/>
      </w:pPr>
    </w:p>
    <w:p>
      <w:pPr>
        <w:pStyle w:val="P11"/>
      </w:pPr>
      <w:r>
        <w:t>Norr om Folkparksvägen finns handelsområde med parkeringsytor och byggnader i 1-2 plan. Söder om Folkparksvägen gränsar planområdet till bostadskvarter med längor i 2 plan och punkthusbebyggelse med 5 våningar. Mindre delar av obebyggd kvartersmark omfattas av planen. Bostadsbebyggelsen sluter sig från Folkparksvägen genom plank och sammanhängande förrådsbyggnader. Tillsammans med ett brett vägområde med grönremsor bidrar bebyggelsen till ett öppet och brett gaturum i stadsbilden. Vattentornsvägen har liknande förhållanden med sammanhängande byggnader, men har ett något smalare gaturum. Vattentornsvägens gaturum kan ändå upplevas mindre avskärmat genom att bebyggelsen har fönster och uteplatser mot gatan samt har entréer till mataffär och bilbesiktning från gatan.</w:t>
      </w:r>
    </w:p>
    <w:p>
      <w:pPr>
        <w:pStyle w:val="P11"/>
      </w:pPr>
      <w:bookmarkEnd w:id="173"/>
    </w:p>
    <w:p>
      <w:pPr>
        <w:pStyle w:val="P2"/>
      </w:pPr>
      <w:bookmarkStart w:id="176" w:name="_Toc151732636"/>
      <w:bookmarkStart w:id="177" w:name="pf_miljö03"/>
      <w:r>
        <w:t>Natur, vegetation</w:t>
      </w:r>
      <w:bookmarkEnd w:id="176"/>
    </w:p>
    <w:p>
      <w:pPr>
        <w:pStyle w:val="P11"/>
      </w:pPr>
      <w:r>
        <w:t>Inom planområdet finns svackdiken och slänter med gräs och örter. Längs södra sidan av Folkparksvägen, från korsningen och västerut, finns nyligen planterade lövträd stående i buskytor. De planterade träden bedöms vara värde att spara för att framför allt på sikt bidra med en lite grönare karaktär till gaturummet. Eftersom träden fortfarande är i etableringsfasen sätts dock ingen planbestämmelse för att spara dessa träd.</w:t>
      </w:r>
    </w:p>
    <w:p>
      <w:pPr>
        <w:pStyle w:val="P11"/>
      </w:pPr>
    </w:p>
    <w:p>
      <w:pPr>
        <w:pStyle w:val="P11"/>
      </w:pPr>
      <w:r>
        <w:t>En buskyta finns mellan cykelvägen och Coops fastighet. Denna bedöms i stora delar kunna vara kvar men behöver justeras efter ny infart.</w:t>
      </w:r>
    </w:p>
    <w:p>
      <w:pPr>
        <w:pStyle w:val="P11"/>
      </w:pPr>
    </w:p>
    <w:p>
      <w:pPr>
        <w:pStyle w:val="P11"/>
      </w:pPr>
      <w:r>
        <w:t>Mellan Vattentornsvägen och bostadsbebyggelsen i väster finns en självsådd trädridå med tall och lövblandning. Denna omfattas av natur i gällande plan och markskiktet påverkades till stor del under byggnationerna av bostadskvarteret Didrikslund men ett antal mindre träd kunde sparas. Två tallar finns även mellan Folkparksvägen och bostadskvarteret i söder.</w:t>
      </w:r>
    </w:p>
    <w:p>
      <w:pPr>
        <w:pStyle w:val="P11"/>
        <w:ind w:left="0"/>
      </w:pPr>
    </w:p>
    <w:p>
      <w:r>
        <w:t xml:space="preserve">Inom planområdet finns en observation av sandödla. Sandödla är en rödlistad art som är upptagen i EU:s art- och habitatdirektiv. Arten trivs bäst på varma platser med lång kontinuitet i tillgång på en variation av vanligen: väl solexponerad mark med sydorienterade sandblottor, ett mosaikartat fältskikt av ljung eller gräs och örter, spridda grupper av buskar och träd, samt gärna inslag av liggande trädstammar, torra grenar och/eller stenar och block. Den vanligaste biotopen för sandödla är sydslänter i sand- och grustag men typiska miljöer är även småvägrenar, kraftledningsgator och brynmarker i buskrika betesmarker. </w:t>
      </w:r>
    </w:p>
    <w:p>
      <w:pPr>
        <w:pStyle w:val="P11"/>
        <w:ind w:left="0"/>
      </w:pPr>
      <w:bookmarkEnd w:id="177"/>
    </w:p>
    <w:p>
      <w:pPr>
        <w:pStyle w:val="P2"/>
      </w:pPr>
      <w:bookmarkStart w:id="178" w:name="_Toc530399322"/>
      <w:bookmarkStart w:id="179" w:name="_Toc530403052"/>
      <w:bookmarkStart w:id="180" w:name="_Toc151732637"/>
      <w:bookmarkStart w:id="181" w:name="_Toc531084888"/>
      <w:bookmarkStart w:id="182" w:name="pf_service01"/>
      <w:r>
        <w:t>Offentlig och kommersiell service</w:t>
      </w:r>
      <w:bookmarkEnd w:id="178"/>
      <w:bookmarkEnd w:id="179"/>
      <w:bookmarkEnd w:id="180"/>
      <w:bookmarkEnd w:id="181"/>
    </w:p>
    <w:p>
      <w:pPr>
        <w:rPr>
          <w:rStyle w:val="C10"/>
          <w:b w:val="0"/>
        </w:rPr>
      </w:pPr>
      <w:r>
        <w:rPr>
          <w:rStyle w:val="C10"/>
          <w:b w:val="0"/>
        </w:rPr>
        <w:t>Planområdet ligger dels i anslutning till område för externhandel, dels till bostadsområden. Skola finns strax söder om planområdet. Inom planområdet finns detaljhandel och bilbesiktning.</w:t>
      </w:r>
    </w:p>
    <w:p>
      <w:pPr>
        <w:ind w:left="0"/>
        <w:rPr>
          <w:rStyle w:val="C10"/>
          <w:b w:val="0"/>
        </w:rPr>
      </w:pPr>
      <w:bookmarkEnd w:id="182"/>
    </w:p>
    <w:p>
      <w:pPr>
        <w:pStyle w:val="P2"/>
        <w:rPr>
          <w:rStyle w:val="C10"/>
          <w:b w:val="0"/>
        </w:rPr>
      </w:pPr>
      <w:bookmarkStart w:id="183" w:name="_Toc531084889"/>
      <w:bookmarkStart w:id="184" w:name="_Toc151732638"/>
      <w:bookmarkStart w:id="185" w:name="pf_trafik01"/>
      <w:r>
        <w:rPr>
          <w:rStyle w:val="C10"/>
          <w:b w:val="0"/>
        </w:rPr>
        <w:t>Gator och trafik</w:t>
      </w:r>
      <w:bookmarkEnd w:id="183"/>
      <w:bookmarkEnd w:id="184"/>
    </w:p>
    <w:p>
      <w:pPr>
        <w:pStyle w:val="P3"/>
      </w:pPr>
      <w:bookmarkStart w:id="186" w:name="_Toc530399306"/>
      <w:bookmarkStart w:id="187" w:name="_Toc530403036"/>
      <w:r>
        <w:rPr>
          <w:rStyle w:val="C10"/>
          <w:b w:val="0"/>
          <w:bCs w:val="0"/>
        </w:rPr>
        <w:t>Gatunät</w:t>
      </w:r>
      <w:bookmarkEnd w:id="186"/>
      <w:bookmarkEnd w:id="187"/>
    </w:p>
    <w:p>
      <w:pPr>
        <w:pStyle w:val="P11"/>
      </w:pPr>
      <w:r>
        <w:t xml:space="preserve">Planområdet omfattar korsningen Folkparksvägen och Vattentornsvägen. Folkparksvägen går i väst-östlig riktning och fungerar som </w:t>
      </w:r>
      <w:r>
        <w:rPr>
          <w:szCs w:val="22"/>
        </w:rPr>
        <w:t>en genomfart som är skyltad från infarten till Västervik för trafik till hamnen, mot Gotland, Västerviks resort, resecetrum m.fl. Trafiken har ökat de senaste åren och med stadens utbyggnad kan det förväntas att en ökning kommer ske över tid.</w:t>
      </w:r>
      <w:r>
        <w:t xml:space="preserve"> Vattentornsvägen går i nord-sydlig riktning med anslutning till Stora Infartsvägen och lokalgator tillhörande externhandelsområde i norr. I söder ansluter Vattentornsvägen till lokalgator till bostadsområden och slutar vid Ljungbergaskolan i söder. I översiktsplanen finns områden för framtida bostäder utpekade även söder och väster om Ljungbergaskolan.</w:t>
      </w:r>
    </w:p>
    <w:p>
      <w:pPr>
        <w:pStyle w:val="P11"/>
        <w:ind w:left="0"/>
      </w:pPr>
    </w:p>
    <w:p>
      <w:pPr>
        <w:pStyle w:val="P11"/>
      </w:pPr>
      <w:r>
        <w:t>Planförslaget innebär att befintlig fyrvägskorsning Folkparksvägen/Vattentornsvägen möjliggörs för cirkulationsplats.</w:t>
      </w:r>
    </w:p>
    <w:p>
      <w:pPr>
        <w:pStyle w:val="P11"/>
      </w:pPr>
    </w:p>
    <w:p>
      <w:pPr>
        <w:pStyle w:val="P3"/>
        <w:rPr>
          <w:rStyle w:val="C10"/>
        </w:rPr>
      </w:pPr>
      <w:bookmarkStart w:id="188" w:name="_Toc530399307"/>
      <w:bookmarkStart w:id="189" w:name="_Toc530403037"/>
      <w:r>
        <w:rPr>
          <w:rStyle w:val="C10"/>
          <w:b w:val="0"/>
        </w:rPr>
        <w:t>Parkering</w:t>
      </w:r>
      <w:bookmarkEnd w:id="188"/>
      <w:bookmarkEnd w:id="189"/>
      <w:r>
        <w:rPr>
          <w:rStyle w:val="C10"/>
        </w:rPr>
        <w:tab/>
      </w:r>
    </w:p>
    <w:p>
      <w:r>
        <w:t xml:space="preserve">Folkparksvägen och Vattentornsvägen lämpar sig inte för parkering. Folkparksvägen är huvudled. Parkering ska lösas inom kvartersmark. Coops parkering berörs av planen och behöver i vissa delar anpassas till den nya utbredningen. Parkeringslösningen ska utformas i enlighet med Västerviks kommuns parkeringsstrategi och angivna parkeringsnormer. Normerna är anpassade efter områdets läge i staden, aktuellt ändamål m.m. </w:t>
      </w:r>
    </w:p>
    <w:p/>
    <w:p>
      <w:pPr>
        <w:pStyle w:val="P3"/>
      </w:pPr>
      <w:bookmarkStart w:id="190" w:name="_Toc530399308"/>
      <w:bookmarkStart w:id="191" w:name="_Toc530403038"/>
      <w:r>
        <w:t>Trafikalstring</w:t>
      </w:r>
      <w:bookmarkEnd w:id="190"/>
      <w:bookmarkEnd w:id="191"/>
    </w:p>
    <w:p>
      <w:r>
        <w:t>Trafikmätningar har genomförts på Folkparksvägen och Vattentornsvägen 9 juni-19 augusti 2022. Hastigheten på Folkparksvägen är skyltad 50 km/h. I anslutning till korsningen och norrut är det också 50 km/h på Vattentornsvägen. En bit</w:t>
      </w:r>
      <w:r>
        <w:rPr>
          <w:color w:val="FF0000"/>
        </w:rPr>
        <w:t xml:space="preserve"> </w:t>
      </w:r>
      <w:r>
        <w:t>söder om korsningen är det skyltat 30 km/h på Vattentornsvägen.</w:t>
      </w:r>
    </w:p>
    <w:p/>
    <w:p>
      <w:r>
        <w:t xml:space="preserve">Vid cirkulationsplatsen som föreslås förväntas hastigheten blir 30 km/h som följd av att cirkulationsplatsen bromsar ned hastigheten. Skyltad hastighet kommer däremot inte bli 30 km/h. </w:t>
      </w:r>
    </w:p>
    <w:p>
      <w:pPr>
        <w:ind w:left="0"/>
      </w:pPr>
    </w:p>
    <w:p>
      <w:r>
        <w:t>Som underlag för bullerberäkning har trafiken räknats upp till år 2040, med 1 procent trafikökning per år.</w:t>
      </w:r>
    </w:p>
    <w:p/>
    <w:tbl>
      <w:tblPr>
        <w:tblStyle w:val="T4"/>
        <w:tblW w:w="7142" w:type="dxa"/>
        <w:tblInd w:w="1759" w:type="dxa"/>
        <w:tblLayout w:type="fixed"/>
        <w:tblCellMar>
          <w:left w:w="0" w:type="dxa"/>
          <w:right w:w="0" w:type="dxa"/>
        </w:tblCellMar>
        <w:tblLook w:val="04A0"/>
      </w:tblPr>
      <w:tblGrid/>
      <w:tr>
        <w:trPr>
          <w:trHeight w:hRule="atLeast" w:val="567"/>
        </w:trPr>
        <w:tc>
          <w:tcPr>
            <w:tcW w:w="1587" w:type="dxa"/>
            <w:shd w:val="clear" w:color="auto" w:fill="D9D9D9" w:themeFill="background1" w:themeFillShade="D9"/>
          </w:tcPr>
          <w:p>
            <w:pPr>
              <w:pStyle w:val="P23"/>
              <w:jc w:val="center"/>
              <w:rPr>
                <w:b w:val="1"/>
                <w:bCs w:val="1"/>
                <w:sz w:val="20"/>
                <w:szCs w:val="20"/>
              </w:rPr>
            </w:pPr>
            <w:r>
              <w:rPr>
                <w:b w:val="1"/>
                <w:bCs w:val="1"/>
                <w:sz w:val="20"/>
                <w:szCs w:val="20"/>
              </w:rPr>
              <w:t>Väg/sträcka</w:t>
            </w:r>
          </w:p>
        </w:tc>
        <w:tc>
          <w:tcPr>
            <w:tcW w:w="1417" w:type="dxa"/>
            <w:shd w:val="clear" w:color="auto" w:fill="D9D9D9" w:themeFill="background1" w:themeFillShade="D9"/>
          </w:tcPr>
          <w:p>
            <w:pPr>
              <w:pStyle w:val="P23"/>
              <w:jc w:val="center"/>
              <w:rPr>
                <w:b w:val="1"/>
                <w:bCs w:val="1"/>
                <w:sz w:val="20"/>
                <w:szCs w:val="20"/>
              </w:rPr>
            </w:pPr>
            <w:r>
              <w:rPr>
                <w:b w:val="1"/>
                <w:bCs w:val="1"/>
                <w:sz w:val="20"/>
                <w:szCs w:val="20"/>
              </w:rPr>
              <w:t>ÅDT år 2022 (fordon/dygn)</w:t>
            </w:r>
          </w:p>
        </w:tc>
        <w:tc>
          <w:tcPr>
            <w:tcW w:w="1417" w:type="dxa"/>
            <w:shd w:val="clear" w:color="auto" w:fill="D9D9D9" w:themeFill="background1" w:themeFillShade="D9"/>
          </w:tcPr>
          <w:p>
            <w:pPr>
              <w:pStyle w:val="P23"/>
              <w:jc w:val="center"/>
              <w:rPr>
                <w:b w:val="1"/>
                <w:bCs w:val="1"/>
                <w:sz w:val="20"/>
                <w:szCs w:val="20"/>
              </w:rPr>
            </w:pPr>
            <w:r>
              <w:rPr>
                <w:b w:val="1"/>
                <w:bCs w:val="1"/>
                <w:sz w:val="20"/>
                <w:szCs w:val="20"/>
              </w:rPr>
              <w:t>ÅDT år 2040 (fordon/dygn)</w:t>
            </w:r>
          </w:p>
        </w:tc>
        <w:tc>
          <w:tcPr>
            <w:tcW w:w="1417" w:type="dxa"/>
            <w:shd w:val="clear" w:color="auto" w:fill="D9D9D9" w:themeFill="background1" w:themeFillShade="D9"/>
          </w:tcPr>
          <w:p>
            <w:pPr>
              <w:pStyle w:val="P23"/>
              <w:jc w:val="center"/>
              <w:rPr>
                <w:b w:val="1"/>
                <w:bCs w:val="1"/>
                <w:sz w:val="20"/>
                <w:szCs w:val="20"/>
              </w:rPr>
            </w:pPr>
            <w:r>
              <w:rPr>
                <w:b w:val="1"/>
                <w:bCs w:val="1"/>
                <w:sz w:val="20"/>
                <w:szCs w:val="20"/>
              </w:rPr>
              <w:t>Hastighet (km/h)</w:t>
            </w:r>
          </w:p>
        </w:tc>
        <w:tc>
          <w:tcPr>
            <w:tcW w:w="1304" w:type="dxa"/>
            <w:shd w:val="clear" w:color="auto" w:fill="D9D9D9" w:themeFill="background1" w:themeFillShade="D9"/>
          </w:tcPr>
          <w:p>
            <w:pPr>
              <w:pStyle w:val="P23"/>
              <w:jc w:val="center"/>
              <w:rPr>
                <w:b w:val="1"/>
                <w:bCs w:val="1"/>
                <w:sz w:val="20"/>
                <w:szCs w:val="20"/>
              </w:rPr>
            </w:pPr>
            <w:r>
              <w:rPr>
                <w:b w:val="1"/>
                <w:bCs w:val="1"/>
                <w:sz w:val="20"/>
                <w:szCs w:val="20"/>
              </w:rPr>
              <w:t xml:space="preserve">Andel tung </w:t>
            </w:r>
          </w:p>
          <w:p>
            <w:pPr>
              <w:pStyle w:val="P23"/>
              <w:jc w:val="center"/>
              <w:rPr>
                <w:b w:val="1"/>
                <w:bCs w:val="1"/>
                <w:sz w:val="20"/>
                <w:szCs w:val="20"/>
              </w:rPr>
            </w:pPr>
            <w:r>
              <w:rPr>
                <w:b w:val="1"/>
                <w:bCs w:val="1"/>
                <w:sz w:val="20"/>
                <w:szCs w:val="20"/>
              </w:rPr>
              <w:t>trafik (%)</w:t>
            </w:r>
          </w:p>
        </w:tc>
      </w:tr>
      <w:tr>
        <w:trPr>
          <w:trHeight w:hRule="atLeast" w:val="397"/>
        </w:trPr>
        <w:tc>
          <w:tcPr>
            <w:tcW w:w="1587" w:type="dxa"/>
          </w:tcPr>
          <w:p>
            <w:pPr>
              <w:pStyle w:val="P23"/>
              <w:jc w:val="center"/>
              <w:rPr>
                <w:sz w:val="20"/>
                <w:szCs w:val="20"/>
              </w:rPr>
            </w:pPr>
            <w:r>
              <w:rPr>
                <w:sz w:val="20"/>
                <w:szCs w:val="20"/>
              </w:rPr>
              <w:t>Folkparksvägen</w:t>
            </w:r>
          </w:p>
        </w:tc>
        <w:tc>
          <w:tcPr>
            <w:tcW w:w="1417" w:type="dxa"/>
          </w:tcPr>
          <w:p>
            <w:pPr>
              <w:pStyle w:val="P23"/>
              <w:jc w:val="center"/>
              <w:rPr>
                <w:sz w:val="20"/>
                <w:szCs w:val="20"/>
              </w:rPr>
            </w:pPr>
            <w:r>
              <w:rPr>
                <w:sz w:val="20"/>
                <w:szCs w:val="20"/>
              </w:rPr>
              <w:t>6350</w:t>
            </w:r>
          </w:p>
        </w:tc>
        <w:tc>
          <w:tcPr>
            <w:tcW w:w="1417" w:type="dxa"/>
          </w:tcPr>
          <w:p>
            <w:pPr>
              <w:pStyle w:val="P23"/>
              <w:jc w:val="center"/>
              <w:rPr>
                <w:sz w:val="20"/>
                <w:szCs w:val="20"/>
              </w:rPr>
            </w:pPr>
            <w:r>
              <w:rPr>
                <w:sz w:val="20"/>
                <w:szCs w:val="20"/>
              </w:rPr>
              <w:t>7000</w:t>
            </w:r>
          </w:p>
        </w:tc>
        <w:tc>
          <w:tcPr>
            <w:tcW w:w="1417" w:type="dxa"/>
          </w:tcPr>
          <w:p>
            <w:pPr>
              <w:pStyle w:val="P23"/>
              <w:jc w:val="center"/>
              <w:rPr>
                <w:sz w:val="20"/>
                <w:szCs w:val="20"/>
              </w:rPr>
            </w:pPr>
            <w:r>
              <w:rPr>
                <w:sz w:val="20"/>
                <w:szCs w:val="20"/>
              </w:rPr>
              <w:t>50</w:t>
            </w:r>
          </w:p>
        </w:tc>
        <w:tc>
          <w:tcPr>
            <w:tcW w:w="1304" w:type="dxa"/>
          </w:tcPr>
          <w:p>
            <w:pPr>
              <w:pStyle w:val="P23"/>
              <w:jc w:val="center"/>
              <w:rPr>
                <w:sz w:val="20"/>
                <w:szCs w:val="20"/>
              </w:rPr>
            </w:pPr>
            <w:r>
              <w:rPr>
                <w:sz w:val="20"/>
                <w:szCs w:val="20"/>
              </w:rPr>
              <w:t>6</w:t>
            </w:r>
          </w:p>
        </w:tc>
      </w:tr>
      <w:tr>
        <w:trPr>
          <w:trHeight w:hRule="atLeast" w:val="397"/>
        </w:trPr>
        <w:tc>
          <w:tcPr>
            <w:tcW w:w="1587" w:type="dxa"/>
          </w:tcPr>
          <w:p>
            <w:pPr>
              <w:pStyle w:val="P23"/>
              <w:jc w:val="center"/>
              <w:rPr>
                <w:sz w:val="20"/>
                <w:szCs w:val="20"/>
              </w:rPr>
            </w:pPr>
            <w:r>
              <w:rPr>
                <w:sz w:val="20"/>
                <w:szCs w:val="20"/>
              </w:rPr>
              <w:t>Vattentornsvägen</w:t>
            </w:r>
          </w:p>
        </w:tc>
        <w:tc>
          <w:tcPr>
            <w:tcW w:w="1417" w:type="dxa"/>
          </w:tcPr>
          <w:p>
            <w:pPr>
              <w:pStyle w:val="P23"/>
              <w:jc w:val="center"/>
              <w:rPr>
                <w:sz w:val="20"/>
                <w:szCs w:val="20"/>
              </w:rPr>
            </w:pPr>
            <w:r>
              <w:rPr>
                <w:sz w:val="20"/>
                <w:szCs w:val="20"/>
              </w:rPr>
              <w:t>850</w:t>
            </w:r>
          </w:p>
        </w:tc>
        <w:tc>
          <w:tcPr>
            <w:tcW w:w="1417" w:type="dxa"/>
          </w:tcPr>
          <w:p>
            <w:pPr>
              <w:pStyle w:val="P23"/>
              <w:jc w:val="center"/>
              <w:rPr>
                <w:sz w:val="20"/>
                <w:szCs w:val="20"/>
              </w:rPr>
            </w:pPr>
            <w:r>
              <w:rPr>
                <w:sz w:val="20"/>
                <w:szCs w:val="20"/>
              </w:rPr>
              <w:t>1000</w:t>
            </w:r>
          </w:p>
        </w:tc>
        <w:tc>
          <w:tcPr>
            <w:tcW w:w="1417" w:type="dxa"/>
          </w:tcPr>
          <w:p>
            <w:pPr>
              <w:pStyle w:val="P23"/>
              <w:jc w:val="center"/>
              <w:rPr>
                <w:sz w:val="20"/>
                <w:szCs w:val="20"/>
              </w:rPr>
            </w:pPr>
            <w:r>
              <w:rPr>
                <w:sz w:val="20"/>
                <w:szCs w:val="20"/>
              </w:rPr>
              <w:t>30/50</w:t>
            </w:r>
          </w:p>
        </w:tc>
        <w:tc>
          <w:tcPr>
            <w:tcW w:w="1304" w:type="dxa"/>
          </w:tcPr>
          <w:p>
            <w:pPr>
              <w:pStyle w:val="P23"/>
              <w:jc w:val="center"/>
              <w:rPr>
                <w:sz w:val="20"/>
                <w:szCs w:val="20"/>
              </w:rPr>
            </w:pPr>
            <w:r>
              <w:rPr>
                <w:sz w:val="20"/>
                <w:szCs w:val="20"/>
              </w:rPr>
              <w:t>3</w:t>
            </w:r>
          </w:p>
        </w:tc>
      </w:tr>
    </w:tbl>
    <w:p/>
    <w:p/>
    <w:p>
      <w:pPr>
        <w:pStyle w:val="P3"/>
      </w:pPr>
      <w:bookmarkStart w:id="192" w:name="_Toc530399309"/>
      <w:bookmarkStart w:id="193" w:name="_Toc530403039"/>
      <w:r>
        <w:t>Kollektivtrafik</w:t>
      </w:r>
      <w:bookmarkEnd w:id="192"/>
      <w:bookmarkEnd w:id="193"/>
    </w:p>
    <w:p>
      <w:r>
        <w:t>Lokal stadstrafik linje 2 mellan Gunnebo och Västervik resecentrum trafikerar Folkparksvägen. Busshållplatser i form av hållplastfickor finns på respektive sida om korsningen med Vattentornsvägen. För trafik i västgående riktning ligger busshållplatsen väster om korsningen och avgränsas mot norr av gång- och cykelväg. Busshållplatsen för östgående trafik ligger öster om korsningen och ansluter i sin ena ände mot gång- och cykelväg samt med gångväg till närmaste bostadskvarter.</w:t>
      </w:r>
    </w:p>
    <w:p/>
    <w:p>
      <w:r>
        <w:t xml:space="preserve">Planförslaget med cirkulationsplats innebär att hållplatserna behöver flyttas för att fungera ihop med den nya trafiklösningen. Hållplats för västgående trafik föreslås istället öster om korsningen med anslutning till samma gång- och cykelväg som tidigare. För östgående trafik föreslås ett läge väster om korsningen.  Anslutning sker med gångväg till en ny gång- och cykelväg som föreslås längs Vattentornsvägens västra sida. </w:t>
      </w:r>
    </w:p>
    <w:p/>
    <w:p>
      <w:pPr>
        <w:pStyle w:val="P3"/>
      </w:pPr>
      <w:bookmarkStart w:id="194" w:name="_Toc530399310"/>
      <w:bookmarkStart w:id="195" w:name="_Toc530403040"/>
      <w:r>
        <w:t>Gång- och cykeltrafik</w:t>
      </w:r>
      <w:bookmarkEnd w:id="194"/>
      <w:bookmarkEnd w:id="195"/>
    </w:p>
    <w:p>
      <w:pPr>
        <w:pStyle w:val="P11"/>
      </w:pPr>
      <w:r>
        <w:t xml:space="preserve">Befintliga gång- och cykelvägar finns längs Folkparksvägens norra sida genom hela planområdet. Dessa leder till anslutande cykelvägar vid bland annat Stora Infartsvägen och Albert Tengers väg. Längs södra sidan av Folkparksvägen finns ingen yta för gående eller cyklister. </w:t>
      </w:r>
    </w:p>
    <w:p>
      <w:pPr>
        <w:pStyle w:val="P11"/>
      </w:pPr>
    </w:p>
    <w:p>
      <w:pPr>
        <w:pStyle w:val="P11"/>
      </w:pPr>
      <w:r>
        <w:t xml:space="preserve">Längs Vattentornsvägen finns gång- och cykelväg söder om korsningen med Folkparksvägen, längs fastigheten Kalkalgen. Denna leder till Ljungbergaskolan och vidare till bostadsbebyggelse i söder. Norrut saknas gång- och cykelväg helt. </w:t>
      </w:r>
    </w:p>
    <w:p>
      <w:pPr>
        <w:pStyle w:val="P11"/>
        <w:ind w:left="0"/>
      </w:pPr>
    </w:p>
    <w:p>
      <w:pPr>
        <w:pStyle w:val="P11"/>
      </w:pPr>
      <w:r>
        <w:t>Planförslaget innebär att en ny gång- och cykelväg möjliggörs även längs Vattentornsvägens västra sida, från korsningen med Folkparksvägen till befintlig korsande cykelväg söder om Kalkstigen.</w:t>
      </w:r>
    </w:p>
    <w:p>
      <w:pPr>
        <w:pStyle w:val="P11"/>
      </w:pPr>
    </w:p>
    <w:p>
      <w:pPr>
        <w:pStyle w:val="P11"/>
      </w:pPr>
      <w:r>
        <w:t>Mot norr föreslås en förlängning av gång- och cykelvägen längs Vattentornsvägens östra sida till korsningen med Kolonivägen.</w:t>
      </w:r>
    </w:p>
    <w:p>
      <w:pPr>
        <w:pStyle w:val="P2"/>
        <w:rPr>
          <w:rStyle w:val="C10"/>
          <w:b w:val="0"/>
          <w:bCs w:val="0"/>
        </w:rPr>
      </w:pPr>
      <w:bookmarkEnd w:id="185"/>
      <w:bookmarkStart w:id="196" w:name="_Toc531084886"/>
      <w:bookmarkStart w:id="197" w:name="_Toc151732639"/>
      <w:bookmarkStart w:id="198" w:name="pf_geotekniskaförhållanden01"/>
      <w:r>
        <w:rPr>
          <w:rStyle w:val="C10"/>
          <w:b w:val="0"/>
          <w:bCs w:val="0"/>
        </w:rPr>
        <w:t>Mark, vegetation, Geoteknik</w:t>
      </w:r>
      <w:bookmarkEnd w:id="170"/>
      <w:bookmarkEnd w:id="196"/>
      <w:bookmarkEnd w:id="197"/>
    </w:p>
    <w:p>
      <w:pPr>
        <w:pStyle w:val="P11"/>
        <w:rPr>
          <w:color w:val="FF0000"/>
        </w:rPr>
      </w:pPr>
      <w:r>
        <w:t xml:space="preserve">Marken i området ligger sluttar svagt från ca 48,8 m väster till ca 46,0 m i öster. Från norr sluttar marken svagt från ca 48,2 m till ca 47,5 m i korsningen och sedan stiger marken och varierar mellan ca 48,0 m och ca 48,5 m söderut. </w:t>
      </w:r>
    </w:p>
    <w:p>
      <w:pPr>
        <w:pStyle w:val="P11"/>
      </w:pPr>
    </w:p>
    <w:p>
      <w:pPr>
        <w:pStyle w:val="P11"/>
      </w:pPr>
      <w:r>
        <w:t xml:space="preserve">Berg i dagen är synligt strax sydväst om korsningen Folkparksvägen-Vattentornsgatan. </w:t>
      </w:r>
    </w:p>
    <w:p>
      <w:pPr>
        <w:pStyle w:val="P11"/>
        <w:ind w:left="0"/>
      </w:pPr>
    </w:p>
    <w:p>
      <w:pPr>
        <w:pStyle w:val="P11"/>
      </w:pPr>
      <w:r>
        <w:t>SGUs jordartskarta visar Sandig morän, Berg, Klapper och Svallsediment grus inom aktuellt planområde. Berg redovisas inom del av det område som den nya cirkulationsplatsen behöver ta i anspråk söder om befintlig korsning Folkparksvägen/Vattentornsgatan samt vid korsningen Vattentornsvägen/Didrikslundsgatan/Kalkstigen.</w:t>
      </w:r>
      <w:bookmarkEnd w:id="198"/>
    </w:p>
    <w:p>
      <w:pPr>
        <w:pStyle w:val="P2"/>
      </w:pPr>
      <w:bookmarkStart w:id="199" w:name="_Toc531084890"/>
      <w:r>
        <w:br w:type="textWrapping"/>
      </w:r>
      <w:bookmarkStart w:id="200" w:name="_Toc151732640"/>
      <w:bookmarkStart w:id="201" w:name="pf_hälsaochsäkerhet01"/>
      <w:r>
        <w:t>Hälsa och säkerhet</w:t>
      </w:r>
      <w:bookmarkEnd w:id="199"/>
      <w:bookmarkEnd w:id="200"/>
    </w:p>
    <w:p>
      <w:r>
        <w:t>Inga särskilt riskfyllda eller störande verksamheter (t ex tillståndspliktiga verksamheter) bedöms finnas i planområdets närhet.</w:t>
      </w:r>
    </w:p>
    <w:p>
      <w:pPr>
        <w:pStyle w:val="P11"/>
        <w:ind w:left="0"/>
        <w:rPr>
          <w:color w:val="FF0000"/>
        </w:rPr>
      </w:pPr>
      <w:bookmarkEnd w:id="201"/>
    </w:p>
    <w:p>
      <w:pPr>
        <w:pStyle w:val="P3"/>
      </w:pPr>
      <w:bookmarkStart w:id="202" w:name="pf_hälsaochsäkerhet02"/>
      <w:r>
        <w:t>Ljus</w:t>
      </w:r>
    </w:p>
    <w:p>
      <w:r>
        <w:t>Exploateringen kommer att medföra ökad allmänbelysning, punktbelysning från skyltar och ljus från trafiken i området. Detta ger en större belysningsmängd än tidigare. Ljusförhållandena innebär en bättre övergång för gående och cyklister.</w:t>
      </w:r>
    </w:p>
    <w:p>
      <w:pPr>
        <w:ind w:left="0"/>
        <w:rPr>
          <w:rFonts w:eastAsiaTheme="majorEastAsia"/>
        </w:rPr>
      </w:pPr>
    </w:p>
    <w:p>
      <w:pPr>
        <w:pStyle w:val="P3"/>
      </w:pPr>
      <w:bookmarkStart w:id="203" w:name="_Toc530399287"/>
      <w:bookmarkStart w:id="204" w:name="_Toc530403017"/>
      <w:r>
        <w:t>Förorenad mark</w:t>
      </w:r>
      <w:bookmarkEnd w:id="203"/>
      <w:bookmarkEnd w:id="204"/>
    </w:p>
    <w:p>
      <w:r>
        <w:t>En misstänkt förorening har identifierats enligt Länsstyrelsens potentiellt förorenade områden, EBH. Det gäller ”Bilvårdsanläggning, bilverkstad samt åkerier” på fastigheten Västerås 7. Ett markområde i fastighetens västra kant mot Vattentornsvägen omfattas av planen och föreslås bli gatumark med plats för gång- och cykelväg samt befintlig användning för industri och handel.</w:t>
      </w:r>
    </w:p>
    <w:p>
      <w:r>
        <w:t>En misstänkt förorening gällande ”Bilvårdsanläggning, bilverkstad samt åkerier” har även identifierats på fastigheten Rullstenen 3 som gränsar till planområdet.</w:t>
      </w:r>
    </w:p>
    <w:p>
      <w:pPr>
        <w:pStyle w:val="P11"/>
      </w:pPr>
    </w:p>
    <w:p>
      <w:pPr>
        <w:pStyle w:val="P11"/>
      </w:pPr>
      <w:r>
        <w:t>Det går därmed inte att utesluta att det finns förorenade massor inom detaljplaneområdet. Skulle det upptäckas förorenade massor måste sanering ske ner till känslig markanvändning respektive mindre känslig markanvändning för verksamhetsmark (Z). Vid upptäckt av förorenade massor ska tillsynsmyndigheten underrättas enligt 10 kapitel 11 § Miljöbalken (SFS 1998:808). Om grävning i förorenade massor ska äga rum ska en anmälan om detta, enligt 28 § förordningen (1998:899) om miljöfarlig verksamhet och hälsoskydd, lämnas till tillsynsmyndigheten.</w:t>
        <w:br w:type="textWrapping"/>
      </w:r>
    </w:p>
    <w:p>
      <w:pPr>
        <w:pStyle w:val="P3"/>
      </w:pPr>
      <w:r>
        <w:t>Radon</w:t>
      </w:r>
    </w:p>
    <w:p>
      <w:r>
        <w:t>I översiktsplanen beskrivs att radonhalten ej ska överstiga 200 Bq/m</w:t>
      </w:r>
      <w:r>
        <w:rPr>
          <w:color w:val="333333"/>
          <w:sz w:val="14"/>
          <w:szCs w:val="14"/>
        </w:rPr>
        <w:t xml:space="preserve">3 </w:t>
      </w:r>
      <w:r>
        <w:t>i byggnader där människor vistas mer än tillfälligt. Planen omfattar mark för bostäder, fast den delen får inte förses med byggnader av andra skäl.</w:t>
      </w:r>
    </w:p>
    <w:p/>
    <w:p>
      <w:r>
        <w:t>Byggnad skall uppföras i radonsäkert utförande om mätning i byggnadsläget visar att det behövs.</w:t>
      </w:r>
      <w:bookmarkEnd w:id="202"/>
      <w:r>
        <w:br w:type="textWrapping"/>
      </w:r>
    </w:p>
    <w:p>
      <w:pPr>
        <w:pStyle w:val="P3"/>
      </w:pPr>
      <w:bookmarkStart w:id="205" w:name="pf_omgivningsbuller01"/>
      <w:r>
        <w:t>Buller</w:t>
      </w:r>
    </w:p>
    <w:p>
      <w:bookmarkEnd w:id="127"/>
      <w:bookmarkEnd w:id="128"/>
      <w:bookmarkStart w:id="206" w:name="_Toc530399305"/>
      <w:bookmarkStart w:id="207" w:name="_Toc530403035"/>
      <w:bookmarkStart w:id="208" w:name="_Toc530399317"/>
      <w:bookmarkStart w:id="209" w:name="_Toc530403015"/>
      <w:bookmarkStart w:id="210" w:name="_Toc530403047"/>
      <w:bookmarkStart w:id="211" w:name="_Toc530399285"/>
      <w:r>
        <w:t xml:space="preserve">En bullerutredning har tagits fram av Norconsult AB som underlag till planen.  Denna föranleder inte några krav om bullerskydd.</w:t>
      </w:r>
    </w:p>
    <w:p/>
    <w:p>
      <w:r>
        <w:t>Som underlag för beräkningen i bullerutredningen har trafikmängder och andel tung trafik hämtats från trafikmätningar genomförda på Folkparksvägen och Vattentornsvägen, 9 juni – 19 augusti 2022.</w:t>
      </w:r>
    </w:p>
    <w:p/>
    <w:p>
      <w:r>
        <w:t xml:space="preserve">Trafiken på omgivande vägar kan komma att alstra störande ljudnivåer för befintlig bostadsbebyggelse på fastigheterna Didrikslund 1 och Kalgalgen 1. </w:t>
      </w:r>
    </w:p>
    <w:p>
      <w:r>
        <w:t>Olika riktvärden för buller gäller beroende på bostadens byggår. Förordning 2015:216 gäller för ny bostadsbebyggelse. För bostäder i äldre befintlig miljö (innan 1997) appliceras en praxis från Naturvårdsverket.</w:t>
      </w:r>
    </w:p>
    <w:p/>
    <w:p>
      <w:r>
        <w:t xml:space="preserve">Bostaden sydöst om korsningen är byggd innan 1997 och ekvivalent ljudnivå bör därmed inte överstiga 65 dBA vid fasad. Både i nuläge och i framtiden med ombyggd korsning beräknas ekvivalent ljudnivå ligga under detta värde. </w:t>
      </w:r>
    </w:p>
    <w:p/>
    <w:p>
      <w:r>
        <w:t xml:space="preserve">Bostaden sydväst om korsningen är byggd 2021 vilket innebär att riktvärdet för ekvivalent ljudnivå vid fasad är 60 dBA. Riktvärdet klaras i nuläget men överskrids något på den nordostliga fasaden i framtiden, både om korsningen byggs om och vid en ombyggnad till cirkulation. </w:t>
      </w:r>
    </w:p>
    <w:p/>
    <w:p>
      <w:r>
        <w:t>Beräkningarna visar att anläggning av en cirkulationsplats inte kommer ha någon betydande påverkan på ekvivalent ljudnivå i framtiden. Den största skillnaden utgörs av den ökade trafiken som kan förväntas i framtiden oavsett om korsningen byggs om eller inte. Därmed bedöms det inte finnas anledning att bygga särskilda bullerskydd inom detaljplanen.</w:t>
      </w:r>
    </w:p>
    <w:p/>
    <w:p>
      <w:pPr>
        <w:keepNext w:val="1"/>
      </w:pPr>
      <w:r>
        <w:rPr>
          <w:noProof w:val="1"/>
        </w:rPr>
        <mc:AlternateContent>
          <mc:Choice Requires="wpg">
            <w:drawing>
              <wp:inline xmlns:wp="http://schemas.openxmlformats.org/drawingml/2006/wordprocessingDrawing" distT="0" distB="0" distL="0" distR="0">
                <wp:extent cx="5102860" cy="3543300"/>
                <wp:effectExtent l="0" t="0" r="21590" b="19050"/>
                <wp:docPr id="22" name="Grupp 22" descr="En bild som visar beräknade ljudnivåer 2040"/>
                <wp:cNvGraphicFramePr/>
                <a:graphic xmlns:a="http://schemas.openxmlformats.org/drawingml/2006/main">
                  <a:graphicData uri="http://schemas.microsoft.com/office/word/2010/wordprocessingGroup">
                    <wpg:wgp>
                      <wpg:cNvGrpSpPr/>
                      <wpg:grpSpPr>
                        <a:xfrm>
                          <a:off x="0" y="0"/>
                          <a:ext cx="5102860" cy="3543300"/>
                          <a:chOff x="0" y="0"/>
                          <a:chExt cx="5102860" cy="3543300"/>
                        </a:xfrm>
                      </wpg:grpSpPr>
                      <pic:pic xmlns:pic="http://schemas.openxmlformats.org/drawingml/2006/picture">
                        <pic:nvPicPr>
                          <pic:cNvPr id="20" name="Bildobjekt 20"/>
                          <pic:cNvPicPr>
                            <a:picLocks noChangeAspect="1"/>
                          </pic:cNvPicPr>
                        </pic:nvPicPr>
                        <pic:blipFill dpi="0">
                          <a:blip xmlns:r="http://schemas.openxmlformats.org/officeDocument/2006/relationships" r:embed="Relimage15"/>
                          <a:srcRect/>
                          <a:stretch>
                            <a:fillRect/>
                          </a:stretch>
                        </pic:blipFill>
                        <pic:spPr>
                          <a:xfrm>
                            <a:off x="0" y="0"/>
                            <a:ext cx="5040630" cy="3543300"/>
                          </a:xfrm>
                          <a:prstGeom prst="rect"/>
                        </pic:spPr>
                      </pic:pic>
                      <pic:pic xmlns:pic="http://schemas.openxmlformats.org/drawingml/2006/picture">
                        <pic:nvPicPr>
                          <pic:cNvPr id="21" name="Bildobjekt 21"/>
                          <pic:cNvPicPr>
                            <a:picLocks noChangeAspect="1"/>
                          </pic:cNvPicPr>
                        </pic:nvPicPr>
                        <pic:blipFill dpi="0">
                          <a:blip xmlns:r="http://schemas.openxmlformats.org/officeDocument/2006/relationships" r:embed="Relimage16"/>
                          <a:srcRect l="521"/>
                          <a:stretch>
                            <a:fillRect/>
                          </a:stretch>
                        </pic:blipFill>
                        <pic:spPr bwMode="auto">
                          <a:xfrm>
                            <a:off x="3684270" y="11430"/>
                            <a:ext cx="1418590" cy="3527425"/>
                          </a:xfrm>
                          <a:prstGeom prst="rect"/>
                          <a:ln>
                            <a:solidFill>
                              <a:schemeClr val="tx1"/>
                            </a:solidFill>
                          </a:ln>
                        </pic:spPr>
                      </pic:pic>
                    </wpg:wgp>
                  </a:graphicData>
                </a:graphic>
              </wp:inline>
            </w:drawing>
          </mc:Choice>
          <mc:Fallback>
            <w:pict>
              <v:group xmlns:o="urn:schemas-microsoft-com:office:office" id="Grupp 22" style="width:401.8pt;height:279pt;mso-wrap-distance-left:0pt;mso-wrap-distance-top:0pt;mso-wrap-distance-right:0pt;mso-wrap-distance-bottom:0pt;margin-left:0pt;margin-top:0pt;mso-position-horizontal:absolute;mso-position-horizontal-relative:page;mso-position-vertical:absolute;mso-position-vertical-relative:page" coordorigin="0,0" coordsize="5102860,3543300" o:allowoverlap="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objekt 20" o:spid="_x0000_s1027" type="#_x0000_t75" style="position:absolute;width:5040630;height:3543300" o:preferrelative="t" stroked="f" o:allowoverlap="f">
                  <v:imagedata src="Relimage15" o:title=""/>
                  <o:lock aspectratio="t"/>
                </v:shape>
                <v:shape id="Bildobjekt 21" o:spid="_x0000_s1028" type="#_x0000_t75" style="position:absolute;left:3684270;top:11430;width:1418590;height:3527425" o:preferrelative="t" strokecolor="#000000" stroked="t" o:allowoverlap="f">
                  <v:imagedata src="Relimage16" o:title="" croptop="0f" cropbottom="0f" cropleft="341f" cropright="0f"/>
                  <o:lock aspectratio="t"/>
                </v:shape>
              </v:group>
            </w:pict>
          </mc:Fallback>
        </mc:AlternateContent>
      </w:r>
    </w:p>
    <w:p>
      <w:pPr>
        <w:pStyle w:val="P42"/>
        <w:ind w:left="1701"/>
        <w:rPr>
          <w:rStyle w:val="C10"/>
          <w:b w:val="0"/>
          <w:bCs w:val="0"/>
        </w:rPr>
      </w:pPr>
      <w:r>
        <w:t xml:space="preserve">Figur </w:t>
      </w:r>
      <w:r>
        <w:fldChar w:fldCharType="begin"/>
      </w:r>
      <w:r>
        <w:instrText xml:space="preserve"> SEQ Figur \* ARABIC </w:instrText>
      </w:r>
      <w:r>
        <w:fldChar w:fldCharType="separate"/>
      </w:r>
      <w:r>
        <w:rPr>
          <w:noProof w:val="1"/>
        </w:rPr>
        <w:t>8</w:t>
      </w:r>
      <w:r>
        <w:rPr>
          <w:noProof w:val="1"/>
        </w:rPr>
        <w:fldChar w:fldCharType="end"/>
      </w:r>
      <w:r>
        <w:t>: Beräknad ekvivalent ljudnivå 2040 med cirkulationsplats.</w:t>
      </w:r>
      <w:bookmarkEnd w:id="206"/>
      <w:bookmarkEnd w:id="207"/>
      <w:bookmarkStart w:id="212" w:name="_Toc530399286"/>
      <w:bookmarkStart w:id="213" w:name="_Toc530403016"/>
    </w:p>
    <w:p>
      <w:bookmarkEnd w:id="205"/>
      <w:bookmarkEnd w:id="212"/>
      <w:bookmarkEnd w:id="213"/>
    </w:p>
    <w:p>
      <w:pPr>
        <w:pStyle w:val="P3"/>
      </w:pPr>
      <w:bookmarkStart w:id="214" w:name="pf_riskförolyckor01"/>
      <w:r>
        <w:t>Farligt gods</w:t>
      </w:r>
    </w:p>
    <w:p>
      <w:r>
        <w:t xml:space="preserve">Det går ingen farligt godsled genom planområdet.  Ca 70 meter norr om planområdet, eller 150 m norr om korsningen Folkparksvägen/Vattentornsvägen går farligt godsled på Stora infartsvägen-Allén som är en del av E22. De verksamheter och bostäder som föreslås i planområdet är befintliga. Planen medför därför ingen förändring av förhållandena. </w:t>
      </w:r>
    </w:p>
    <w:p>
      <w:pPr>
        <w:rPr>
          <w:rStyle w:val="C10"/>
        </w:rPr>
      </w:pPr>
    </w:p>
    <w:p>
      <w:pPr>
        <w:pStyle w:val="P3"/>
        <w:rPr>
          <w:rStyle w:val="C10"/>
          <w:b w:val="0"/>
        </w:rPr>
      </w:pPr>
      <w:bookmarkStart w:id="215" w:name="_Toc530399290"/>
      <w:bookmarkStart w:id="216" w:name="_Toc530403020"/>
      <w:r>
        <w:rPr>
          <w:rStyle w:val="C10"/>
          <w:b w:val="0"/>
        </w:rPr>
        <w:t>Risker</w:t>
      </w:r>
      <w:bookmarkEnd w:id="215"/>
      <w:bookmarkEnd w:id="216"/>
    </w:p>
    <w:p>
      <w:pPr>
        <w:rPr>
          <w:rStyle w:val="C10"/>
          <w:b w:val="0"/>
          <w:bCs w:val="0"/>
        </w:rPr>
      </w:pPr>
      <w:r>
        <w:rPr>
          <w:rStyle w:val="C10"/>
          <w:b w:val="0"/>
          <w:bCs w:val="0"/>
        </w:rPr>
        <w:t>Planen medför inga ändringar mot dagsläget vad gäller transporter av farligt gods.</w:t>
      </w:r>
    </w:p>
    <w:p>
      <w:pPr>
        <w:rPr>
          <w:rStyle w:val="C10"/>
          <w:b w:val="0"/>
        </w:rPr>
      </w:pPr>
      <w:bookmarkEnd w:id="214"/>
    </w:p>
    <w:p>
      <w:pPr>
        <w:pStyle w:val="P3"/>
      </w:pPr>
      <w:bookmarkStart w:id="217" w:name="_Toc530399316"/>
      <w:bookmarkStart w:id="218" w:name="_Toc530403046"/>
      <w:bookmarkStart w:id="219" w:name="_Toc530399292"/>
      <w:bookmarkStart w:id="220" w:name="_Toc530403022"/>
      <w:bookmarkStart w:id="221" w:name="pf_riskförolyckor02"/>
      <w:r>
        <w:t>Brandskydd</w:t>
      </w:r>
      <w:bookmarkEnd w:id="217"/>
      <w:bookmarkEnd w:id="218"/>
    </w:p>
    <w:p>
      <w:r>
        <w:t xml:space="preserve">För att säkerställa en effektiv brandsläckning ska området ha ett utbyggt brandpostnät. Brandskydd ska i övrigt utformas enligt gällande krav i samråd med räddningstjänsten. </w:t>
      </w:r>
    </w:p>
    <w:p/>
    <w:p>
      <w:r>
        <w:t>Tillgängligheten för räddningstjänstens fordon medför krav på lokalgator och anslutningsgator. Utrustning för livräddning och brandsläckning ska inte behöva bäras längre än 50 m. Räddningstjänstens fordon ska kunna ta sig fram på lokalgator och anslutningsgator utan att hindras av parkerande fordon, snövallar, träd, lyktstolpar eller andra hinder. Rundkörning eller vändning ska vara möjlig genom väl tilltagna gatuhörn eller vändplatser.</w:t>
      </w:r>
      <w:bookmarkEnd w:id="219"/>
      <w:bookmarkEnd w:id="220"/>
    </w:p>
    <w:p>
      <w:bookmarkEnd w:id="221"/>
    </w:p>
    <w:p>
      <w:pPr>
        <w:pStyle w:val="P1"/>
      </w:pPr>
      <w:bookmarkEnd w:id="208"/>
      <w:bookmarkEnd w:id="209"/>
      <w:bookmarkEnd w:id="210"/>
      <w:bookmarkEnd w:id="211"/>
      <w:bookmarkStart w:id="222" w:name="_Toc530399312"/>
      <w:bookmarkStart w:id="223" w:name="_Toc151732641"/>
      <w:bookmarkStart w:id="224" w:name="_Toc530403042"/>
      <w:bookmarkStart w:id="225" w:name="_Toc531084891"/>
      <w:bookmarkStart w:id="226" w:name="_Toc530399324"/>
      <w:bookmarkStart w:id="227" w:name="_Toc530403054"/>
      <w:r>
        <w:t>TEKNISK FÖRSÖRJNING</w:t>
      </w:r>
      <w:bookmarkEnd w:id="222"/>
      <w:bookmarkEnd w:id="223"/>
      <w:bookmarkEnd w:id="224"/>
      <w:bookmarkEnd w:id="225"/>
    </w:p>
    <w:p>
      <w:pPr>
        <w:pStyle w:val="P2"/>
        <w:rPr>
          <w:rStyle w:val="C10"/>
          <w:b w:val="0"/>
        </w:rPr>
      </w:pPr>
      <w:bookmarkStart w:id="228" w:name="_Toc151732642"/>
      <w:bookmarkStart w:id="229" w:name="_Toc530399313"/>
      <w:bookmarkStart w:id="230" w:name="_Toc530403043"/>
      <w:r>
        <w:rPr>
          <w:rStyle w:val="C10"/>
          <w:b w:val="0"/>
        </w:rPr>
        <w:t>Klimatanpassning</w:t>
      </w:r>
      <w:bookmarkEnd w:id="228"/>
    </w:p>
    <w:p>
      <w:pPr>
        <w:pStyle w:val="P3"/>
      </w:pPr>
      <w:bookmarkStart w:id="231" w:name="_Toc530399293"/>
      <w:bookmarkStart w:id="232" w:name="_Toc530403023"/>
      <w:bookmarkStart w:id="233" w:name="pf_hälsaochsäkerhet03"/>
      <w:r>
        <w:t>Högre temperaturer</w:t>
      </w:r>
      <w:bookmarkEnd w:id="231"/>
      <w:bookmarkEnd w:id="232"/>
    </w:p>
    <w:p>
      <w:r>
        <w:t xml:space="preserve">Med ett förändrat klimat och fler varma dagar ökar risken för urbana värmeböljor i tätbyggda områden. Riskutsatta områden är de med hög byggdensitet, en stor andel hårdgjorda ytor samt få inslag av grönska och vatten, vilket skapar en hög kapacitet för värmelagring. Växter och träd är mycket viktiga element för att kyla/ dämpa värme i tätare bebyggelse och begränsar direkt solexponering av känsliga byggnader och minskar kylbehovet inomhus. </w:t>
      </w:r>
    </w:p>
    <w:p>
      <w:r>
        <w:t>Området anses inte ligga i ett riskområde men de uppvuxna träd som inte berörs av planerade byggnader, gator eller andra anläggningar bör bevaras om så är möjligt. Öppen dagvattenhantering kan sänka temperaturen i området, tillsammans med gröna park- och naturytor.</w:t>
      </w:r>
    </w:p>
    <w:p>
      <w:bookmarkEnd w:id="233"/>
    </w:p>
    <w:p>
      <w:pPr>
        <w:pStyle w:val="P3"/>
      </w:pPr>
      <w:bookmarkStart w:id="234" w:name="_Toc530399294"/>
      <w:bookmarkStart w:id="235" w:name="_Toc530403024"/>
      <w:bookmarkStart w:id="236" w:name="pf_hydrologiskaförhållanden01"/>
      <w:r>
        <w:t>Ökad nederbörd</w:t>
      </w:r>
      <w:bookmarkEnd w:id="234"/>
      <w:bookmarkEnd w:id="235"/>
    </w:p>
    <w:p>
      <w:pPr>
        <w:pStyle w:val="P11"/>
        <w:rPr>
          <w:szCs w:val="22"/>
        </w:rPr>
      </w:pPr>
      <w:r>
        <w:rPr>
          <w:szCs w:val="22"/>
        </w:rPr>
        <w:t>Med ett förändrat klimat ökar årsmedelsnederbörden och skyfallen förväntas bli kraftigare och återkomma allt oftare. Detta riskerar leda till en ökning av överbelastade ledningssystem för dag- och avloppsvatten med flera översvämningar som följd och med ökad risk för bräddning av avloppsvatten. I tätorter riskerar särskilt lågpunkter i stadsmiljö att ställas under vatten där dagvattensystemen är underdimensionerade och där det inte finns ytliga avrinningsmöjligheter.</w:t>
      </w:r>
    </w:p>
    <w:p/>
    <w:p>
      <w:pPr>
        <w:rPr>
          <w:szCs w:val="16"/>
        </w:rPr>
      </w:pPr>
      <w:r>
        <w:t xml:space="preserve">Området ligger på norra sidan av en naturlig höjdrygg. Marken är relativt kuperad. </w:t>
      </w:r>
      <w:r>
        <w:rPr>
          <w:szCs w:val="16"/>
        </w:rPr>
        <w:t>Enligt dagvattenutredning bör planområdet höjdsättas på sådant vis att skador inte uppstår vid skyfall. Detta görs vid projektering.</w:t>
      </w:r>
    </w:p>
    <w:p>
      <w:bookmarkEnd w:id="236"/>
    </w:p>
    <w:p>
      <w:pPr>
        <w:pStyle w:val="P2"/>
      </w:pPr>
      <w:bookmarkStart w:id="237" w:name="_Toc530399295"/>
      <w:bookmarkStart w:id="238" w:name="_Toc530403025"/>
      <w:bookmarkStart w:id="239" w:name="_Toc151732643"/>
      <w:bookmarkStart w:id="240" w:name="pf_riskförerosion01"/>
      <w:bookmarkStart w:id="241" w:name="pf_riskförskred01"/>
      <w:bookmarkStart w:id="242" w:name="pf_riskförras01"/>
      <w:r>
        <w:t>Ras, skred, erosion</w:t>
      </w:r>
      <w:bookmarkEnd w:id="237"/>
      <w:bookmarkEnd w:id="238"/>
      <w:bookmarkEnd w:id="239"/>
    </w:p>
    <w:p>
      <w:pPr>
        <w:pStyle w:val="P11"/>
      </w:pPr>
      <w:r>
        <w:t>Området ligger inte inom ett riskområde för ras, skred eller erosion.</w:t>
      </w:r>
    </w:p>
    <w:p>
      <w:pPr>
        <w:pStyle w:val="P11"/>
        <w:rPr>
          <w:color w:val="FF0000"/>
        </w:rPr>
      </w:pPr>
      <w:bookmarkEnd w:id="240"/>
      <w:bookmarkEnd w:id="241"/>
      <w:bookmarkEnd w:id="242"/>
    </w:p>
    <w:p>
      <w:pPr>
        <w:pStyle w:val="P3"/>
      </w:pPr>
      <w:bookmarkStart w:id="243" w:name="_Toc530399296"/>
      <w:bookmarkStart w:id="244" w:name="_Toc530403026"/>
      <w:bookmarkStart w:id="245" w:name="pf_riskföröversvämning01"/>
      <w:r>
        <w:t>Höjda vattennivåer</w:t>
      </w:r>
      <w:bookmarkEnd w:id="243"/>
      <w:bookmarkEnd w:id="244"/>
    </w:p>
    <w:p>
      <w:pPr>
        <w:pStyle w:val="P11"/>
      </w:pPr>
      <w:r>
        <w:t>Planområdet ligger betydligt högre än havsytan, mer än 45 meter. Därmed föreligger inte någon risk för problematik med höjda vattennivåer.</w:t>
      </w:r>
    </w:p>
    <w:p>
      <w:bookmarkEnd w:id="245"/>
    </w:p>
    <w:p>
      <w:pPr>
        <w:pStyle w:val="P3"/>
      </w:pPr>
      <w:bookmarkStart w:id="246" w:name="_Toc530399283"/>
      <w:bookmarkStart w:id="247" w:name="_Toc530403013"/>
      <w:bookmarkStart w:id="248" w:name="pf_hydrologiskaförhållanden02"/>
      <w:bookmarkStart w:id="249" w:name="pf_teknik01"/>
      <w:r>
        <w:t>Skyfallskartering</w:t>
      </w:r>
      <w:bookmarkEnd w:id="246"/>
      <w:bookmarkEnd w:id="247"/>
    </w:p>
    <w:p>
      <w:bookmarkStart w:id="250" w:name="_Hlk118379865"/>
      <w:r>
        <w:t>Lågpunkter och instängda områden har identifierats i en dagvattenutredning som tillhör planen. Vid mer intensiva regn där dagvattnet inte kan hanteras av det anlagda dagvattensystemet kommer vattnet att ansamlas på vissa platser i avrinningsområdet. Exempelvis kan det ansamlas vatten på Kalkstigen vid ett intensivt regn. Vattennivån enligt Scalgo (2022) kan uppgå till ca 65 cm innan vattnet rinner vidare ytligt mot Folkparksvägen. Den befintliga markavrinningen inom och i närheten av området kan ses i figur nedan.</w:t>
      </w:r>
    </w:p>
    <w:p>
      <w:pPr>
        <w:keepNext w:val="1"/>
      </w:pPr>
      <w:bookmarkEnd w:id="250"/>
      <w:bookmarkStart w:id="251" w:name="_Hlk118379905"/>
    </w:p>
    <w:p>
      <w:pPr>
        <w:keepNext w:val="1"/>
      </w:pPr>
      <w:r>
        <w:rPr>
          <w:i w:val="1"/>
          <w:noProof w:val="1"/>
          <w:color w:val="A5D5E2" w:themeColor="accent5" w:themeTint="80"/>
        </w:rPr>
        <mc:AlternateContent>
          <mc:Choice Requires="wps">
            <w:drawing>
              <wp:anchor xmlns:wp="http://schemas.openxmlformats.org/drawingml/2006/wordprocessingDrawing" distT="0" distB="0" distL="114300" distR="114300" simplePos="0" relativeHeight="7" behindDoc="0" locked="0" layoutInCell="1" allowOverlap="1">
                <wp:simplePos x="0" y="0"/>
                <wp:positionH relativeFrom="column">
                  <wp:posOffset>3762375</wp:posOffset>
                </wp:positionH>
                <wp:positionV relativeFrom="paragraph">
                  <wp:posOffset>2408555</wp:posOffset>
                </wp:positionV>
                <wp:extent cx="1584960" cy="358140"/>
                <wp:effectExtent l="609600" t="0" r="15240" b="22860"/>
                <wp:wrapNone/>
                <wp:docPr id="28" name="Pratbubbla: rad 28"/>
                <wp:cNvGraphicFramePr/>
                <a:graphic xmlns:a="http://schemas.openxmlformats.org/drawingml/2006/main">
                  <a:graphicData uri="http://schemas.microsoft.com/office/word/2010/wordprocessingShape">
                    <wps:wsp>
                      <wps:cNvSpPr/>
                      <wps:spPr>
                        <a:xfrm>
                          <a:off x="0" y="0"/>
                          <a:ext cx="1584960" cy="358140"/>
                        </a:xfrm>
                        <a:prstGeom prst="borderCallout1">
                          <a:avLst>
                            <a:gd name="adj1" fmla="val 50665"/>
                            <a:gd name="adj2" fmla="val -2564"/>
                            <a:gd name="adj3" fmla="val 57181"/>
                            <a:gd name="adj4" fmla="val -37852"/>
                          </a:avLst>
                        </a:prstGeom>
                        <a:noFill/>
                        <a:ln w="3175">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ind w:left="0"/>
                              <w:jc w:val="center"/>
                            </w:pPr>
                            <w:r>
                              <w:t>Kalkstigen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xmlns:o="urn:schemas-microsoft-com:office:office" id="_x0000_t47" coordsize="21600,21600" o:spt="47" adj="-8280,24300,-1800,4050" path="m@0@1l@2@3nfem,l21600,r,21600l,21600xe">
                <v:stroke joinstyle="miter"/>
                <v:formulas>
                  <v:f eqn="val #0"/>
                  <v:f eqn="val #1"/>
                  <v:f eqn="val #2"/>
                  <v:f eqn="val #3"/>
                </v:formulas>
                <v:path o:extrusionok="f" gradientshapeok="t" o:connecttype="custom" o:connectlocs="@0,@1;10800,0;10800,21600;0,10800;21600,10800"/>
              </v:shapetype>
              <v:shape xmlns:o="urn:schemas-microsoft-com:office:office" type="#_x0000_t47" id="Pratbubbla: rad 28" o:spid="_x0000_s1029" style="position:absolute;width:124.8pt;height:28.2pt;z-index:7;mso-wrap-distance-left:9pt;mso-wrap-distance-top:0pt;mso-wrap-distance-right:9pt;mso-wrap-distance-bottom:0pt;margin-left:296.25pt;margin-top:189.65pt;mso-position-horizontal:absolute;mso-position-horizontal-relative:text;mso-position-vertical:absolute;mso-position-vertical-relative:text;v-text-anchor:middle" o:allowincell="t" filled="f" strokecolor="#FFFFFF" strokeweight="0.25pt" stroked="t">
                <v:textbox inset="3mm,1mm,3mm,1mm">
                  <w:txbxContent>
                    <w:p>
                      <w:pPr>
                        <w:ind w:left="0"/>
                        <w:jc w:val="center"/>
                      </w:pPr>
                      <w:r>
                        <w:t>Kalkstigen</w:t>
                      </w:r>
                    </w:p>
                  </w:txbxContent>
                </v:textbox>
              </v:shape>
            </w:pict>
          </mc:Fallback>
        </mc:AlternateContent>
      </w:r>
      <w:r>
        <w:rPr>
          <w:i w:val="1"/>
          <w:noProof w:val="1"/>
          <w:color w:val="A5D5E2" w:themeColor="accent5" w:themeTint="80"/>
        </w:rPr>
        <w:drawing>
          <wp:inline xmlns:wp="http://schemas.openxmlformats.org/drawingml/2006/wordprocessingDrawing" distT="0" distB="0" distL="0" distR="0">
            <wp:extent cx="4486910" cy="3517265"/>
            <wp:effectExtent l="19050" t="19050" r="27940" b="26035"/>
            <wp:docPr id="8" name="Bildobjekt 8" descr="En bild över det lokala avrinningsområdet  och vattensamlingsområ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objekt 8" descr="En bild över det lokala avrinningsområdet  och vattensamlingsområden."/>
                    <pic:cNvPicPr/>
                  </pic:nvPicPr>
                  <pic:blipFill dpi="0">
                    <a:blip xmlns:r="http://schemas.openxmlformats.org/officeDocument/2006/relationships" r:embed="Relimage17"/>
                    <a:srcRect/>
                    <a:stretch>
                      <a:fillRect/>
                    </a:stretch>
                  </pic:blipFill>
                  <pic:spPr>
                    <a:xfrm>
                      <a:off x="0" y="0"/>
                      <a:ext cx="4500006" cy="3527727"/>
                    </a:xfrm>
                    <a:prstGeom prst="rect"/>
                    <a:ln w="9525" cmpd="sng" algn="ctr">
                      <a:solidFill>
                        <a:sysClr val="windowText"/>
                      </a:solidFill>
                      <a:prstDash val="solid"/>
                      <a:round/>
                    </a:ln>
                  </pic:spPr>
                </pic:pic>
              </a:graphicData>
            </a:graphic>
          </wp:inline>
        </w:drawing>
      </w:r>
    </w:p>
    <w:p>
      <w:pPr>
        <w:pStyle w:val="P42"/>
        <w:ind w:left="1701"/>
      </w:pPr>
      <w:r>
        <w:t xml:space="preserve">Figur </w:t>
      </w:r>
      <w:r>
        <w:fldChar w:fldCharType="begin"/>
      </w:r>
      <w:r>
        <w:instrText xml:space="preserve"> SEQ Figur \* ARABIC </w:instrText>
      </w:r>
      <w:r>
        <w:fldChar w:fldCharType="separate"/>
      </w:r>
      <w:r>
        <w:rPr>
          <w:noProof w:val="1"/>
        </w:rPr>
        <w:t>9</w:t>
      </w:r>
      <w:r>
        <w:rPr>
          <w:noProof w:val="1"/>
        </w:rPr>
        <w:fldChar w:fldCharType="end"/>
      </w:r>
      <w:r>
        <w:t xml:space="preserve"> Det lokala avrinningsområdet och planområdet (Scalgo, 2022) från dagvattenutredningen</w:t>
      </w:r>
    </w:p>
    <w:p>
      <w:bookmarkEnd w:id="251"/>
      <w:r>
        <w:t xml:space="preserve">Dagvattenutredningen förslår åtgärder som fördröjer dagvattnet. Den nya utformningen medför en större kapacitet att kunna avleda och hantera dagvatten, exempelvis ska vattnet huvudsakligen ledas mot dikena längs med Vattentornsvägen i stället för att rinna vidare mot södra delen av Kalkstigen. </w:t>
      </w:r>
    </w:p>
    <w:p>
      <w:r>
        <w:t xml:space="preserve">Höjdsättningen medför så att en lågpunkt bildas i norra delen av cirkulationsplatsen, topografin i området gör det svårt att undvika bildandet av lågpunkten. Till det saknas utrymme i planområdet för att kunna genomföra en GC-bana och en dagvattenåtgärd, det finns inte heller möjlighet att avleda vattnet till ett närliggande dike då lågpunkten är så pass mycket lägre än omkringliggande område. För att lågpunkten ska kunna avvattnas ska en dagvattenbrunn anläggas, dock kan brunnen inte förväntas kunna hantera det inkommande flödet vid ett extremregn. </w:t>
      </w:r>
    </w:p>
    <w:p>
      <w:pPr>
        <w:pStyle w:val="P11"/>
      </w:pPr>
      <w:r>
        <w:t>Vid ett extremregn där vattnet inte kan avledas i ledningar eller dagvattenlösningar kommer vattnet att rinna ytligt österut längs med Folkparksvägen. Det finns en lågpunkt inom området i rondellens norra hörn där vattnet inte kommer att kunna avledas ytligt utan fyllas på till dess att området blir överfullt och töms österut läng Folkparksvägen.</w:t>
      </w:r>
    </w:p>
    <w:p>
      <w:pPr>
        <w:pStyle w:val="P2"/>
      </w:pPr>
      <w:bookmarkEnd w:id="248"/>
      <w:bookmarkEnd w:id="249"/>
      <w:r>
        <w:br w:type="textWrapping"/>
      </w:r>
      <w:bookmarkStart w:id="252" w:name="_Toc151732644"/>
      <w:bookmarkStart w:id="253" w:name="pf_teknik02"/>
      <w:r>
        <w:t>Vatten och avlopp</w:t>
      </w:r>
      <w:bookmarkEnd w:id="229"/>
      <w:bookmarkEnd w:id="230"/>
      <w:bookmarkEnd w:id="252"/>
    </w:p>
    <w:p>
      <w:pPr>
        <w:jc w:val="both"/>
      </w:pPr>
      <w:r>
        <w:t xml:space="preserve">Planområdet ingår i kommunalt verksamhetsområde för VA. </w:t>
      </w:r>
    </w:p>
    <w:p>
      <w:r>
        <w:br w:type="textWrapping"/>
        <w:t xml:space="preserve">Ombyggnad av gata kan medföra behov av ombyggnad av VA i olika grad. Dagvattenhanteringen kommer att behöva ses över för att avvattningen av området ska fungera. För spill- och vattenledningar kan det eventuellt bli aktuellt med att byta eller höjdjustera beteckningar efter anläggningsarbetet. Detta utreds parallellt med framtagandet av planen. </w:t>
      </w:r>
    </w:p>
    <w:p>
      <w:pPr>
        <w:ind w:left="0"/>
        <w:rPr>
          <w:color w:val="FF0000"/>
        </w:rPr>
      </w:pPr>
      <w:bookmarkEnd w:id="253"/>
    </w:p>
    <w:p>
      <w:pPr>
        <w:pStyle w:val="P2"/>
      </w:pPr>
      <w:bookmarkStart w:id="254" w:name="_Toc530399282"/>
      <w:bookmarkStart w:id="255" w:name="_Toc530403012"/>
      <w:bookmarkStart w:id="256" w:name="_Toc151732645"/>
      <w:bookmarkStart w:id="257" w:name="pf_hydrologiskaförhållanden03"/>
      <w:bookmarkStart w:id="258" w:name="pf_teknik03"/>
      <w:r>
        <w:t>Dagvattenhantering</w:t>
      </w:r>
      <w:bookmarkEnd w:id="254"/>
      <w:bookmarkEnd w:id="255"/>
      <w:bookmarkEnd w:id="256"/>
      <w:r>
        <w:t xml:space="preserve"> </w:t>
      </w:r>
    </w:p>
    <w:p>
      <w:r>
        <w:t>En dagvattenutredning har tagits fram och utgör en bilaga till planen.</w:t>
      </w:r>
    </w:p>
    <w:p>
      <w:r>
        <w:t xml:space="preserve"> </w:t>
      </w:r>
    </w:p>
    <w:p>
      <w:pPr>
        <w:rPr>
          <w:b w:val="1"/>
          <w:bCs w:val="1"/>
        </w:rPr>
      </w:pPr>
      <w:r>
        <w:t>I nuläget avvattnas planområdet genom brunnar placerade i vägyta och diken. Planområdets dagvatten avleds genom kommunala dagvattenledningar till recipienten Kvännaren, vilken uppvisar måttlig</w:t>
      </w:r>
      <w:r>
        <w:rPr>
          <w:b w:val="1"/>
          <w:bCs w:val="1"/>
        </w:rPr>
        <w:t xml:space="preserve"> </w:t>
      </w:r>
      <w:r>
        <w:t xml:space="preserve">ekologisk status och kemisk status är klassad som </w:t>
      </w:r>
      <w:r>
        <w:rPr>
          <w:i w:val="1"/>
          <w:iCs w:val="1"/>
        </w:rPr>
        <w:t>uppnår ej god</w:t>
      </w:r>
      <w:r>
        <w:rPr>
          <w:b w:val="1"/>
          <w:bCs w:val="1"/>
        </w:rPr>
        <w:t xml:space="preserve">. </w:t>
      </w:r>
    </w:p>
    <w:p>
      <w:r>
        <w:rPr>
          <w:noProof w:val="1"/>
        </w:rPr>
        <w:drawing>
          <wp:anchor xmlns:wp="http://schemas.openxmlformats.org/drawingml/2006/wordprocessingDrawing" distT="0" distB="0" distL="114300" distR="114300" simplePos="0" relativeHeight="9" behindDoc="0" locked="0" layoutInCell="1" allowOverlap="1">
            <wp:simplePos x="0" y="0"/>
            <wp:positionH relativeFrom="margin">
              <wp:posOffset>4648200</wp:posOffset>
            </wp:positionH>
            <wp:positionV relativeFrom="paragraph">
              <wp:posOffset>1228090</wp:posOffset>
            </wp:positionV>
            <wp:extent cx="1572895" cy="3420110"/>
            <wp:effectExtent l="19050" t="19050" r="27305" b="27940"/>
            <wp:wrapNone/>
            <wp:docPr id="19" name="Bildobjekt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3"/>
                    <pic:cNvPicPr/>
                  </pic:nvPicPr>
                  <pic:blipFill dpi="0">
                    <a:blip xmlns:r="http://schemas.openxmlformats.org/officeDocument/2006/relationships" r:embed="Relimage18" cstate="print"/>
                    <a:srcRect/>
                    <a:stretch>
                      <a:fillRect/>
                    </a:stretch>
                  </pic:blipFill>
                  <pic:spPr>
                    <a:xfrm>
                      <a:off x="0" y="0"/>
                      <a:ext cx="1572895" cy="3420639"/>
                    </a:xfrm>
                    <a:prstGeom prst="rect"/>
                    <a:ln>
                      <a:solidFill>
                        <a:schemeClr val="tx1"/>
                      </a:solidFill>
                    </a:ln>
                  </pic:spPr>
                </pic:pic>
              </a:graphicData>
            </a:graphic>
          </wp:anchor>
        </w:drawing>
      </w:r>
      <w:r>
        <w:rPr>
          <w:noProof w:val="1"/>
        </w:rPr>
        <w:drawing>
          <wp:anchor xmlns:wp="http://schemas.openxmlformats.org/drawingml/2006/wordprocessingDrawing" distT="0" distB="0" distL="114300" distR="114300" simplePos="0" relativeHeight="1" behindDoc="0" locked="0" layoutInCell="1" allowOverlap="1">
            <wp:simplePos x="0" y="0"/>
            <wp:positionH relativeFrom="column">
              <wp:posOffset>1091565</wp:posOffset>
            </wp:positionH>
            <wp:positionV relativeFrom="paragraph">
              <wp:posOffset>1240790</wp:posOffset>
            </wp:positionV>
            <wp:extent cx="3493135" cy="3422650"/>
            <wp:effectExtent l="19050" t="19050" r="12065" b="25400"/>
            <wp:wrapTopAndBottom/>
            <wp:docPr id="10" name="Bildobjekt 10" descr="Bilden visar hur dagvattenutredningen föreslår avrinningen för dagvatte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objekt 10" descr="Bilden visar hur dagvattenutredningen föreslår avrinningen för dagvatten "/>
                    <pic:cNvPicPr/>
                  </pic:nvPicPr>
                  <pic:blipFill dpi="0">
                    <a:blip xmlns:r="http://schemas.openxmlformats.org/officeDocument/2006/relationships" r:embed="Relimage19" cstate="print"/>
                    <a:srcRect l="5015" r="5886"/>
                    <a:stretch>
                      <a:fillRect/>
                    </a:stretch>
                  </pic:blipFill>
                  <pic:spPr bwMode="auto">
                    <a:xfrm>
                      <a:off x="0" y="0"/>
                      <a:ext cx="3493135" cy="3422650"/>
                    </a:xfrm>
                    <a:prstGeom prst="rect"/>
                    <a:ln w="9525" cmpd="sng" algn="ctr">
                      <a:solidFill>
                        <a:sysClr val="windowText"/>
                      </a:solidFill>
                      <a:prstDash val="solid"/>
                      <a:round/>
                    </a:ln>
                  </pic:spPr>
                </pic:pic>
              </a:graphicData>
            </a:graphic>
          </wp:anchor>
        </w:drawing>
      </w:r>
      <w:r>
        <w:t>Ändringen av detaljplanen kommer utan föreslagna dagvattenåtgärder att leda till både högre dagvattenflöde samt ökad föroreningsbelastning. För att utjämna det framtida dagvattenflödet till det befintliga har den totala erforderliga fördröjningsvolymen för planområdet beräknats till ca 111 m</w:t>
      </w:r>
      <w:r>
        <w:rPr>
          <w:vertAlign w:val="superscript"/>
        </w:rPr>
        <w:t>3</w:t>
      </w:r>
      <w:r>
        <w:t>. För att fördröja vattnet samt minska föroreningsbelastningen föreslås svackdiken och makadamdiken att anläggas längs Folkparksvägen och Vattentornsvägen.</w:t>
      </w:r>
    </w:p>
    <w:p>
      <w:pPr>
        <w:pStyle w:val="P24"/>
        <w:rPr>
          <w:i w:val="1"/>
          <w:color w:val="A5D5E2" w:themeColor="accent5" w:themeTint="80"/>
        </w:rPr>
      </w:pPr>
      <w:r>
        <w:rPr>
          <w:noProof w:val="1"/>
        </w:rPr>
        <mc:AlternateContent>
          <mc:Choice Requires="wps">
            <w:drawing>
              <wp:inline xmlns:wp="http://schemas.openxmlformats.org/drawingml/2006/wordprocessingDrawing" distT="0" distB="0" distL="0" distR="0">
                <wp:extent cx="3493135" cy="635"/>
                <wp:effectExtent l="0" t="0" r="0" b="0"/>
                <wp:docPr id="1121979408" name="Textruta 1121979408"/>
                <wp:cNvGraphicFramePr/>
                <a:graphic xmlns:a="http://schemas.openxmlformats.org/drawingml/2006/main">
                  <a:graphicData uri="http://schemas.microsoft.com/office/word/2010/wordprocessingShape">
                    <wps:wsp>
                      <wps:cNvSpPr txBox="1"/>
                      <wps:spPr>
                        <a:xfrm>
                          <a:off x="0" y="0"/>
                          <a:ext cx="3493135" cy="635"/>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42"/>
                              <w:rPr>
                                <w:rFonts w:ascii="Gotham Light" w:hAnsi="Gotham Light" w:eastAsia="Times New Roman"/>
                                <w:noProof w:val="1"/>
                                <w:szCs w:val="20"/>
                              </w:rPr>
                            </w:pPr>
                            <w:r>
                              <w:t xml:space="preserve">Figur </w:t>
                            </w:r>
                            <w:r>
                              <w:fldChar w:fldCharType="begin"/>
                            </w:r>
                            <w:r>
                              <w:instrText xml:space="preserve"> SEQ Figur \* ARABIC </w:instrText>
                            </w:r>
                            <w:r>
                              <w:fldChar w:fldCharType="separate"/>
                            </w:r>
                            <w:r>
                              <w:rPr>
                                <w:noProof w:val="1"/>
                              </w:rPr>
                              <w:t>10</w:t>
                            </w:r>
                            <w:r>
                              <w:rPr>
                                <w:noProof w:val="1"/>
                              </w:rPr>
                              <w:fldChar w:fldCharType="end"/>
                            </w:r>
                            <w:r>
                              <w:t xml:space="preserve"> Föreslagen avrinning för dagvatten, från dagvattenutredningen</w:t>
                            </w:r>
                          </w:p>
                        </w:txbxContent>
                      </wps:txbx>
                      <wps:bodyPr rot="0" spcFirstLastPara="0" vertOverflow="overflow" horzOverflow="overflow" vert="horz" wrap="square" lIns="0" tIns="0" rIns="0" bIns="0" numCol="1" spcCol="0" rtlCol="0" fromWordArt="0" anchor="t" anchorCtr="0" forceAA="0" compatLnSpc="1">
                        <a:spAutoFit/>
                      </wps:bodyPr>
                    </wps:wsp>
                  </a:graphicData>
                </a:graphic>
              </wp:inline>
            </w:drawing>
          </mc:Choice>
          <mc:Fallback>
            <w:pict>
              <v:shapetype xmlns:o="urn:schemas-microsoft-com:office:office" id="_x0000_t202" coordsize="21600,21600" o:spt="202" path="m,l,21600r21600,l21600,xe">
                <v:stroke joinstyle="miter"/>
                <v:path gradientshapeok="t" o:connecttype="rect"/>
              </v:shapetype>
              <v:shape xmlns:o="urn:schemas-microsoft-com:office:office" type="#_x0000_t202" id="Textruta 1121979408" o:spid="_x0000_s1030" style="width:275.05pt;height:0.05pt;mso-wrap-distance-left:0pt;mso-wrap-distance-top:0pt;mso-wrap-distance-right:0pt;mso-wrap-distance-bottom:0pt;margin-left:0pt;margin-top:0pt;mso-position-horizontal:absolute;mso-position-horizontal-relative:page;mso-position-vertical:absolute;mso-position-vertical-relative:page" o:allowoverlap="f" fillcolor="#FFFFFF" stroked="f">
                <v:textbox style="mso-fit-shape-to-text:t" inset="0mm,0mm,0mm,0mm">
                  <w:txbxContent>
                    <w:p>
                      <w:pPr>
                        <w:pStyle w:val="P42"/>
                        <w:rPr>
                          <w:rFonts w:ascii="Gotham Light" w:hAnsi="Gotham Light" w:eastAsia="Times New Roman"/>
                          <w:noProof w:val="1"/>
                          <w:szCs w:val="20"/>
                        </w:rPr>
                      </w:pPr>
                      <w:r>
                        <w:t xml:space="preserve">Figur </w:t>
                      </w:r>
                      <w:r>
                        <w:fldChar w:fldCharType="begin"/>
                      </w:r>
                      <w:r>
                        <w:instrText xml:space="preserve"> SEQ Figur \* ARABIC </w:instrText>
                      </w:r>
                      <w:r>
                        <w:fldChar w:fldCharType="separate"/>
                      </w:r>
                      <w:r>
                        <w:rPr>
                          <w:noProof w:val="1"/>
                        </w:rPr>
                        <w:t>10</w:t>
                      </w:r>
                      <w:r>
                        <w:rPr>
                          <w:noProof w:val="1"/>
                        </w:rPr>
                        <w:fldChar w:fldCharType="end"/>
                      </w:r>
                      <w:r>
                        <w:t xml:space="preserve"> Föreslagen avrinning för dagvatten, från dagvattenutredningen</w:t>
                      </w:r>
                    </w:p>
                  </w:txbxContent>
                </v:textbox>
              </v:shape>
            </w:pict>
          </mc:Fallback>
        </mc:AlternateContent>
      </w:r>
    </w:p>
    <w:p>
      <w:pPr>
        <w:rPr>
          <w:color w:val="FF0000"/>
        </w:rPr>
      </w:pPr>
      <w:r>
        <w:t xml:space="preserve">Den årliga föroreningsmängden från området minskar efter att föreslagna reningsåtgärder implementeras, vilket innebär att påverkan på MKN hos recipienten bedöms minst vara likvärdig med befintlig situation och att vissa kvalitetsfaktorer eventuellt påverkas i positiv riktning av exploateringen. </w:t>
      </w:r>
    </w:p>
    <w:p>
      <w:pPr>
        <w:rPr>
          <w:color w:val="000000" w:themeColor="text1"/>
        </w:rPr>
      </w:pPr>
      <w:bookmarkEnd w:id="257"/>
      <w:bookmarkEnd w:id="258"/>
    </w:p>
    <w:p>
      <w:pPr>
        <w:pStyle w:val="P2"/>
      </w:pPr>
      <w:bookmarkStart w:id="259" w:name="_Toc151732646"/>
      <w:bookmarkStart w:id="260" w:name="pf_teknik04"/>
      <w:r>
        <w:t>Värme</w:t>
      </w:r>
      <w:bookmarkEnd w:id="259"/>
    </w:p>
    <w:p>
      <w:pPr>
        <w:jc w:val="both"/>
      </w:pPr>
      <w:r>
        <w:t xml:space="preserve">Fjärrvärmeledningar finns inom planområdet. </w:t>
      </w:r>
    </w:p>
    <w:p>
      <w:pPr>
        <w:pStyle w:val="P2"/>
      </w:pPr>
      <w:bookmarkStart w:id="261" w:name="_Toc530399314"/>
      <w:bookmarkStart w:id="262" w:name="_Toc530403044"/>
      <w:r>
        <w:br w:type="textWrapping"/>
      </w:r>
      <w:bookmarkStart w:id="263" w:name="_Toc151732647"/>
      <w:r>
        <w:t>El, tele, fiber</w:t>
      </w:r>
      <w:bookmarkEnd w:id="261"/>
      <w:bookmarkEnd w:id="262"/>
      <w:bookmarkEnd w:id="263"/>
    </w:p>
    <w:p>
      <w:pPr>
        <w:rPr>
          <w:color w:val="000000" w:themeColor="text1"/>
        </w:rPr>
      </w:pPr>
    </w:p>
    <w:p>
      <w:pPr>
        <w:rPr>
          <w:color w:val="000000" w:themeColor="text1"/>
        </w:rPr>
      </w:pPr>
      <w:r>
        <w:rPr>
          <w:color w:val="000000" w:themeColor="text1"/>
        </w:rPr>
        <w:t>En transformatorstation ligger inom planområdets södra del. Servicetransporter till denna kan ske på anslutande gång- och cykelvägar.</w:t>
      </w:r>
    </w:p>
    <w:p>
      <w:pPr>
        <w:rPr>
          <w:color w:val="000000" w:themeColor="text1"/>
        </w:rPr>
      </w:pPr>
    </w:p>
    <w:p>
      <w:pPr>
        <w:rPr>
          <w:color w:val="000000" w:themeColor="text1"/>
        </w:rPr>
      </w:pPr>
      <w:r>
        <w:rPr>
          <w:color w:val="000000" w:themeColor="text1"/>
        </w:rPr>
        <w:t xml:space="preserve">En teleledning finns söder om planområdet. </w:t>
      </w:r>
    </w:p>
    <w:p>
      <w:pPr>
        <w:rPr>
          <w:color w:val="000000" w:themeColor="text1"/>
        </w:rPr>
      </w:pPr>
      <w:r>
        <w:rPr>
          <w:color w:val="000000" w:themeColor="text1"/>
        </w:rPr>
        <w:t>Ett kabelskåp finns i nordöstra delen av planområdet.</w:t>
      </w:r>
    </w:p>
    <w:p>
      <w:pPr>
        <w:pStyle w:val="P2"/>
      </w:pPr>
      <w:bookmarkStart w:id="264" w:name="_Toc530399315"/>
      <w:bookmarkStart w:id="265" w:name="_Toc530403045"/>
      <w:r>
        <w:br w:type="textWrapping"/>
      </w:r>
      <w:bookmarkStart w:id="266" w:name="_Toc151732648"/>
      <w:r>
        <w:t>Avfall och återvinning</w:t>
      </w:r>
      <w:bookmarkEnd w:id="264"/>
      <w:bookmarkEnd w:id="265"/>
      <w:bookmarkEnd w:id="266"/>
    </w:p>
    <w:p>
      <w:pPr>
        <w:pStyle w:val="P11"/>
      </w:pPr>
      <w:r>
        <w:t xml:space="preserve">Området är anslutet till den kommunala avfallshanteringen. </w:t>
      </w:r>
    </w:p>
    <w:p>
      <w:pPr>
        <w:pStyle w:val="P11"/>
      </w:pPr>
      <w:r>
        <w:t xml:space="preserve">Avfallsanläggningar ska utarbetas i samarbete med Västervik Miljö &amp; Energi AB och riktlinjer för avfallshantering ska följas enligt ”Handbok för avfallsutrymmen, Avfall Sverige”. </w:t>
      </w:r>
    </w:p>
    <w:p>
      <w:pPr>
        <w:pStyle w:val="P1"/>
      </w:pPr>
      <w:bookmarkEnd w:id="260"/>
      <w:bookmarkStart w:id="267" w:name="_Toc531084892"/>
      <w:bookmarkStart w:id="268" w:name="_Toc531084983"/>
      <w:bookmarkStart w:id="269" w:name="_Toc151732649"/>
      <w:r>
        <w:t>PLANENS KONSEKVENSER</w:t>
      </w:r>
      <w:bookmarkEnd w:id="267"/>
      <w:bookmarkEnd w:id="268"/>
      <w:bookmarkEnd w:id="269"/>
    </w:p>
    <w:p>
      <w:pPr>
        <w:pStyle w:val="P2"/>
      </w:pPr>
      <w:bookmarkStart w:id="270" w:name="_Toc530399261"/>
      <w:bookmarkStart w:id="271" w:name="_Toc530402991"/>
      <w:bookmarkStart w:id="272" w:name="_Toc531084893"/>
      <w:bookmarkStart w:id="273" w:name="_Toc151732650"/>
      <w:bookmarkStart w:id="274" w:name="ko_ställningstagande4kap33b_pbl01"/>
      <w:r>
        <w:t>Undersökning</w:t>
      </w:r>
      <w:bookmarkEnd w:id="270"/>
      <w:bookmarkEnd w:id="271"/>
      <w:r>
        <w:t xml:space="preserve"> av betydande miljöpåverkan</w:t>
      </w:r>
      <w:bookmarkEnd w:id="272"/>
      <w:bookmarkEnd w:id="273"/>
      <w:r>
        <w:t xml:space="preserve"> </w:t>
      </w:r>
    </w:p>
    <w:p>
      <w:r>
        <w:t>Undersökningen syftar till att upptäcka eventuella risker och konflikter mellan önskemålen om exploatering och miljö, hälsa eller hushållning av naturresurser. Undersökningen ska utgöra underlag för kommunens beslut om en miljöbedömning ska utföras för detaljplanen. Enligt 6 kap. 5 § miljöbalken (1998:808) ska kommunen göra en undersökning av behovet av en strategisk miljöbedömning när en detaljplan eller ett program ska upprättas eller ändras. Kommunen ska bedöma om någon enskild eller flera aspekter tillsammans kan antas medföra en betydande miljöpåverkan. Bedöms planen inte medföra någon betydande miljöpåverkan hanteras miljöfrågorna inom ramen för detaljplanearbetet. För en plan som kan antas innebära betydande miljöpåverkans skall enligt 6 kap Miljöbalken (1998:808) en strategisk miljöbedömning göras.</w:t>
      </w:r>
    </w:p>
    <w:p/>
    <w:p>
      <w:r>
        <w:t>Planens genomförande strider inte mot mark- och vattenanvändningen i</w:t>
      </w:r>
    </w:p>
    <w:p>
      <w:r>
        <w:t>översiktsplanen. Detaljplanens genomförande strider inte heller mot de föreslagna lokala miljömålen och inte heller mot de långsiktiga miljömål som beslutats nationellt och regionalt.</w:t>
      </w:r>
      <w:bookmarkEnd w:id="274"/>
      <w:r>
        <w:br w:type="textWrapping"/>
      </w:r>
    </w:p>
    <w:p>
      <w:pPr>
        <w:pStyle w:val="P3"/>
      </w:pPr>
      <w:bookmarkStart w:id="275" w:name="_Toc530399325"/>
      <w:bookmarkStart w:id="276" w:name="_Toc530403055"/>
      <w:bookmarkStart w:id="277" w:name="ko_annat01"/>
      <w:r>
        <w:t>Nollalternativ</w:t>
      </w:r>
      <w:bookmarkEnd w:id="275"/>
      <w:bookmarkEnd w:id="276"/>
    </w:p>
    <w:p>
      <w:pPr>
        <w:rPr>
          <w:rFonts w:eastAsiaTheme="majorEastAsia"/>
          <w:noProof w:val="1"/>
        </w:rPr>
      </w:pPr>
      <w:r>
        <w:rPr>
          <w:rFonts w:eastAsiaTheme="majorEastAsia"/>
          <w:noProof w:val="1"/>
        </w:rPr>
        <w:t xml:space="preserve">Nollalternativet innebär fortsatt markanvändning som det ser ut idag. Det går därmed inte att bygga en cirkulationsplats eftersom angränsande område regleras av bland annat kvartersmark för bostäder, </w:t>
      </w:r>
      <w:r>
        <w:rPr>
          <w:szCs w:val="22"/>
        </w:rPr>
        <w:t>industri och hantverk som inte är störande för omgivningen</w:t>
      </w:r>
      <w:r>
        <w:rPr>
          <w:rFonts w:eastAsiaTheme="majorEastAsia"/>
          <w:noProof w:val="1"/>
        </w:rPr>
        <w:t>.</w:t>
      </w:r>
    </w:p>
    <w:p>
      <w:pPr>
        <w:pStyle w:val="P3"/>
      </w:pPr>
      <w:r>
        <w:br w:type="textWrapping"/>
        <w:t>Utbyggnadsalternativ</w:t>
      </w:r>
    </w:p>
    <w:p>
      <w:pPr>
        <w:widowControl w:val="0"/>
        <w:suppressAutoHyphens w:val="0"/>
        <w:ind w:right="0"/>
        <w:rPr>
          <w:rFonts w:eastAsiaTheme="majorEastAsia"/>
          <w:noProof w:val="1"/>
        </w:rPr>
      </w:pPr>
      <w:r>
        <w:rPr>
          <w:rFonts w:eastAsiaTheme="majorEastAsia"/>
          <w:noProof w:val="1"/>
        </w:rPr>
        <w:t xml:space="preserve">Ett utbyggnadsalternativ innebär att planen genomförs. </w:t>
      </w:r>
    </w:p>
    <w:p>
      <w:pPr>
        <w:rPr>
          <w:rFonts w:eastAsiaTheme="majorEastAsia"/>
          <w:noProof w:val="1"/>
        </w:rPr>
      </w:pPr>
    </w:p>
    <w:p>
      <w:pPr>
        <w:pStyle w:val="P3"/>
      </w:pPr>
      <w:r>
        <w:t xml:space="preserve">Lokaliseringsalternativ </w:t>
      </w:r>
    </w:p>
    <w:p>
      <w:pPr>
        <w:pStyle w:val="P11"/>
      </w:pPr>
      <w:r>
        <w:t xml:space="preserve">Detaljplanen innebär möjlighet till ombyggnation av befintlig korsning till cirkulationsplats på grund av den aktuella platsens förutsättningar samt anpassning av kvartersmark utifrån detta. Därmed är alternativa lokaliseringar inte relevanta för planförslaget. </w:t>
      </w:r>
    </w:p>
    <w:p>
      <w:pPr>
        <w:rPr>
          <w:rFonts w:eastAsiaTheme="majorEastAsia"/>
          <w:noProof w:val="1"/>
        </w:rPr>
      </w:pPr>
      <w:bookmarkEnd w:id="277"/>
    </w:p>
    <w:p>
      <w:pPr>
        <w:pStyle w:val="P2"/>
        <w:rPr>
          <w:rFonts w:eastAsiaTheme="majorEastAsia"/>
        </w:rPr>
      </w:pPr>
      <w:bookmarkStart w:id="278" w:name="_Toc531084894"/>
      <w:bookmarkStart w:id="279" w:name="_Toc151732651"/>
      <w:r>
        <w:rPr>
          <w:rFonts w:eastAsiaTheme="majorEastAsia"/>
        </w:rPr>
        <w:t>Genomförandepåverkan</w:t>
      </w:r>
      <w:bookmarkEnd w:id="278"/>
      <w:bookmarkEnd w:id="279"/>
    </w:p>
    <w:p>
      <w:r>
        <w:t>Att bygga i befintliga miljöer innebär i de flesta fall någon form av påverkan för närboende och marken som tas i anspråk. Nedan belyses vilka olika effekter ett genomförande av detaljplanen kan få.</w:t>
      </w:r>
    </w:p>
    <w:p>
      <w:pPr>
        <w:pStyle w:val="P11"/>
        <w:rPr>
          <w:rFonts w:eastAsiaTheme="majorEastAsia"/>
        </w:rPr>
      </w:pPr>
    </w:p>
    <w:p>
      <w:pPr>
        <w:pStyle w:val="P3"/>
      </w:pPr>
      <w:bookmarkStart w:id="280" w:name="_Toc530399328"/>
      <w:bookmarkStart w:id="281" w:name="_Toc530403058"/>
      <w:bookmarkStart w:id="282" w:name="ko_fastigheterochrättigheter01"/>
      <w:r>
        <w:t>Fastighetsägare</w:t>
      </w:r>
      <w:bookmarkEnd w:id="280"/>
      <w:bookmarkEnd w:id="281"/>
    </w:p>
    <w:p>
      <w:pPr>
        <w:pStyle w:val="P11"/>
      </w:pPr>
      <w:r>
        <w:t>Bostadskvarteret Kalkalgen sydost om korsningen Folkparksvägen/Vattentornsgatan berörs genom att hörnet mot korsningen föreslås som gatumark samt bostad med mark där inte byggnader får uppföras. Denna del består idag av gräsyta och häck mot gatan. Bostadskvarterets sammanlagda byggnadsyta får enligt gällande plan vara högst 2700 m2. Eftersom bestämmelsen inte är procentuellt satt till fastighetens storlek påverkas inte möjligheten till maximal byggnadsyta. Fastigheten blir dock mindre genom att hörnet mot gatan får ny användning. Befintligt utfartsförbud mot norr kompletteras med utfartsförbud mot Vattentornsvägen i väster. Det påverkar dock inte logistiken för befintlig bebyggelse eftersom utfarter redan idag sker mot Kalkstigen i söder.</w:t>
      </w:r>
    </w:p>
    <w:p>
      <w:pPr>
        <w:pStyle w:val="P11"/>
      </w:pPr>
    </w:p>
    <w:p>
      <w:pPr>
        <w:pStyle w:val="P11"/>
      </w:pPr>
      <w:r>
        <w:t xml:space="preserve">Fastigheten med befintlig verksamhet nordväst om korsningen Folkparksvägen/Vattentornsgatan berörs genom att hörnet mot korsningen föreslås som gatumark vilket också medför att befintlig utfart behöver flyttas och behov av förändrade parkeringsplatser. </w:t>
      </w:r>
    </w:p>
    <w:p>
      <w:pPr>
        <w:pStyle w:val="P11"/>
      </w:pPr>
    </w:p>
    <w:p>
      <w:pPr>
        <w:pStyle w:val="P11"/>
      </w:pPr>
      <w:r>
        <w:t xml:space="preserve">Fastigheten med befintlig verksamhet nordost om korsningen Folkparksvägen/Vattentornsgatan berörs genom att hörnet mot korsningen samt en zon längs Vattentornsvägen föreslås som gatumark. </w:t>
      </w:r>
    </w:p>
    <w:p>
      <w:pPr>
        <w:pStyle w:val="P11"/>
        <w:rPr>
          <w:rFonts w:eastAsiaTheme="majorEastAsia"/>
        </w:rPr>
      </w:pPr>
      <w:bookmarkEnd w:id="282"/>
    </w:p>
    <w:p>
      <w:pPr>
        <w:pStyle w:val="P3"/>
      </w:pPr>
      <w:bookmarkStart w:id="283" w:name="ko_landskapsbild01"/>
      <w:r>
        <w:t>Landskapsbild</w:t>
      </w:r>
    </w:p>
    <w:p>
      <w:r>
        <w:t>Planen möjliggör för en cirkulationsplats men landskapsbilden påverkas marginellt i och med detta.</w:t>
      </w:r>
    </w:p>
    <w:p>
      <w:bookmarkEnd w:id="283"/>
    </w:p>
    <w:p>
      <w:pPr>
        <w:pStyle w:val="P3"/>
        <w:rPr>
          <w:highlight w:val="cyan"/>
        </w:rPr>
      </w:pPr>
      <w:bookmarkStart w:id="284" w:name="ko_natur01"/>
      <w:r>
        <w:t>Naturmiljö</w:t>
        <w:br w:type="textWrapping"/>
      </w:r>
      <w:r>
        <w:rPr>
          <w:rFonts w:asciiTheme="minorHAnsi" w:hAnsiTheme="minorHAnsi" w:eastAsia="Times New Roman"/>
          <w:noProof w:val="0"/>
        </w:rPr>
        <w:t xml:space="preserve">Inom planområdet har en observation av sandödla gjorts. Inom det område som observationen är gjord kommer ingen förändring av markens anordnande att ske i och med ett genomförande av planen. Inom planområdet utökas vägområdet för att möjliggöra en gång- och cykelväg i västra delen av planområdet. De befintliga småvägrenarna inom planområdet har sedan byggnationen av Didrikslund 1 under 2018-2021 blivit mycket påverkade. </w:t>
      </w:r>
      <w:bookmarkStart w:id="285" w:name="_Hlk139003404"/>
      <w:r>
        <w:rPr>
          <w:rFonts w:asciiTheme="minorHAnsi" w:hAnsiTheme="minorHAnsi" w:eastAsia="Times New Roman"/>
          <w:noProof w:val="0"/>
        </w:rPr>
        <w:t>Vegetationsskitet har i princip avlägsnats helt under byggtiden vilket inte gynnar artens möjlighet för fortplantning.</w:t>
      </w:r>
      <w:r>
        <w:rPr>
          <w:highlight w:val="cyan"/>
        </w:rPr>
        <w:t xml:space="preserve"> </w:t>
      </w:r>
      <w:bookmarkEnd w:id="285"/>
    </w:p>
    <w:p>
      <w:r>
        <w:t>Ett genomförande av detaljplanen bedöms med denna bakgrund inte skada lämpliga fortplantningsområden eller viloplatser för sandödlan inom planområdet. I den planerade cykelvägens sträckning planeras vägslänter och svackdicken att anordnas utöver själva gång- och cykelvägen.</w:t>
      </w:r>
    </w:p>
    <w:p>
      <w:r>
        <w:t xml:space="preserve">I direkt anslutning till planområdet finns det andra biotoper som besitter sådana kvaliteter som sandödlan kräver. Några observationer av arten har dock inte skett där utan längre västerut, mot Jennyområdet. </w:t>
      </w:r>
    </w:p>
    <w:p>
      <w:bookmarkEnd w:id="284"/>
    </w:p>
    <w:p>
      <w:pPr>
        <w:pStyle w:val="P2"/>
      </w:pPr>
      <w:bookmarkStart w:id="286" w:name="_Toc531084895"/>
      <w:bookmarkStart w:id="287" w:name="_Toc151732652"/>
      <w:bookmarkStart w:id="288" w:name="ko_miljöbedömning01"/>
      <w:r>
        <w:t>Ställningstagande</w:t>
      </w:r>
      <w:bookmarkEnd w:id="286"/>
      <w:bookmarkEnd w:id="287"/>
    </w:p>
    <w:p>
      <w:pPr>
        <w:rPr>
          <w:color w:val="FF0000"/>
        </w:rPr>
      </w:pPr>
      <w:r>
        <w:t>Sammantaget bedöms genomförandet av detaljplanen inte medföra någon påtaglig skada på riksintressen enligt 2 och 4 kap Miljöbalken (MB 1998:808). Strandskydd är inte aktuellt i denna plan. Vidare anses detaljplanen vara förenligt med 3, 4 och 5 kap i MB. Ingen påverkan på fornlämningar eller kulturmiljö bedöms uppstå i samband med genomförandet av planen.</w:t>
      </w:r>
    </w:p>
    <w:p>
      <w:pPr>
        <w:pStyle w:val="P11"/>
        <w:rPr>
          <w:rFonts w:eastAsiaTheme="majorEastAsia"/>
          <w:color w:val="FF0000"/>
        </w:rPr>
      </w:pPr>
    </w:p>
    <w:p>
      <w:r>
        <w:t>Kommunen bedömer att ett genomförande av planen inte kan antas innebära betydande påverkan för miljön, människors hälsa och säkerhet eller hushållningen med mark, vatten och andra resurser i enlighet med Miljöbalkens (1998:808) 6 kapitel. Den samlade bedömningen blir att varken en enskild faktor eller faktorernas samlade effekt utgör något behov av en strategisk miljöbedömning. Undersökning av betydande miljöpåverkan finns som bilaga, vilket samråds parallellt med planhandlingarna.</w:t>
      </w:r>
    </w:p>
    <w:p>
      <w:bookmarkEnd w:id="288"/>
    </w:p>
    <w:p>
      <w:pPr>
        <w:pStyle w:val="P2"/>
      </w:pPr>
      <w:bookmarkStart w:id="289" w:name="_Toc151732653"/>
      <w:r>
        <w:t>Miljökonsekvenser</w:t>
      </w:r>
      <w:bookmarkEnd w:id="289"/>
    </w:p>
    <w:p>
      <w:pPr>
        <w:pStyle w:val="P3"/>
      </w:pPr>
      <w:bookmarkStart w:id="290" w:name="ko_miljökvalitetsnormer01"/>
      <w:r>
        <w:t>Miljökvalitetsnormer</w:t>
      </w:r>
    </w:p>
    <w:p>
      <w:r>
        <w:t xml:space="preserve">Miljökvalitetsnormer är ett juridiskt bindande styrmedel som infördes med Miljöbalken år 1999. Miljökvalitetsnormer kan innefatta föroreningsnivåer och störningsnivåer som inte får understigas eller överskridas. Normerna reglerar att människor och naturen/miljön inte utsätts för påtagliga olägenheter och syftar till att uppfylla de gemensamma kraven inom EU. Miljökvalitetsnormerna </w:t>
      </w:r>
    </w:p>
    <w:p>
      <w:pPr>
        <w:rPr>
          <w:sz w:val="23"/>
          <w:szCs w:val="23"/>
        </w:rPr>
      </w:pPr>
      <w:r>
        <w:t>omfattar utomhusluft, vattenförekomster, omgivningsbuller samt fisk- och musselvatten, där de två sistnämnda inte är relevanta för planområdet.</w:t>
      </w:r>
      <w:r>
        <w:rPr>
          <w:sz w:val="23"/>
          <w:szCs w:val="23"/>
        </w:rPr>
        <w:t xml:space="preserve"> </w:t>
      </w:r>
      <w:bookmarkEnd w:id="226"/>
      <w:bookmarkEnd w:id="227"/>
      <w:bookmarkStart w:id="291" w:name="_Toc530399329"/>
      <w:bookmarkStart w:id="292" w:name="_Toc530403059"/>
    </w:p>
    <w:p>
      <w:pPr>
        <w:rPr>
          <w:rFonts w:eastAsiaTheme="majorEastAsia"/>
          <w:noProof w:val="1"/>
          <w:color w:val="FF0000"/>
          <w:sz w:val="28"/>
          <w:szCs w:val="28"/>
        </w:rPr>
      </w:pPr>
      <w:bookmarkEnd w:id="290"/>
    </w:p>
    <w:p>
      <w:pPr>
        <w:pStyle w:val="P3"/>
      </w:pPr>
      <w:bookmarkStart w:id="293" w:name="ko_vatten01"/>
      <w:r>
        <w:t xml:space="preserve">Miljökvalitetsnormer för vatten </w:t>
      </w:r>
    </w:p>
    <w:p>
      <w:pPr>
        <w:rPr>
          <w:rFonts w:cstheme="minorHAnsi" w:eastAsiaTheme="majorEastAsia"/>
          <w:color w:val="FF0000"/>
          <w:sz w:val="24"/>
        </w:rPr>
      </w:pPr>
      <w:r>
        <w:t>Kvännaren samt Yttre Gamlebyviken är närmsta ytvattenförekomsterna. Kvännaren är recipient för dagvattnet från området och uppnår ej god kemisk status samt måttlig ekologisk status. Miljökvalitetsnorm finns gällande god ekologisk status 2033 samt god kemisk ytvattenstatus. Enligt genomförd dagvattenutredning kommer den årliga föroreningsmängden från området minska efter att föreslagna reningsåtgärder implementeras. Vilket innebär att påverkan på MKN hos recipienten bedöms minst vara likvärdig med befintlig situation och att vissa kvalitetsfaktorer eventuellt kan påverkas i positiv riktning av exploateringen.</w:t>
      </w:r>
    </w:p>
    <w:p>
      <w:pPr>
        <w:rPr>
          <w:rFonts w:cstheme="minorHAnsi" w:eastAsiaTheme="majorEastAsia"/>
          <w:color w:val="FF0000"/>
          <w:sz w:val="24"/>
          <w:szCs w:val="24"/>
        </w:rPr>
      </w:pPr>
      <w:bookmarkEnd w:id="293"/>
    </w:p>
    <w:p>
      <w:pPr>
        <w:pStyle w:val="P3"/>
      </w:pPr>
      <w:bookmarkStart w:id="294" w:name="ko_luft01"/>
      <w:r>
        <w:t>Miljökvalitetsnormer för luft</w:t>
      </w:r>
    </w:p>
    <w:p>
      <w:pPr>
        <w:rPr>
          <w:rFonts w:cstheme="minorHAnsi" w:eastAsiaTheme="majorEastAsia"/>
          <w:szCs w:val="22"/>
        </w:rPr>
      </w:pPr>
      <w:r>
        <w:rPr>
          <w:rFonts w:cstheme="minorHAnsi" w:eastAsiaTheme="majorEastAsia"/>
          <w:szCs w:val="22"/>
        </w:rPr>
        <w:t xml:space="preserve">Miljökvalitetsnormer (MKN) syftar till att skydda människors hälsa och miljön. Miljökvalitetsnormerna för utomhusluft gäller i hela landet.  Med utomhusluft avses utomhusluft med undantag för arbetsplatser, vägtunnlar och tunnlar för spårbunden trafik. Miljökvalitetsnormer finns för kvävedioxid, /kväveoxider, partiklar PM10/PM2,5, marknära ozon, bensen, kolmonoxid, arsenik, kadmium, nickel och bens(a)pyren. </w:t>
      </w:r>
    </w:p>
    <w:p>
      <w:pPr>
        <w:rPr>
          <w:rFonts w:cstheme="minorHAnsi" w:eastAsiaTheme="majorEastAsia"/>
          <w:szCs w:val="22"/>
        </w:rPr>
      </w:pPr>
    </w:p>
    <w:p>
      <w:pPr>
        <w:rPr>
          <w:rFonts w:cstheme="minorHAnsi" w:eastAsiaTheme="majorEastAsia"/>
          <w:szCs w:val="22"/>
        </w:rPr>
      </w:pPr>
      <w:r>
        <w:rPr>
          <w:rFonts w:cstheme="minorHAnsi" w:eastAsiaTheme="majorEastAsia"/>
          <w:szCs w:val="22"/>
        </w:rPr>
        <w:t xml:space="preserve">Det finns både gränsvärdesnormer samt målsättningsnormer. Kommunerna ansvarar främst för att kontrollera luftkvaliteteten för de flesta MKN samt att ta fram aktuell information om föroreningsnivåerna genom mätning, modellering eller objektiv skattning utifrån luftkvalitetssituationen. </w:t>
      </w:r>
    </w:p>
    <w:p>
      <w:pPr>
        <w:rPr>
          <w:rFonts w:cstheme="minorHAnsi" w:eastAsiaTheme="majorEastAsia"/>
          <w:szCs w:val="22"/>
        </w:rPr>
      </w:pPr>
    </w:p>
    <w:p>
      <w:pPr>
        <w:rPr>
          <w:rFonts w:cstheme="minorHAnsi" w:eastAsiaTheme="majorEastAsia"/>
          <w:szCs w:val="22"/>
        </w:rPr>
      </w:pPr>
      <w:r>
        <w:rPr>
          <w:rFonts w:cstheme="minorHAnsi" w:eastAsiaTheme="majorEastAsia"/>
          <w:szCs w:val="22"/>
        </w:rPr>
        <w:t xml:space="preserve">Alla kommuner har ett ansvar att kontrollera den tätortsnära luftkvaliteten och är skyldiga att underrätta Naturvårdsverket och berörda länsstyrelser om en miljökvalitetsnorm antas komma att överskridas. Naturvårdsverket utreder utifrån detta behov av eventuella åtgärdsprogram. Inga åtgärdsprogram finns beslutade som berör Västerviks kommun. </w:t>
      </w:r>
    </w:p>
    <w:p>
      <w:pPr>
        <w:ind w:left="0"/>
        <w:rPr>
          <w:rFonts w:cstheme="minorHAnsi" w:eastAsiaTheme="majorEastAsia"/>
          <w:szCs w:val="22"/>
        </w:rPr>
      </w:pPr>
    </w:p>
    <w:p>
      <w:pPr>
        <w:rPr>
          <w:rFonts w:cstheme="minorHAnsi" w:eastAsiaTheme="majorEastAsia"/>
          <w:szCs w:val="22"/>
        </w:rPr>
      </w:pPr>
      <w:r>
        <w:rPr>
          <w:rFonts w:cstheme="minorHAnsi" w:eastAsiaTheme="majorEastAsia"/>
          <w:szCs w:val="22"/>
        </w:rPr>
        <w:t xml:space="preserve">Västerviks kommun ingår i Kalmar läns luftvårdsförbund som samordnar, bevakar och informerar hur luftföroreningars spridning och påverkan i regionen utvecklas.  </w:t>
      </w:r>
    </w:p>
    <w:p>
      <w:pPr>
        <w:rPr>
          <w:rFonts w:cstheme="minorHAnsi" w:eastAsiaTheme="majorEastAsia"/>
          <w:szCs w:val="22"/>
        </w:rPr>
      </w:pPr>
    </w:p>
    <w:p>
      <w:pPr>
        <w:rPr>
          <w:rFonts w:cstheme="minorHAnsi" w:eastAsiaTheme="majorEastAsia"/>
          <w:szCs w:val="22"/>
        </w:rPr>
      </w:pPr>
      <w:r>
        <w:rPr>
          <w:rFonts w:cstheme="minorHAnsi" w:eastAsiaTheme="majorEastAsia"/>
          <w:szCs w:val="22"/>
        </w:rPr>
        <w:t xml:space="preserve">Trafiken </w:t>
      </w:r>
      <w:r>
        <w:rPr>
          <w:rFonts w:cstheme="minorHAnsi"/>
          <w:szCs w:val="22"/>
        </w:rPr>
        <w:t xml:space="preserve">har ökat de senaste åren och med stadens utbyggnad kan det förväntas att en ökning kommer ske över tid. Planåtgärden som innebär en byggnation av cirkulationsplats innebär jämnare trafikflöde vilket har en positiv påverkan på utsläpp från trafik. Miljökvalitetsnormer för luft bedöms inte påverkas. </w:t>
      </w:r>
    </w:p>
    <w:p>
      <w:pPr>
        <w:rPr>
          <w:rFonts w:cstheme="minorHAnsi" w:eastAsiaTheme="majorEastAsia"/>
          <w:color w:val="FF0000"/>
          <w:sz w:val="24"/>
          <w:szCs w:val="24"/>
        </w:rPr>
      </w:pPr>
      <w:bookmarkEnd w:id="294"/>
    </w:p>
    <w:p>
      <w:pPr>
        <w:pStyle w:val="P3"/>
      </w:pPr>
      <w:bookmarkStart w:id="295" w:name="ko_buller01"/>
      <w:r>
        <w:t>Miljökvalitetsnormer för buller</w:t>
      </w:r>
    </w:p>
    <w:p>
      <w:pPr>
        <w:pStyle w:val="P11"/>
      </w:pPr>
      <w:r>
        <w:t>Miljökvalitetsnormen (MKN) för buller syftar till att omgivningsbullret inte ska medföra skadliga effekter på människors hälsa.</w:t>
      </w:r>
    </w:p>
    <w:p>
      <w:pPr>
        <w:pStyle w:val="P11"/>
      </w:pPr>
    </w:p>
    <w:p>
      <w:pPr>
        <w:pStyle w:val="P11"/>
      </w:pPr>
      <w:r>
        <w:t xml:space="preserve">Miljökvalitetsnormen gäller omgivningsbuller från alla vägar, järnvägar, flygplatser och tillståndspliktiga hamnar. Naturvårdsverket gör tolkningen att Miljökvalitetsnormen för buller endast omfattar kommuner med mer än 100 000 invånare. Normerna är därför inte relevanta inom Kalmar län. </w:t>
      </w:r>
    </w:p>
    <w:p>
      <w:pPr>
        <w:pStyle w:val="P11"/>
      </w:pPr>
      <w:r>
        <w:t>Däremot regleras buller genom riktvärden för buller.</w:t>
      </w:r>
    </w:p>
    <w:p>
      <w:pPr>
        <w:pStyle w:val="P11"/>
        <w:rPr>
          <w:rFonts w:eastAsiaTheme="majorEastAsia"/>
        </w:rPr>
      </w:pPr>
    </w:p>
    <w:p>
      <w:pPr>
        <w:pStyle w:val="P2"/>
        <w:rPr>
          <w:rFonts w:eastAsiaTheme="majorEastAsia"/>
        </w:rPr>
      </w:pPr>
      <w:bookmarkStart w:id="296" w:name="_Toc151732654"/>
      <w:r>
        <w:rPr>
          <w:rFonts w:eastAsiaTheme="majorEastAsia"/>
        </w:rPr>
        <w:t>Sociala konsekvenser</w:t>
      </w:r>
      <w:bookmarkEnd w:id="296"/>
      <w:r>
        <w:rPr>
          <w:rFonts w:eastAsiaTheme="majorEastAsia"/>
        </w:rPr>
        <w:t xml:space="preserve"> </w:t>
      </w:r>
    </w:p>
    <w:p>
      <w:r>
        <w:t xml:space="preserve">Planens sociala konsekvenser berör främst gaturummet. Stärkt trygghet, säkerhet och framkomlighet för gång- och cykeltrafik i kombination med tillgång till biltrafik och kollektivtrafik skapar möjlighet för många målgrupper att bo, arbeta eller röra sig i närområdet och en fortsatt stadsutveckling. </w:t>
      </w:r>
    </w:p>
    <w:p>
      <w:pPr>
        <w:pStyle w:val="P11"/>
        <w:rPr>
          <w:rFonts w:ascii="Times New Roman" w:hAnsi="Times New Roman"/>
          <w:sz w:val="24"/>
          <w:szCs w:val="24"/>
        </w:rPr>
      </w:pPr>
      <w:bookmarkEnd w:id="295"/>
    </w:p>
    <w:p>
      <w:pPr>
        <w:pStyle w:val="P3"/>
      </w:pPr>
      <w:bookmarkStart w:id="297" w:name="_Toc530399303"/>
      <w:bookmarkStart w:id="298" w:name="_Toc530403033"/>
      <w:bookmarkStart w:id="299" w:name="ko_barn01"/>
      <w:r>
        <w:t>Barnperspektivet</w:t>
      </w:r>
      <w:bookmarkEnd w:id="297"/>
      <w:bookmarkEnd w:id="298"/>
      <w:r>
        <w:t xml:space="preserve">    </w:t>
      </w:r>
    </w:p>
    <w:p>
      <w:r>
        <w:t>Barnperspektivet utgår från den vuxnes medvetenhet utifrån sin erfarenhet och förståelse och försöker återskapa barnets perspektiv. Vid planläggning blir det således viktigt att inkludera barnperspektivet i planeringen. Vid utformning av allmänna platser är det viktigt att åstadkomma en levande, öppen och barnsäker miljö. Det är utmaningen att ta ner storskaligheten och känslan av mänskliga och intima rum. Man bör fokusera på hur miljö upplevs i ögonhöjd för barn i alla åldrar samt för vuxna.</w:t>
      </w:r>
    </w:p>
    <w:p/>
    <w:p>
      <w:r>
        <w:t>Planen medför att en cirkulationsplats kan byggas vilket ökar trafiksäkerheten i området. Utrymme ges då också för upphöjda passager för gång- och cykel och en ny gång- och cykelväg längs Vattentornsvägens västra sida från cirkulationsplatsen det till anslutande befintlig gång- och cykelvägnät i söder. Dessa åtgärder är viktiga för att öka säkerhet, trygghet och framkomlighet för barn såväl som andra oskyddade gång- och cykeltrafikanter. Söder om planområdet ligger en skola som är en viktig målpunkt för skolbarn och norr om området gränsar livsmedelsbutik och handelsområde som kan utgöra målpunkt för lite äldre barn. Busshållplatser behålls inom området även om de flyttas i läge.</w:t>
      </w:r>
    </w:p>
    <w:p/>
    <w:p>
      <w:r>
        <w:t>Planen förändrar inte skalan på gaturummet. Bostäderna i kvarteret Rullstenen vänder sina uteplatser mot gatan och skapar känslan av mänskliga rum i det i övrigt storskaliga gaturummet.</w:t>
      </w:r>
    </w:p>
    <w:p>
      <w:pPr>
        <w:pStyle w:val="P11"/>
      </w:pPr>
      <w:bookmarkEnd w:id="299"/>
    </w:p>
    <w:p>
      <w:pPr>
        <w:pStyle w:val="P3"/>
      </w:pPr>
      <w:bookmarkStart w:id="300" w:name="_Toc530399300"/>
      <w:bookmarkStart w:id="301" w:name="_Toc530403030"/>
      <w:bookmarkStart w:id="302" w:name="ko_jämlikhet01"/>
      <w:r>
        <w:t>Trygghet och jämställdhet</w:t>
      </w:r>
      <w:bookmarkEnd w:id="300"/>
      <w:bookmarkEnd w:id="301"/>
      <w:r>
        <w:t xml:space="preserve">  </w:t>
      </w:r>
    </w:p>
    <w:p>
      <w:r>
        <w:t>Det finns olika strategier för att uppnå jämställdhet. I Sverige är jämställdhetsintegrering den huvudsakliga strategin, som innebär att jämställdhet ska genomsyra hela verksamheten på alla nivåer, även där beslut fattas. Jämställdhetsintegrering kräver att man systematiskt synliggör och analyserar förhållanden och villkor för kvinnor och män. Varje fråga som berör individer ska prövas ur ett jämställdhetsperspektiv och konsekvenserna av hur förslag kan tänkas utfalla för kvinnor och män, flickor och pojkar ska analyseras.</w:t>
      </w:r>
    </w:p>
    <w:p/>
    <w:p>
      <w:r>
        <w:t xml:space="preserve">Planen medför förbättringar för såväl biltrafik som gång- och cykeltrafik. Busshållplatser flyttas men behålls inom planområdet. </w:t>
      </w:r>
    </w:p>
    <w:p>
      <w:r>
        <w:t>Närhet till kollektivtrafik och ett utbyggt gång- och cykelnätverk är faktorer som kan öka trygghet och jämställdhet.</w:t>
      </w:r>
    </w:p>
    <w:p>
      <w:pPr>
        <w:rPr>
          <w:color w:val="000000" w:themeColor="text1"/>
          <w:szCs w:val="22"/>
        </w:rPr>
      </w:pPr>
    </w:p>
    <w:p>
      <w:pPr>
        <w:rPr>
          <w:b w:val="1"/>
          <w:color w:val="FF0000"/>
        </w:rPr>
      </w:pPr>
      <w:bookmarkStart w:id="303" w:name="_Toc530399301"/>
      <w:bookmarkStart w:id="304" w:name="_Toc530403031"/>
      <w:r>
        <w:rPr>
          <w:rStyle w:val="C14"/>
        </w:rPr>
        <w:t>Tillgänglighet</w:t>
      </w:r>
      <w:bookmarkEnd w:id="303"/>
      <w:bookmarkEnd w:id="304"/>
      <w:r>
        <w:t xml:space="preserve"> </w:t>
      </w:r>
    </w:p>
    <w:p>
      <w:r>
        <w:t>Kraven på tillgänglighet för personer med funktionsnedsättning ska tillgodoses enligt Plan och bygglagen. Sedan 1 januari 2015 är bristande tillgänglighet en diskrimineringsgrund enligt diskrimineringslagen. Om utemiljön inte uppfyller kraven på tomters tillgänglighet i plan- och bygglagstiftningen är det diskriminering mot personer med funktionsnedsättning. Vid nyanläggning av allmänna platser gäller Boverkets föreskrifter och allmänna råd om tillgänglighet och användbarhet för personer med nedsatt rörelse- eller orienteringsförmåga på allmänna platser och inom områden för andra anläggningar än byggnader, ALM. I ALM ställs krav på tillgänglighet och användbarhet på allmänna platser och områden för andra anläggningar (ALM- BFS 2011:5). Hur kraven på tillgänglighet i detalj kommer att tillgodoses avgörs i samband med byggnads- och markprojektering och därmed i kommande bygglovsprövning.</w:t>
      </w:r>
    </w:p>
    <w:p/>
    <w:p>
      <w:pPr>
        <w:rPr>
          <w:rFonts w:eastAsiaTheme="minorHAnsi"/>
          <w:bCs w:val="1"/>
        </w:rPr>
      </w:pPr>
      <w:r>
        <w:rPr>
          <w:rFonts w:eastAsiaTheme="minorHAnsi"/>
        </w:rPr>
        <w:t>Västerviks kommuns policy för funktionshinderfrågor ligger till grund för detaljplanen. Planen förutsätter att dess innehåll, såväl samtliga bebyggda ytor som utomhusmiljöer, anpassas för att uppfylla gällande lagar och regler rörande tillgänglighet, och att eventuella åtgärder för att uppfylla tillgänglighetskraven i första hand sker på den egna fastigheten.</w:t>
      </w:r>
    </w:p>
    <w:p/>
    <w:p>
      <w:r>
        <w:t xml:space="preserve">Framkomligheten för räddningstjänstens fordon genom räddningsväg måste säkerställas i projekterings- och bygglovsskede. </w:t>
      </w:r>
    </w:p>
    <w:p>
      <w:pPr>
        <w:pStyle w:val="P1"/>
      </w:pPr>
      <w:bookmarkEnd w:id="302"/>
      <w:bookmarkStart w:id="305" w:name="_Toc531084897"/>
      <w:bookmarkStart w:id="306" w:name="_Toc151732655"/>
      <w:bookmarkStart w:id="307" w:name="_Toc531084984"/>
      <w:bookmarkStart w:id="308" w:name="_Toc531085049"/>
      <w:r>
        <w:t>GENOMFÖRANDEBESKRIVNING</w:t>
      </w:r>
      <w:bookmarkEnd w:id="305"/>
      <w:bookmarkEnd w:id="306"/>
      <w:bookmarkEnd w:id="307"/>
      <w:bookmarkEnd w:id="308"/>
    </w:p>
    <w:p>
      <w:r>
        <w:t xml:space="preserve">Plangenomförandet ska beskriva de organisatoriska, tekniska, ekonomiska och fastighetsrättsliga åtgärder som erfordras för ett samordnat och ändamålsenligt genomförande av detaljplanen. Det ska också framgå vilka konsekvenser dessa åtgärder får för fastighetsägarna och andra berörda. </w:t>
      </w:r>
    </w:p>
    <w:p>
      <w:r>
        <w:t xml:space="preserve">Genomförandebeskrivningen har ingen egen självständig rättsverkan. Den förtydligar detaljplanens syfte och blir därigenom vägledande vid genomförandet av detaljplanen. </w:t>
      </w:r>
    </w:p>
    <w:p>
      <w:pPr>
        <w:pStyle w:val="P1"/>
        <w:rPr>
          <w:rStyle w:val="C10"/>
          <w:b w:val="0"/>
          <w:bCs w:val="0"/>
        </w:rPr>
      </w:pPr>
      <w:bookmarkStart w:id="309" w:name="_Toc530399330"/>
      <w:bookmarkStart w:id="310" w:name="_Toc531084946"/>
      <w:bookmarkStart w:id="311" w:name="_Toc531084898"/>
      <w:bookmarkStart w:id="312" w:name="_Toc530403060"/>
      <w:bookmarkStart w:id="313" w:name="_Toc531085050"/>
      <w:bookmarkStart w:id="314" w:name="_Toc531084985"/>
      <w:bookmarkStart w:id="315" w:name="_Toc151732656"/>
      <w:r>
        <w:t>ORGANISATORISKA FRÅGOR</w:t>
      </w:r>
      <w:bookmarkEnd w:id="309"/>
      <w:bookmarkEnd w:id="310"/>
      <w:bookmarkEnd w:id="311"/>
      <w:bookmarkEnd w:id="312"/>
      <w:bookmarkEnd w:id="313"/>
      <w:bookmarkEnd w:id="314"/>
      <w:bookmarkEnd w:id="315"/>
    </w:p>
    <w:p>
      <w:pPr>
        <w:pStyle w:val="P2"/>
      </w:pPr>
      <w:bookmarkStart w:id="316" w:name="_Toc530399331"/>
      <w:bookmarkStart w:id="317" w:name="_Toc531084899"/>
      <w:bookmarkStart w:id="318" w:name="_Toc530403061"/>
      <w:bookmarkStart w:id="319" w:name="_Toc151732657"/>
      <w:bookmarkStart w:id="320" w:name="_Toc531085051"/>
      <w:bookmarkStart w:id="321" w:name="be_ärendeinformation02"/>
      <w:r>
        <w:rPr>
          <w:rStyle w:val="C10"/>
          <w:b w:val="0"/>
          <w:bCs w:val="0"/>
        </w:rPr>
        <w:t>Planförfarande</w:t>
      </w:r>
      <w:bookmarkEnd w:id="316"/>
      <w:bookmarkEnd w:id="317"/>
      <w:bookmarkEnd w:id="318"/>
      <w:bookmarkEnd w:id="319"/>
      <w:bookmarkEnd w:id="320"/>
      <w:r>
        <w:tab/>
      </w:r>
    </w:p>
    <w:p>
      <w:r>
        <w:t xml:space="preserve">Planprocessen handläggs med ett standardförfarande enligt kap. 5 Plan- och Bygglagen (2010:900). </w:t>
      </w:r>
    </w:p>
    <w:p>
      <w:pPr>
        <w:rPr>
          <w:color w:val="FF0000"/>
        </w:rPr>
      </w:pPr>
      <w:bookmarkEnd w:id="321"/>
    </w:p>
    <w:p>
      <w:pPr>
        <w:pStyle w:val="P2"/>
      </w:pPr>
      <w:bookmarkStart w:id="322" w:name="_Toc530399332"/>
      <w:bookmarkStart w:id="323" w:name="_Toc531084900"/>
      <w:bookmarkStart w:id="324" w:name="_Toc530403062"/>
      <w:bookmarkStart w:id="325" w:name="_Toc151732658"/>
      <w:bookmarkStart w:id="326" w:name="_Toc531085052"/>
      <w:bookmarkStart w:id="327" w:name="gf_tidplan01"/>
      <w:r>
        <w:t>Tidplan</w:t>
      </w:r>
      <w:bookmarkEnd w:id="322"/>
      <w:bookmarkEnd w:id="323"/>
      <w:bookmarkEnd w:id="324"/>
      <w:bookmarkEnd w:id="325"/>
      <w:bookmarkEnd w:id="326"/>
    </w:p>
    <w:p>
      <w:pPr>
        <w:rPr>
          <w:rStyle w:val="C10"/>
          <w:b w:val="0"/>
        </w:rPr>
      </w:pPr>
      <w:r>
        <w:rPr>
          <w:rStyle w:val="C10"/>
        </w:rPr>
        <w:t xml:space="preserve">Planarbetet bedrivs enligt följande översiktliga tidplan: </w:t>
      </w:r>
    </w:p>
    <w:p>
      <w:pPr>
        <w:ind w:left="0"/>
        <w:rPr>
          <w:color w:val="FF0000"/>
          <w:szCs w:val="22"/>
        </w:rPr>
      </w:pPr>
    </w:p>
    <w:p>
      <w:pPr>
        <w:rPr>
          <w:szCs w:val="22"/>
        </w:rPr>
      </w:pPr>
      <w:r>
        <w:rPr>
          <w:szCs w:val="22"/>
        </w:rPr>
        <w:t xml:space="preserve">Planuppdrag </w:t>
        <w:tab/>
        <w:tab/>
        <w:tab/>
        <w:t>2022-02-01</w:t>
      </w:r>
    </w:p>
    <w:p>
      <w:pPr>
        <w:rPr>
          <w:color w:val="FF0000"/>
          <w:szCs w:val="22"/>
        </w:rPr>
      </w:pPr>
      <w:r>
        <w:rPr>
          <w:color w:val="000000" w:themeColor="text1"/>
          <w:szCs w:val="22"/>
        </w:rPr>
        <w:t xml:space="preserve">Samråd </w:t>
        <w:tab/>
      </w:r>
      <w:r>
        <w:rPr>
          <w:color w:val="FF0000"/>
          <w:szCs w:val="22"/>
        </w:rPr>
        <w:tab/>
        <w:tab/>
        <w:tab/>
      </w:r>
      <w:r>
        <w:rPr>
          <w:szCs w:val="22"/>
        </w:rPr>
        <w:t>2023-03-23 -</w:t>
      </w:r>
      <w:r>
        <w:rPr>
          <w:szCs w:val="22"/>
        </w:rPr>
        <w:softHyphen/>
      </w:r>
      <w:r>
        <w:rPr>
          <w:szCs w:val="22"/>
        </w:rPr>
        <w:t xml:space="preserve"> 2023-04-06</w:t>
      </w:r>
    </w:p>
    <w:p>
      <w:pPr>
        <w:rPr>
          <w:szCs w:val="22"/>
        </w:rPr>
      </w:pPr>
      <w:r>
        <w:rPr>
          <w:color w:val="000000" w:themeColor="text1"/>
          <w:szCs w:val="22"/>
        </w:rPr>
        <w:t>Granskning</w:t>
      </w:r>
      <w:r>
        <w:rPr>
          <w:color w:val="FF0000"/>
          <w:szCs w:val="22"/>
        </w:rPr>
        <w:t xml:space="preserve"> </w:t>
        <w:tab/>
        <w:tab/>
        <w:tab/>
        <w:tab/>
      </w:r>
      <w:r>
        <w:rPr>
          <w:szCs w:val="22"/>
        </w:rPr>
        <w:t>2023-08-07- 2023-08-28</w:t>
      </w:r>
    </w:p>
    <w:p>
      <w:pPr>
        <w:rPr>
          <w:szCs w:val="22"/>
        </w:rPr>
      </w:pPr>
      <w:r>
        <w:rPr>
          <w:szCs w:val="22"/>
        </w:rPr>
        <w:t xml:space="preserve">Antagande </w:t>
        <w:tab/>
        <w:tab/>
        <w:tab/>
        <w:tab/>
        <w:t>december 2023</w:t>
      </w:r>
    </w:p>
    <w:p>
      <w:pPr>
        <w:rPr>
          <w:rStyle w:val="C10"/>
        </w:rPr>
      </w:pPr>
      <w:r>
        <w:rPr>
          <w:szCs w:val="22"/>
        </w:rPr>
        <w:t xml:space="preserve">Laga kraft </w:t>
        <w:tab/>
        <w:tab/>
        <w:tab/>
        <w:tab/>
        <w:t>januari 2024</w:t>
      </w:r>
    </w:p>
    <w:p>
      <w:pPr>
        <w:rPr>
          <w:rStyle w:val="C10"/>
          <w:color w:val="FF0000"/>
        </w:rPr>
      </w:pPr>
      <w:bookmarkEnd w:id="327"/>
    </w:p>
    <w:p>
      <w:pPr>
        <w:pStyle w:val="P2"/>
        <w:rPr>
          <w:rStyle w:val="C10"/>
          <w:b w:val="0"/>
          <w:bCs w:val="0"/>
        </w:rPr>
      </w:pPr>
      <w:bookmarkStart w:id="328" w:name="_Toc530399333"/>
      <w:bookmarkStart w:id="329" w:name="_Toc531084901"/>
      <w:bookmarkStart w:id="330" w:name="_Toc530403063"/>
      <w:bookmarkStart w:id="331" w:name="_Toc151732659"/>
      <w:bookmarkStart w:id="332" w:name="_Toc531085053"/>
      <w:bookmarkStart w:id="333" w:name="be_genomförandetid02"/>
      <w:r>
        <w:rPr>
          <w:rStyle w:val="C10"/>
          <w:b w:val="0"/>
          <w:bCs w:val="0"/>
        </w:rPr>
        <w:t>Genomförandetid</w:t>
      </w:r>
      <w:bookmarkEnd w:id="328"/>
      <w:bookmarkEnd w:id="329"/>
      <w:bookmarkEnd w:id="330"/>
      <w:bookmarkEnd w:id="331"/>
      <w:bookmarkEnd w:id="332"/>
      <w:r>
        <w:rPr>
          <w:rStyle w:val="C10"/>
          <w:b w:val="0"/>
          <w:bCs w:val="0"/>
        </w:rPr>
        <w:tab/>
      </w:r>
    </w:p>
    <w:p>
      <w:r>
        <w:t>Genomförandetiden</w:t>
      </w:r>
      <w:r>
        <w:rPr>
          <w:spacing w:val="-3"/>
        </w:rPr>
        <w:t xml:space="preserve"> </w:t>
      </w:r>
      <w:r>
        <w:rPr>
          <w:spacing w:val="-1"/>
        </w:rPr>
        <w:t>är</w:t>
      </w:r>
      <w:r>
        <w:rPr>
          <w:spacing w:val="-4"/>
        </w:rPr>
        <w:t xml:space="preserve"> </w:t>
      </w:r>
      <w:r>
        <w:t>60 mån</w:t>
      </w:r>
      <w:r>
        <w:rPr>
          <w:spacing w:val="-4"/>
        </w:rPr>
        <w:t xml:space="preserve"> </w:t>
      </w:r>
      <w:r>
        <w:t>från</w:t>
      </w:r>
      <w:r>
        <w:rPr>
          <w:spacing w:val="-4"/>
        </w:rPr>
        <w:t xml:space="preserve"> </w:t>
      </w:r>
      <w:r>
        <w:t>den</w:t>
      </w:r>
      <w:r>
        <w:rPr>
          <w:spacing w:val="-3"/>
        </w:rPr>
        <w:t xml:space="preserve"> </w:t>
      </w:r>
      <w:r>
        <w:t>dag</w:t>
      </w:r>
      <w:r>
        <w:rPr>
          <w:spacing w:val="-3"/>
        </w:rPr>
        <w:t xml:space="preserve"> detalj</w:t>
      </w:r>
      <w:r>
        <w:rPr>
          <w:spacing w:val="-1"/>
        </w:rPr>
        <w:t>planen</w:t>
      </w:r>
      <w:r>
        <w:rPr>
          <w:spacing w:val="-3"/>
        </w:rPr>
        <w:t xml:space="preserve"> </w:t>
      </w:r>
      <w:r>
        <w:t>vinner</w:t>
      </w:r>
      <w:r>
        <w:rPr>
          <w:spacing w:val="-4"/>
        </w:rPr>
        <w:t xml:space="preserve"> </w:t>
      </w:r>
      <w:r>
        <w:t>laga</w:t>
      </w:r>
      <w:r>
        <w:rPr>
          <w:spacing w:val="-4"/>
        </w:rPr>
        <w:t xml:space="preserve"> </w:t>
      </w:r>
      <w:r>
        <w:t>kraft. Under genomförandetiden har fastighetsägare en garanterad rätt att efter ansökan om bygglov få bygga i enlighet med planen.</w:t>
      </w:r>
      <w:bookmarkEnd w:id="333"/>
      <w:r>
        <w:t xml:space="preserve"> </w:t>
      </w:r>
    </w:p>
    <w:p>
      <w:pPr>
        <w:rPr>
          <w:color w:val="FF0000"/>
        </w:rPr>
      </w:pPr>
    </w:p>
    <w:p>
      <w:pPr>
        <w:pStyle w:val="P2"/>
        <w:rPr>
          <w:rStyle w:val="C10"/>
          <w:b w:val="0"/>
          <w:bCs w:val="0"/>
        </w:rPr>
      </w:pPr>
      <w:bookmarkStart w:id="334" w:name="_Toc530399334"/>
      <w:bookmarkStart w:id="335" w:name="_Toc531084902"/>
      <w:bookmarkStart w:id="336" w:name="_Toc530403064"/>
      <w:bookmarkStart w:id="337" w:name="_Toc151732660"/>
      <w:bookmarkStart w:id="338" w:name="_Toc531085054"/>
      <w:bookmarkStart w:id="339" w:name="be_huvudmannaskap01"/>
      <w:r>
        <w:rPr>
          <w:rStyle w:val="C10"/>
          <w:b w:val="0"/>
          <w:bCs w:val="0"/>
        </w:rPr>
        <w:t>Ansvarsfördelning, huvudmannaskap</w:t>
      </w:r>
      <w:bookmarkEnd w:id="334"/>
      <w:bookmarkEnd w:id="335"/>
      <w:bookmarkEnd w:id="336"/>
      <w:bookmarkEnd w:id="337"/>
      <w:bookmarkEnd w:id="338"/>
    </w:p>
    <w:p>
      <w:r>
        <w:t>Inom planområdet är huvudmannaskapet kommunalt för allmän platsmark som är gata och natur.</w:t>
      </w:r>
    </w:p>
    <w:p>
      <w:pPr>
        <w:rPr>
          <w:color w:val="FF0000"/>
        </w:rPr>
      </w:pPr>
      <w:bookmarkEnd w:id="339"/>
    </w:p>
    <w:p>
      <w:pPr>
        <w:pStyle w:val="P2"/>
      </w:pPr>
      <w:bookmarkStart w:id="340" w:name="_Toc530399335"/>
      <w:bookmarkStart w:id="341" w:name="_Toc530403065"/>
      <w:bookmarkStart w:id="342" w:name="_Toc531085055"/>
      <w:bookmarkStart w:id="343" w:name="_Toc151732661"/>
      <w:bookmarkStart w:id="344" w:name="_Toc531084903"/>
      <w:bookmarkStart w:id="345" w:name="gf_rätttillinlösenhuvudman01"/>
      <w:r>
        <w:rPr>
          <w:rStyle w:val="C10"/>
          <w:b w:val="0"/>
          <w:bCs w:val="0"/>
        </w:rPr>
        <w:t>Avtal m.m.</w:t>
      </w:r>
      <w:bookmarkEnd w:id="340"/>
      <w:bookmarkEnd w:id="341"/>
      <w:bookmarkEnd w:id="342"/>
      <w:bookmarkEnd w:id="343"/>
      <w:bookmarkEnd w:id="344"/>
    </w:p>
    <w:p>
      <w:r>
        <w:t>Kommunen som är huvudman strävar efter samförståndslösning vad gäller marköverföring. I det fallet kan förutsättningarna för eventuell ny anslutning mellan kvartersmark och lokalgata överenskommas mellan kommunen och berörd fastighetsägare. Det går även hantera övriga frågor som blir aktuella på ett effektivt sätt.</w:t>
      </w:r>
    </w:p>
    <w:p>
      <w:r>
        <w:t xml:space="preserve">   </w:t>
      </w:r>
    </w:p>
    <w:p>
      <w:r>
        <w:t xml:space="preserve">Planen kan även genomföras utan överenskommelse med berörda fastighetsägare, men det kräver då att kommunen som är huvudman löser in de delar som berörs. Detta sker då i enlighet med reglerna i fastighetsbildningslagen 5 kap 8a§ (SFS 1970:988) samt Plan och bygglagen 6kap 13§ (SFS 2010:900), samt med de tillhörande ersättningsreglerna som återfinns i expropriationslagens 4 kap (SFS 1972:719).  </w:t>
      </w:r>
    </w:p>
    <w:p>
      <w:pPr>
        <w:rPr>
          <w:color w:val="FF0000"/>
        </w:rPr>
      </w:pPr>
    </w:p>
    <w:p>
      <w:r>
        <w:t>Möjlighet att flytta eventuella ledningar samt anläggningar (t ex elskåp, belysningsstolpar) inom eller i direkt anslutning till planområdet kräver kontakt med ledningens eller anordningens ägare. Västerviks kommun har inom egen fastighet markavtal med ledningsägaren som hanterar fördelning av kostnad vid eventuell flytt. Kontakt med ledningars huvudman skall ske i samband med genomförandet av planen. Beställaren bekostar samtliga utredningar som erfordras för planens framtagande.</w:t>
      </w:r>
    </w:p>
    <w:p>
      <w:pPr>
        <w:ind w:left="0"/>
        <w:rPr>
          <w:rStyle w:val="C10"/>
          <w:color w:val="FF0000"/>
        </w:rPr>
      </w:pPr>
      <w:bookmarkEnd w:id="345"/>
    </w:p>
    <w:p>
      <w:pPr>
        <w:pStyle w:val="P2"/>
      </w:pPr>
      <w:bookmarkStart w:id="346" w:name="_Toc530399336"/>
      <w:bookmarkStart w:id="347" w:name="_Toc530403066"/>
      <w:bookmarkStart w:id="348" w:name="_Toc531084904"/>
      <w:bookmarkStart w:id="349" w:name="_Toc531085056"/>
      <w:bookmarkStart w:id="350" w:name="_Toc151732662"/>
      <w:bookmarkStart w:id="351" w:name="gf_annat03"/>
      <w:r>
        <w:t>Gatunamn</w:t>
      </w:r>
      <w:bookmarkEnd w:id="346"/>
      <w:bookmarkEnd w:id="347"/>
      <w:bookmarkEnd w:id="348"/>
      <w:bookmarkEnd w:id="349"/>
      <w:bookmarkEnd w:id="350"/>
      <w:r>
        <w:t xml:space="preserve"> </w:t>
      </w:r>
    </w:p>
    <w:p>
      <w:pPr>
        <w:pStyle w:val="P11"/>
      </w:pPr>
      <w:r>
        <w:t>Planen påverkar inte befintliga gatunamn.</w:t>
      </w:r>
    </w:p>
    <w:p>
      <w:pPr>
        <w:pStyle w:val="P11"/>
        <w:ind w:left="0"/>
        <w:rPr>
          <w:rFonts w:ascii="Garamond" w:hAnsi="Garamond"/>
        </w:rPr>
      </w:pPr>
    </w:p>
    <w:p>
      <w:pPr>
        <w:pStyle w:val="P2"/>
      </w:pPr>
      <w:bookmarkStart w:id="352" w:name="_Toc530399337"/>
      <w:bookmarkStart w:id="353" w:name="_Toc530403067"/>
      <w:bookmarkStart w:id="354" w:name="_Toc531084905"/>
      <w:bookmarkStart w:id="355" w:name="_Toc531085057"/>
      <w:bookmarkStart w:id="356" w:name="_Toc151732663"/>
      <w:r>
        <w:t>Kvartersnamn</w:t>
      </w:r>
      <w:bookmarkEnd w:id="352"/>
      <w:bookmarkEnd w:id="353"/>
      <w:bookmarkEnd w:id="354"/>
      <w:bookmarkEnd w:id="355"/>
      <w:bookmarkEnd w:id="356"/>
    </w:p>
    <w:p>
      <w:pPr>
        <w:rPr>
          <w:color w:val="FF0000"/>
        </w:rPr>
      </w:pPr>
      <w:r>
        <w:t>Planen påverkar inte befintliga kvartersnamn.</w:t>
      </w:r>
    </w:p>
    <w:p>
      <w:pPr>
        <w:rPr>
          <w:color w:val="FF0000"/>
        </w:rPr>
      </w:pPr>
      <w:bookmarkEnd w:id="351"/>
    </w:p>
    <w:p>
      <w:pPr>
        <w:pStyle w:val="P2"/>
      </w:pPr>
      <w:bookmarkStart w:id="357" w:name="_Toc531084906"/>
      <w:bookmarkStart w:id="358" w:name="_Toc531085058"/>
      <w:bookmarkStart w:id="359" w:name="_Toc151732664"/>
      <w:bookmarkStart w:id="360" w:name="ko_fastigheterochrättigheter02"/>
      <w:r>
        <w:t>Markreservat</w:t>
      </w:r>
      <w:bookmarkEnd w:id="357"/>
      <w:bookmarkEnd w:id="358"/>
      <w:bookmarkEnd w:id="359"/>
    </w:p>
    <w:p>
      <w:pPr>
        <w:rPr>
          <w:color w:val="000000" w:themeColor="text1"/>
        </w:rPr>
      </w:pPr>
      <w:r>
        <w:rPr>
          <w:color w:val="000000" w:themeColor="text1"/>
        </w:rPr>
        <w:t>Ett befintligt u-område på fastigheten Västerås 7 berörs av planen. De delar av området som kommer att hamna inom allmän platsmark utgår som u-område. Delen på kvartersmark kvarstår som u-område.</w:t>
      </w:r>
    </w:p>
    <w:p>
      <w:pPr>
        <w:rPr>
          <w:color w:val="FF0000"/>
        </w:rPr>
      </w:pPr>
      <w:bookmarkEnd w:id="360"/>
    </w:p>
    <w:p>
      <w:pPr>
        <w:pStyle w:val="P2"/>
      </w:pPr>
      <w:bookmarkStart w:id="361" w:name="_Toc531084907"/>
      <w:bookmarkStart w:id="362" w:name="_Toc531085059"/>
      <w:bookmarkStart w:id="363" w:name="_Toc151732665"/>
      <w:bookmarkStart w:id="364" w:name="pf_strandskydd02"/>
      <w:r>
        <w:t>Strandskydd</w:t>
      </w:r>
      <w:bookmarkEnd w:id="361"/>
      <w:bookmarkEnd w:id="362"/>
      <w:bookmarkEnd w:id="363"/>
    </w:p>
    <w:p>
      <w:pPr>
        <w:pStyle w:val="P11"/>
      </w:pPr>
      <w:r>
        <w:t>Planen berör inte strandskyddad mark.</w:t>
      </w:r>
    </w:p>
    <w:p>
      <w:pPr>
        <w:pStyle w:val="P11"/>
      </w:pPr>
      <w:bookmarkEnd w:id="364"/>
    </w:p>
    <w:p>
      <w:pPr>
        <w:pStyle w:val="P2"/>
        <w:rPr>
          <w:b w:val="1"/>
          <w:bCs w:val="1"/>
        </w:rPr>
      </w:pPr>
      <w:bookmarkStart w:id="365" w:name="_Toc151732666"/>
      <w:bookmarkStart w:id="366" w:name="ko_annat02"/>
      <w:r>
        <w:rPr>
          <w:rStyle w:val="C10"/>
          <w:b w:val="0"/>
          <w:bCs w:val="0"/>
        </w:rPr>
        <w:t>Upphävande av planer</w:t>
      </w:r>
      <w:bookmarkEnd w:id="365"/>
      <w:r>
        <w:rPr>
          <w:b w:val="1"/>
          <w:bCs w:val="1"/>
        </w:rPr>
        <w:tab/>
      </w:r>
    </w:p>
    <w:p>
      <w:pPr>
        <w:rPr>
          <w:szCs w:val="22"/>
        </w:rPr>
      </w:pPr>
      <w:r>
        <w:rPr>
          <w:szCs w:val="22"/>
        </w:rPr>
        <w:t>C 325 – Detaljplan för Didrikslund, del av Västervik 3:1, kraft 2013- 04- 24, genomförandetid 10 år. Delar av plan C 325 upphävs och ersätts med denna nya detaljplan.</w:t>
      </w:r>
    </w:p>
    <w:p>
      <w:pPr>
        <w:rPr>
          <w:szCs w:val="22"/>
        </w:rPr>
      </w:pPr>
    </w:p>
    <w:p>
      <w:pPr>
        <w:rPr>
          <w:szCs w:val="22"/>
        </w:rPr>
      </w:pPr>
      <w:r>
        <w:rPr>
          <w:szCs w:val="22"/>
        </w:rPr>
        <w:t>C 289 – Ändring av detaljplan för Kv Rullstenen 1, laga kraft 2002-10-11, genomförandetid 5 år. Hela C 289 upphävs till följd av denna nya detaljplan och ersätts med denna nya detaljplan.</w:t>
      </w:r>
    </w:p>
    <w:p>
      <w:pPr>
        <w:rPr>
          <w:szCs w:val="22"/>
        </w:rPr>
      </w:pPr>
    </w:p>
    <w:p>
      <w:pPr>
        <w:rPr>
          <w:szCs w:val="22"/>
        </w:rPr>
      </w:pPr>
      <w:r>
        <w:rPr>
          <w:szCs w:val="22"/>
        </w:rPr>
        <w:t>C203 – Detaljplan för del av Kvännarenområdet, laga kraft 1987-05-06. Genomförandetiden har gått ut. Delar av plan C 203 upphävs och ersätts med denna nya detaljplan.</w:t>
      </w:r>
    </w:p>
    <w:p>
      <w:pPr>
        <w:pStyle w:val="P1"/>
      </w:pPr>
      <w:bookmarkEnd w:id="366"/>
      <w:bookmarkStart w:id="367" w:name="_Toc530399338"/>
      <w:bookmarkStart w:id="368" w:name="_Toc531084908"/>
      <w:bookmarkStart w:id="369" w:name="_Toc531084986"/>
      <w:bookmarkStart w:id="370" w:name="_Toc151732667"/>
      <w:bookmarkStart w:id="371" w:name="_Toc530403068"/>
      <w:bookmarkStart w:id="372" w:name="_Toc531084947"/>
      <w:bookmarkStart w:id="373" w:name="_Toc531085060"/>
      <w:bookmarkStart w:id="374" w:name="gf_förändradfastighetsindelning01"/>
      <w:r>
        <w:t>FASTIGHETSRÄTTSLIGA FRÅGOR</w:t>
      </w:r>
      <w:bookmarkEnd w:id="367"/>
      <w:bookmarkEnd w:id="368"/>
      <w:bookmarkEnd w:id="369"/>
      <w:bookmarkEnd w:id="370"/>
      <w:bookmarkEnd w:id="371"/>
      <w:bookmarkEnd w:id="372"/>
      <w:bookmarkEnd w:id="373"/>
    </w:p>
    <w:p>
      <w:bookmarkStart w:id="375" w:name="_Toc531084909"/>
      <w:bookmarkStart w:id="376" w:name="_Toc531085061"/>
      <w:bookmarkStart w:id="377" w:name="_Toc530399339"/>
      <w:bookmarkStart w:id="378" w:name="_Toc530403069"/>
      <w:r>
        <w:t xml:space="preserve">Planförslaget innebär att område som tidigare var planlagt som kvartersmark, i stället blir planlagt som Allmän platsmark, med användningen gata och natur.  </w:t>
      </w:r>
    </w:p>
    <w:p>
      <w:pPr>
        <w:pStyle w:val="P2"/>
        <w:rPr>
          <w:rStyle w:val="C10"/>
          <w:b w:val="0"/>
        </w:rPr>
      </w:pPr>
      <w:r>
        <w:rPr>
          <w:rStyle w:val="C10"/>
          <w:b w:val="0"/>
          <w:bCs w:val="0"/>
        </w:rPr>
        <w:br w:type="textWrapping"/>
      </w:r>
      <w:bookmarkStart w:id="379" w:name="_Toc151732668"/>
      <w:r>
        <w:rPr>
          <w:rStyle w:val="C10"/>
          <w:b w:val="0"/>
          <w:bCs w:val="0"/>
        </w:rPr>
        <w:t>Fastighetsbildning</w:t>
      </w:r>
      <w:bookmarkEnd w:id="375"/>
      <w:bookmarkEnd w:id="376"/>
      <w:bookmarkEnd w:id="379"/>
      <w:r>
        <w:rPr>
          <w:rStyle w:val="C10"/>
        </w:rPr>
        <w:t xml:space="preserve"> </w:t>
      </w:r>
    </w:p>
    <w:p>
      <w:r>
        <w:t>För att genomföra förändringar i fastighetsindelningen krävs en ansökan om lantmäteriförrättning. Lantmäterimyndigheten prövar därefter ansökan med regelverket som finns i fastighetsbildningslagen.</w:t>
      </w:r>
    </w:p>
    <w:p/>
    <w:p>
      <w:r>
        <w:t xml:space="preserve">Som nämns ovan, strävar kommunen som huvudman efter samförståndslösning. Om detta inte är möjligt att nå, kan kommunen lösa in de områden som efter planens antagande utgör allmänplatsmark, utan överenskommelse.  </w:t>
      </w:r>
    </w:p>
    <w:p/>
    <w:p>
      <w:r>
        <w:t>Detta sker efter en ansökan till Lantmäteriet som då hanterar detta i enlighet med gällande regelverk, där man även tar ställning till ersättningsfrågan.</w:t>
      </w:r>
    </w:p>
    <w:p>
      <w:pPr>
        <w:suppressAutoHyphens w:val="0"/>
        <w:ind w:left="0" w:right="0"/>
      </w:pPr>
      <w:r>
        <w:br w:type="page"/>
      </w:r>
    </w:p>
    <w:p>
      <w:pPr>
        <w:pStyle w:val="P11"/>
      </w:pPr>
      <w:r>
        <w:t>Konsekvenser</w:t>
      </w:r>
    </w:p>
    <w:tbl>
      <w:tblPr>
        <w:tblStyle w:val="T4"/>
        <w:tblW w:w="0" w:type="auto"/>
        <w:tblInd w:w="1809" w:type="dxa"/>
        <w:tblLook w:val="04A0"/>
      </w:tblPr>
      <w:tblGrid/>
      <w:tr>
        <w:tc>
          <w:tcPr>
            <w:tcW w:w="2438" w:type="dxa"/>
            <w:tcBorders>
              <w:top w:val="single" w:sz="4" w:space="0" w:shadow="0" w:frame="0"/>
              <w:left w:val="single" w:sz="4" w:space="0" w:shadow="0" w:frame="0"/>
              <w:bottom w:val="single" w:sz="4" w:space="0" w:shadow="0" w:frame="0"/>
              <w:right w:val="single" w:sz="4" w:space="0" w:shadow="0" w:frame="0"/>
            </w:tcBorders>
            <w:hideMark/>
          </w:tcPr>
          <w:p>
            <w:pPr>
              <w:ind w:left="0"/>
              <w:rPr>
                <w:rStyle w:val="C10"/>
                <w:bCs w:val="0"/>
                <w:sz w:val="20"/>
              </w:rPr>
            </w:pPr>
            <w:r>
              <w:rPr>
                <w:rStyle w:val="C10"/>
                <w:sz w:val="20"/>
              </w:rPr>
              <w:t>Fastighet</w:t>
            </w:r>
          </w:p>
        </w:tc>
        <w:tc>
          <w:tcPr>
            <w:tcW w:w="5103" w:type="dxa"/>
            <w:tcBorders>
              <w:top w:val="single" w:sz="4" w:space="0" w:shadow="0" w:frame="0"/>
              <w:left w:val="single" w:sz="4" w:space="0" w:shadow="0" w:frame="0"/>
              <w:bottom w:val="single" w:sz="4" w:space="0" w:shadow="0" w:frame="0"/>
              <w:right w:val="single" w:sz="4" w:space="0" w:shadow="0" w:frame="0"/>
            </w:tcBorders>
            <w:hideMark/>
          </w:tcPr>
          <w:p>
            <w:pPr>
              <w:ind w:left="0"/>
              <w:rPr>
                <w:rStyle w:val="C10"/>
                <w:bCs w:val="0"/>
                <w:sz w:val="20"/>
              </w:rPr>
            </w:pPr>
            <w:r>
              <w:rPr>
                <w:rStyle w:val="C10"/>
                <w:sz w:val="20"/>
              </w:rPr>
              <w:t>Kommentar</w:t>
            </w:r>
          </w:p>
        </w:tc>
      </w:tr>
      <w:tr>
        <w:tc>
          <w:tcPr>
            <w:tcW w:w="2438" w:type="dxa"/>
            <w:tcBorders>
              <w:top w:val="single" w:sz="4" w:space="0" w:shadow="0" w:frame="0"/>
              <w:left w:val="single" w:sz="4" w:space="0" w:shadow="0" w:frame="0"/>
              <w:bottom w:val="single" w:sz="4" w:space="0" w:shadow="0" w:frame="0"/>
              <w:right w:val="single" w:sz="4" w:space="0" w:shadow="0" w:frame="0"/>
            </w:tcBorders>
            <w:hideMark/>
          </w:tcPr>
          <w:p>
            <w:pPr>
              <w:ind w:left="0"/>
              <w:rPr>
                <w:rStyle w:val="C10"/>
                <w:rFonts w:ascii="Times New Roman" w:hAnsi="Times New Roman"/>
                <w:b w:val="0"/>
                <w:sz w:val="20"/>
              </w:rPr>
            </w:pPr>
            <w:r>
              <w:rPr>
                <w:sz w:val="20"/>
              </w:rPr>
              <w:t>Västervik 3:1</w:t>
            </w:r>
          </w:p>
        </w:tc>
        <w:tc>
          <w:tcPr>
            <w:tcW w:w="5103" w:type="dxa"/>
            <w:tcBorders>
              <w:top w:val="single" w:sz="4" w:space="0" w:shadow="0" w:frame="0"/>
              <w:left w:val="single" w:sz="4" w:space="0" w:shadow="0" w:frame="0"/>
              <w:bottom w:val="single" w:sz="4" w:space="0" w:shadow="0" w:frame="0"/>
              <w:right w:val="single" w:sz="4" w:space="0" w:shadow="0" w:frame="0"/>
            </w:tcBorders>
            <w:hideMark/>
          </w:tcPr>
          <w:p>
            <w:pPr>
              <w:ind w:left="0" w:right="169"/>
              <w:rPr>
                <w:rStyle w:val="C10"/>
                <w:b w:val="0"/>
                <w:sz w:val="20"/>
              </w:rPr>
            </w:pPr>
            <w:r>
              <w:rPr>
                <w:sz w:val="20"/>
              </w:rPr>
              <w:t>Västervik 3:1 kan utökas genom överföring av mark från Rullstenen 7 (116 kvm), Västerås 7 (417 kvm) samt Kalkalgen 1 (36 kvm)</w:t>
            </w:r>
          </w:p>
        </w:tc>
      </w:tr>
      <w:tr>
        <w:tc>
          <w:tcPr>
            <w:tcW w:w="2438" w:type="dxa"/>
            <w:tcBorders>
              <w:top w:val="single" w:sz="4" w:space="0" w:shadow="0" w:frame="0"/>
              <w:left w:val="single" w:sz="4" w:space="0" w:shadow="0" w:frame="0"/>
              <w:bottom w:val="single" w:sz="4" w:space="0" w:shadow="0" w:frame="0"/>
              <w:right w:val="single" w:sz="4" w:space="0" w:shadow="0" w:frame="0"/>
            </w:tcBorders>
          </w:tcPr>
          <w:p>
            <w:pPr>
              <w:ind w:left="0"/>
              <w:rPr>
                <w:sz w:val="20"/>
              </w:rPr>
            </w:pPr>
            <w:r>
              <w:rPr>
                <w:sz w:val="20"/>
              </w:rPr>
              <w:t>Rullstenen 1</w:t>
            </w:r>
          </w:p>
        </w:tc>
        <w:tc>
          <w:tcPr>
            <w:tcW w:w="5103" w:type="dxa"/>
            <w:tcBorders>
              <w:top w:val="single" w:sz="4" w:space="0" w:shadow="0" w:frame="0"/>
              <w:left w:val="single" w:sz="4" w:space="0" w:shadow="0" w:frame="0"/>
              <w:bottom w:val="single" w:sz="4" w:space="0" w:shadow="0" w:frame="0"/>
              <w:right w:val="single" w:sz="4" w:space="0" w:shadow="0" w:frame="0"/>
            </w:tcBorders>
          </w:tcPr>
          <w:p>
            <w:pPr>
              <w:ind w:left="0" w:right="169"/>
              <w:rPr>
                <w:sz w:val="20"/>
              </w:rPr>
            </w:pPr>
            <w:r>
              <w:rPr>
                <w:sz w:val="20"/>
              </w:rPr>
              <w:t xml:space="preserve">Rullstenen 1 har förmån av servitut 0883-327.1 som behöver ändras för att överensstämma med planförslaget. </w:t>
            </w:r>
          </w:p>
        </w:tc>
      </w:tr>
      <w:tr>
        <w:tc>
          <w:tcPr>
            <w:tcW w:w="2438" w:type="dxa"/>
            <w:tcBorders>
              <w:top w:val="single" w:sz="4" w:space="0" w:shadow="0" w:frame="0"/>
              <w:left w:val="single" w:sz="4" w:space="0" w:shadow="0" w:frame="0"/>
              <w:bottom w:val="single" w:sz="4" w:space="0" w:shadow="0" w:frame="0"/>
              <w:right w:val="single" w:sz="4" w:space="0" w:shadow="0" w:frame="0"/>
            </w:tcBorders>
            <w:hideMark/>
          </w:tcPr>
          <w:p>
            <w:pPr>
              <w:ind w:left="0"/>
              <w:rPr>
                <w:rStyle w:val="C10"/>
                <w:b w:val="0"/>
                <w:sz w:val="20"/>
              </w:rPr>
            </w:pPr>
            <w:r>
              <w:rPr>
                <w:sz w:val="20"/>
              </w:rPr>
              <w:t>Rullstenen 7</w:t>
            </w:r>
          </w:p>
        </w:tc>
        <w:tc>
          <w:tcPr>
            <w:tcW w:w="5103" w:type="dxa"/>
            <w:tcBorders>
              <w:top w:val="single" w:sz="4" w:space="0" w:shadow="0" w:frame="0"/>
              <w:left w:val="single" w:sz="4" w:space="0" w:shadow="0" w:frame="0"/>
              <w:bottom w:val="single" w:sz="4" w:space="0" w:shadow="0" w:frame="0"/>
              <w:right w:val="single" w:sz="4" w:space="0" w:shadow="0" w:frame="0"/>
            </w:tcBorders>
            <w:hideMark/>
          </w:tcPr>
          <w:p>
            <w:pPr>
              <w:ind w:left="0"/>
            </w:pPr>
            <w:r>
              <w:rPr>
                <w:sz w:val="20"/>
              </w:rPr>
              <w:t xml:space="preserve">Del av Rullstenen 7 (116 kvm) överförs till Västervik 3:1 genom fastighetsreglering. </w:t>
            </w:r>
          </w:p>
          <w:p>
            <w:pPr>
              <w:ind w:left="0" w:right="169"/>
              <w:rPr>
                <w:rStyle w:val="C10"/>
                <w:b w:val="0"/>
                <w:bCs w:val="0"/>
              </w:rPr>
            </w:pPr>
            <w:r>
              <w:rPr>
                <w:rStyle w:val="C10"/>
                <w:b w:val="0"/>
                <w:bCs w:val="0"/>
                <w:sz w:val="20"/>
              </w:rPr>
              <w:t xml:space="preserve">Rullstenen 7s belastning av servitut 0883-327.1 minskas i samband med ändring av sträckning. </w:t>
            </w:r>
          </w:p>
          <w:p>
            <w:pPr>
              <w:ind w:left="0" w:right="169"/>
              <w:rPr>
                <w:rStyle w:val="C10"/>
                <w:b w:val="0"/>
                <w:sz w:val="20"/>
              </w:rPr>
            </w:pPr>
            <w:r>
              <w:rPr>
                <w:rStyle w:val="C10"/>
                <w:b w:val="0"/>
                <w:bCs w:val="0"/>
                <w:sz w:val="20"/>
              </w:rPr>
              <w:t>Rullstenen 7s utfart mot Vattentornsvägen upphör i och med utfartsförbud.</w:t>
            </w:r>
            <w:r>
              <w:rPr>
                <w:rStyle w:val="C10"/>
                <w:sz w:val="20"/>
              </w:rPr>
              <w:t xml:space="preserve"> </w:t>
            </w:r>
          </w:p>
        </w:tc>
      </w:tr>
      <w:tr>
        <w:tc>
          <w:tcPr>
            <w:tcW w:w="2438" w:type="dxa"/>
            <w:tcBorders>
              <w:top w:val="single" w:sz="4" w:space="0" w:shadow="0" w:frame="0"/>
              <w:left w:val="single" w:sz="4" w:space="0" w:shadow="0" w:frame="0"/>
              <w:bottom w:val="single" w:sz="4" w:space="0" w:shadow="0" w:frame="0"/>
              <w:right w:val="single" w:sz="4" w:space="0" w:shadow="0" w:frame="0"/>
            </w:tcBorders>
            <w:hideMark/>
          </w:tcPr>
          <w:p>
            <w:pPr>
              <w:ind w:left="0"/>
              <w:rPr>
                <w:rStyle w:val="C10"/>
                <w:rFonts w:ascii="Times New Roman" w:hAnsi="Times New Roman"/>
                <w:b w:val="0"/>
                <w:sz w:val="20"/>
              </w:rPr>
            </w:pPr>
            <w:r>
              <w:rPr>
                <w:sz w:val="20"/>
              </w:rPr>
              <w:t>Västerås 7</w:t>
            </w:r>
          </w:p>
        </w:tc>
        <w:tc>
          <w:tcPr>
            <w:tcW w:w="5103" w:type="dxa"/>
            <w:tcBorders>
              <w:top w:val="single" w:sz="4" w:space="0" w:shadow="0" w:frame="0"/>
              <w:left w:val="single" w:sz="4" w:space="0" w:shadow="0" w:frame="0"/>
              <w:bottom w:val="single" w:sz="4" w:space="0" w:shadow="0" w:frame="0"/>
              <w:right w:val="single" w:sz="4" w:space="0" w:shadow="0" w:frame="0"/>
            </w:tcBorders>
            <w:hideMark/>
          </w:tcPr>
          <w:p>
            <w:pPr>
              <w:ind w:left="0" w:right="169"/>
              <w:rPr>
                <w:rStyle w:val="C10"/>
                <w:b w:val="0"/>
                <w:sz w:val="20"/>
              </w:rPr>
            </w:pPr>
            <w:r>
              <w:rPr>
                <w:sz w:val="20"/>
              </w:rPr>
              <w:t>Del av Västerås 7 (417kvm) överförs till Västervik 3:1 genom fastighetsreglering.</w:t>
            </w:r>
          </w:p>
        </w:tc>
      </w:tr>
      <w:tr>
        <w:tc>
          <w:tcPr>
            <w:tcW w:w="2438" w:type="dxa"/>
            <w:tcBorders>
              <w:top w:val="single" w:sz="4" w:space="0" w:shadow="0" w:frame="0"/>
              <w:left w:val="single" w:sz="4" w:space="0" w:shadow="0" w:frame="0"/>
              <w:bottom w:val="single" w:sz="4" w:space="0" w:shadow="0" w:frame="0"/>
              <w:right w:val="single" w:sz="4" w:space="0" w:shadow="0" w:frame="0"/>
            </w:tcBorders>
            <w:hideMark/>
          </w:tcPr>
          <w:p>
            <w:pPr>
              <w:ind w:left="0"/>
              <w:rPr>
                <w:rStyle w:val="C10"/>
                <w:b w:val="0"/>
                <w:sz w:val="20"/>
              </w:rPr>
            </w:pPr>
            <w:r>
              <w:rPr>
                <w:sz w:val="20"/>
              </w:rPr>
              <w:t>Kalkalgen 1</w:t>
            </w:r>
          </w:p>
        </w:tc>
        <w:tc>
          <w:tcPr>
            <w:tcW w:w="5103" w:type="dxa"/>
            <w:tcBorders>
              <w:top w:val="single" w:sz="4" w:space="0" w:shadow="0" w:frame="0"/>
              <w:left w:val="single" w:sz="4" w:space="0" w:shadow="0" w:frame="0"/>
              <w:bottom w:val="single" w:sz="4" w:space="0" w:shadow="0" w:frame="0"/>
              <w:right w:val="single" w:sz="4" w:space="0" w:shadow="0" w:frame="0"/>
            </w:tcBorders>
            <w:hideMark/>
          </w:tcPr>
          <w:p>
            <w:pPr>
              <w:ind w:left="0" w:right="310"/>
              <w:rPr>
                <w:rStyle w:val="C10"/>
                <w:b w:val="0"/>
                <w:sz w:val="20"/>
              </w:rPr>
            </w:pPr>
            <w:r>
              <w:rPr>
                <w:sz w:val="20"/>
              </w:rPr>
              <w:t>Del av Kalkalgen 1 (36 kvm) överförs till Västervik 3:1 genom fastighetsreglering.</w:t>
            </w:r>
          </w:p>
        </w:tc>
      </w:tr>
    </w:tbl>
    <w:p>
      <w:pPr>
        <w:widowControl w:val="0"/>
        <w:suppressAutoHyphens w:val="0"/>
        <w:ind w:left="0" w:right="0"/>
        <w:rPr>
          <w:rFonts w:ascii="Arial" w:hAnsi="Arial" w:cs="Arial"/>
          <w:color w:val="000000"/>
          <w:sz w:val="21"/>
          <w:szCs w:val="21"/>
        </w:rPr>
      </w:pPr>
      <w:bookmarkEnd w:id="374"/>
    </w:p>
    <w:p>
      <w:pPr>
        <w:widowControl w:val="0"/>
        <w:suppressAutoHyphens w:val="0"/>
        <w:ind w:left="0" w:right="0"/>
        <w:rPr>
          <w:rFonts w:ascii="Arial" w:hAnsi="Arial" w:cs="Arial"/>
          <w:color w:val="000000"/>
          <w:sz w:val="21"/>
          <w:szCs w:val="21"/>
        </w:rPr>
      </w:pPr>
    </w:p>
    <w:p>
      <w:pPr>
        <w:widowControl w:val="0"/>
        <w:suppressAutoHyphens w:val="0"/>
        <w:ind w:right="0"/>
        <w:rPr>
          <w:rFonts w:ascii="Arial" w:hAnsi="Arial" w:cs="Arial"/>
          <w:color w:val="000000"/>
          <w:sz w:val="21"/>
          <w:szCs w:val="21"/>
        </w:rPr>
      </w:pPr>
      <w:r>
        <w:rPr>
          <w:noProof w:val="1"/>
        </w:rPr>
        <mc:AlternateContent>
          <mc:Choice Requires="wps">
            <w:drawing>
              <wp:anchor xmlns:wp="http://schemas.openxmlformats.org/drawingml/2006/wordprocessingDrawing" distT="0" distB="0" distL="114300" distR="114300" simplePos="0" relativeHeight="10" behindDoc="0" locked="0" layoutInCell="1" allowOverlap="1">
                <wp:simplePos x="0" y="0"/>
                <wp:positionH relativeFrom="column">
                  <wp:posOffset>1106805</wp:posOffset>
                </wp:positionH>
                <wp:positionV relativeFrom="paragraph">
                  <wp:posOffset>3296920</wp:posOffset>
                </wp:positionV>
                <wp:extent cx="3128010" cy="635"/>
                <wp:effectExtent l="0" t="0" r="0" b="0"/>
                <wp:wrapSquare wrapText="bothSides"/>
                <wp:docPr id="552263357" name="Textruta 552263357"/>
                <wp:cNvGraphicFramePr/>
                <a:graphic xmlns:a="http://schemas.openxmlformats.org/drawingml/2006/main">
                  <a:graphicData uri="http://schemas.microsoft.com/office/word/2010/wordprocessingShape">
                    <wps:wsp>
                      <wps:cNvSpPr txBox="1"/>
                      <wps:spPr>
                        <a:xfrm>
                          <a:off x="0" y="0"/>
                          <a:ext cx="3128010" cy="635"/>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42"/>
                              <w:rPr>
                                <w:rFonts w:cs="Arial" w:eastAsia="Times New Roman"/>
                                <w:noProof w:val="1"/>
                                <w:color w:val="000000"/>
                                <w:sz w:val="21"/>
                                <w:szCs w:val="21"/>
                              </w:rPr>
                            </w:pPr>
                            <w:r>
                              <w:t xml:space="preserve">Figur </w:t>
                            </w:r>
                            <w:r>
                              <w:fldChar w:fldCharType="begin"/>
                            </w:r>
                            <w:r>
                              <w:instrText xml:space="preserve"> SEQ Figur \* ARABIC </w:instrText>
                            </w:r>
                            <w:r>
                              <w:fldChar w:fldCharType="separate"/>
                            </w:r>
                            <w:r>
                              <w:rPr>
                                <w:noProof w:val="1"/>
                              </w:rPr>
                              <w:t>11</w:t>
                            </w:r>
                            <w:r>
                              <w:rPr>
                                <w:noProof w:val="1"/>
                              </w:rPr>
                              <w:fldChar w:fldCharType="end"/>
                            </w:r>
                            <w:r>
                              <w:t xml:space="preserve"> Delar som överförs till Västervik 3:1 från omgivande fastigheter är markerade med röd färg</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xmlns:o="urn:schemas-microsoft-com:office:office" type="#_x0000_t202" id="Textruta 552263357" o:spid="_x0000_s1031" style="position:absolute;width:246.3pt;height:0.05pt;z-index:10;mso-wrap-distance-left:9pt;mso-wrap-distance-top:0pt;mso-wrap-distance-right:9pt;mso-wrap-distance-bottom:0pt;margin-left:87.15pt;margin-top:259.6pt;mso-position-horizontal:absolute;mso-position-horizontal-relative:text;mso-position-vertical:absolute;mso-position-vertical-relative:text" o:allowincell="t" fillcolor="#FFFFFF" stroked="f">
                <v:textbox style="mso-fit-shape-to-text:t" inset="0mm,0mm,0mm,0mm">
                  <w:txbxContent>
                    <w:p>
                      <w:pPr>
                        <w:pStyle w:val="P42"/>
                        <w:rPr>
                          <w:rFonts w:cs="Arial" w:eastAsia="Times New Roman"/>
                          <w:noProof w:val="1"/>
                          <w:color w:val="000000"/>
                          <w:sz w:val="21"/>
                          <w:szCs w:val="21"/>
                        </w:rPr>
                      </w:pPr>
                      <w:r>
                        <w:t xml:space="preserve">Figur </w:t>
                      </w:r>
                      <w:r>
                        <w:fldChar w:fldCharType="begin"/>
                      </w:r>
                      <w:r>
                        <w:instrText xml:space="preserve"> SEQ Figur \* ARABIC </w:instrText>
                      </w:r>
                      <w:r>
                        <w:fldChar w:fldCharType="separate"/>
                      </w:r>
                      <w:r>
                        <w:rPr>
                          <w:noProof w:val="1"/>
                        </w:rPr>
                        <w:t>11</w:t>
                      </w:r>
                      <w:r>
                        <w:rPr>
                          <w:noProof w:val="1"/>
                        </w:rPr>
                        <w:fldChar w:fldCharType="end"/>
                      </w:r>
                      <w:r>
                        <w:t xml:space="preserve"> Delar som överförs till Västervik 3:1 från omgivande fastigheter är markerade med röd färg</w:t>
                      </w:r>
                    </w:p>
                  </w:txbxContent>
                </v:textbox>
                <w10:wrap type="square"/>
              </v:shape>
            </w:pict>
          </mc:Fallback>
        </mc:AlternateContent>
      </w:r>
      <w:bookmarkStart w:id="380" w:name="gf_förändradfastighetsindelning02"/>
      <w:r>
        <w:rPr>
          <w:rFonts w:ascii="Arial" w:hAnsi="Arial" w:cs="Arial"/>
          <w:noProof w:val="1"/>
          <w:color w:val="000000"/>
          <w:sz w:val="21"/>
          <w:szCs w:val="21"/>
        </w:rPr>
        <w:drawing>
          <wp:inline xmlns:wp="http://schemas.openxmlformats.org/drawingml/2006/wordprocessingDrawing" distT="0" distB="0" distL="0" distR="0">
            <wp:extent cx="3128010" cy="3214370"/>
            <wp:effectExtent l="0" t="0" r="0" b="5080"/>
            <wp:docPr id="9" name="Bildobjekt 9" descr="Bilden visar med rödfärg vilka delar som överförs till fastigheten Västerv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objekt 9" descr="Bilden visar med rödfärg vilka delar som överförs till fastigheten Västervik 3:1."/>
                    <pic:cNvPicPr/>
                  </pic:nvPicPr>
                  <pic:blipFill dpi="0">
                    <a:blip xmlns:r="http://schemas.openxmlformats.org/officeDocument/2006/relationships" r:embed="Relimage20" cstate="print"/>
                    <a:srcRect/>
                    <a:stretch>
                      <a:fillRect/>
                    </a:stretch>
                  </pic:blipFill>
                  <pic:spPr>
                    <a:xfrm>
                      <a:off x="0" y="0"/>
                      <a:ext cx="3128277" cy="3214370"/>
                    </a:xfrm>
                    <a:prstGeom prst="rect"/>
                  </pic:spPr>
                </pic:pic>
              </a:graphicData>
            </a:graphic>
          </wp:inline>
        </w:drawing>
      </w:r>
      <w:bookmarkEnd w:id="380"/>
    </w:p>
    <w:p>
      <w:pPr>
        <w:widowControl w:val="0"/>
        <w:suppressAutoHyphens w:val="0"/>
        <w:ind w:left="0" w:right="0"/>
        <w:rPr>
          <w:rFonts w:ascii="Arial" w:hAnsi="Arial" w:cs="Arial"/>
          <w:color w:val="000000"/>
          <w:sz w:val="21"/>
          <w:szCs w:val="21"/>
        </w:rPr>
      </w:pPr>
    </w:p>
    <w:p>
      <w:pPr>
        <w:widowControl w:val="0"/>
        <w:suppressAutoHyphens w:val="0"/>
        <w:ind w:left="0" w:right="0"/>
        <w:rPr>
          <w:rFonts w:ascii="Arial" w:hAnsi="Arial" w:cs="Arial"/>
          <w:sz w:val="24"/>
          <w:szCs w:val="24"/>
        </w:rPr>
      </w:pPr>
    </w:p>
    <w:p>
      <w:pPr>
        <w:rPr>
          <w:rStyle w:val="C10"/>
          <w:b w:val="0"/>
          <w:color w:val="FF0000"/>
        </w:rPr>
      </w:pPr>
    </w:p>
    <w:p>
      <w:pPr>
        <w:pStyle w:val="P2"/>
        <w:rPr>
          <w:rStyle w:val="C10"/>
          <w:b w:val="0"/>
        </w:rPr>
      </w:pPr>
      <w:bookmarkStart w:id="381" w:name="_Toc531084910"/>
      <w:bookmarkStart w:id="382" w:name="_Toc531085062"/>
      <w:bookmarkStart w:id="383" w:name="_Toc151732669"/>
      <w:bookmarkStart w:id="384" w:name="gf_rättigheter01"/>
      <w:r>
        <w:rPr>
          <w:rStyle w:val="C10"/>
          <w:b w:val="0"/>
          <w:bCs w:val="0"/>
        </w:rPr>
        <w:t>Servitut</w:t>
      </w:r>
      <w:bookmarkEnd w:id="381"/>
      <w:bookmarkEnd w:id="382"/>
      <w:bookmarkEnd w:id="383"/>
    </w:p>
    <w:p>
      <w:pPr>
        <w:pStyle w:val="P11"/>
      </w:pPr>
      <w:r>
        <w:t xml:space="preserve">Inom Rullstenen 7 finns två olika servitut för väg samt ett servitut för vatten och avlopp. Det servitut för väg, som är till förmån för Rullstenen 1, ligger i södra delen av Rullstenen 7, behöver ändras med anpassning till ny infart. Servitutets befintliga sträckning är inte förenligt med genomförande av planen eftersom den ansluter till befintlig utfart som kommer att stängas och förses med utfartsförbud. Det är planens huvudman som ansöker och bekostar detta. </w:t>
      </w:r>
    </w:p>
    <w:p>
      <w:pPr>
        <w:pStyle w:val="P11"/>
      </w:pPr>
    </w:p>
    <w:p>
      <w:pPr>
        <w:pStyle w:val="P2"/>
        <w:rPr>
          <w:bCs w:val="1"/>
        </w:rPr>
      </w:pPr>
      <w:bookmarkStart w:id="385" w:name="_Toc531084911"/>
      <w:bookmarkStart w:id="386" w:name="_Toc531085063"/>
      <w:bookmarkStart w:id="387" w:name="_Toc151732670"/>
      <w:r>
        <w:rPr>
          <w:rStyle w:val="C10"/>
          <w:b w:val="0"/>
          <w:bCs w:val="0"/>
        </w:rPr>
        <w:t>Ledningsrätt</w:t>
      </w:r>
      <w:bookmarkEnd w:id="377"/>
      <w:bookmarkEnd w:id="378"/>
      <w:bookmarkEnd w:id="385"/>
      <w:bookmarkEnd w:id="386"/>
      <w:bookmarkEnd w:id="387"/>
    </w:p>
    <w:p>
      <w:pPr>
        <w:rPr>
          <w:rFonts w:ascii="Roboto" w:hAnsi="Roboto"/>
          <w:color w:val="212529"/>
          <w:sz w:val="27"/>
          <w:szCs w:val="27"/>
          <w:shd w:val="clear" w:color="auto" w:fill="FFFFFF"/>
        </w:rPr>
      </w:pPr>
      <w:r>
        <w:t>Inom Västerås 7 finns en befintlig ledningsrätt för elledningar. Området är u-område i befintlig plan. I den nya detaljplanen hamnar berört område delvis inom allmän platsmark för gata. Denna del av u-området utgår därför. Delen på kvartersmark kvarstår.</w:t>
      </w:r>
    </w:p>
    <w:p>
      <w:pPr>
        <w:pStyle w:val="P1"/>
      </w:pPr>
      <w:bookmarkEnd w:id="384"/>
      <w:bookmarkStart w:id="388" w:name="_Toc530399341"/>
      <w:bookmarkStart w:id="389" w:name="_Toc530403071"/>
      <w:bookmarkStart w:id="390" w:name="_Toc531084948"/>
      <w:bookmarkStart w:id="391" w:name="_Toc531084913"/>
      <w:bookmarkStart w:id="392" w:name="_Toc151732671"/>
      <w:bookmarkStart w:id="393" w:name="_Toc531085065"/>
      <w:bookmarkStart w:id="394" w:name="_Toc531084987"/>
      <w:r>
        <w:t>TEKNISKA FRÅGOR</w:t>
      </w:r>
      <w:bookmarkEnd w:id="388"/>
      <w:bookmarkEnd w:id="389"/>
      <w:bookmarkEnd w:id="390"/>
      <w:bookmarkEnd w:id="391"/>
      <w:bookmarkEnd w:id="392"/>
      <w:bookmarkEnd w:id="393"/>
      <w:bookmarkEnd w:id="394"/>
    </w:p>
    <w:p>
      <w:pPr>
        <w:pStyle w:val="P2"/>
      </w:pPr>
      <w:bookmarkStart w:id="395" w:name="_Toc530399342"/>
      <w:bookmarkStart w:id="396" w:name="_Toc531084914"/>
      <w:bookmarkStart w:id="397" w:name="_Toc530403072"/>
      <w:bookmarkStart w:id="398" w:name="_Toc151732672"/>
      <w:bookmarkStart w:id="399" w:name="_Toc531085066"/>
      <w:bookmarkStart w:id="400" w:name="gf_tekniskaåtgärder02"/>
      <w:r>
        <w:t>Teknisk försörjning</w:t>
      </w:r>
      <w:bookmarkEnd w:id="395"/>
      <w:bookmarkEnd w:id="396"/>
      <w:bookmarkEnd w:id="397"/>
      <w:bookmarkEnd w:id="398"/>
      <w:bookmarkEnd w:id="399"/>
    </w:p>
    <w:p>
      <w:pPr>
        <w:pStyle w:val="P11"/>
      </w:pPr>
      <w:r>
        <w:t>Utbyggnad av allmännyttig teknisk försörjning på allmän platsmark byggs ut och bekostas av VME AB. Ledningar inom kvartersmark byggs ut från anvisad förbindelsepunkt och bekostas av exploatören.</w:t>
      </w:r>
    </w:p>
    <w:p>
      <w:pPr>
        <w:pStyle w:val="P2"/>
      </w:pPr>
      <w:bookmarkStart w:id="401" w:name="_Toc151732673"/>
      <w:r>
        <w:t>Ledningsflytt</w:t>
      </w:r>
      <w:bookmarkEnd w:id="401"/>
    </w:p>
    <w:p>
      <w:pPr>
        <w:pStyle w:val="P11"/>
      </w:pPr>
      <w:r>
        <w:t>Eventuell flytt av befintliga VA-ledningar ska samrådas med VA-huvudmannen, VMEAB. Exploatören bekostar flytt av befintlig VA-ledning och dess tillbehör.</w:t>
      </w:r>
    </w:p>
    <w:p>
      <w:pPr>
        <w:ind w:left="0"/>
        <w:rPr>
          <w:i w:val="1"/>
          <w:color w:val="FF0000"/>
        </w:rPr>
      </w:pPr>
      <w:bookmarkEnd w:id="400"/>
    </w:p>
    <w:p>
      <w:pPr>
        <w:pStyle w:val="P2"/>
        <w:rPr>
          <w:rStyle w:val="C10"/>
          <w:b w:val="0"/>
          <w:bCs w:val="0"/>
        </w:rPr>
      </w:pPr>
      <w:bookmarkStart w:id="402" w:name="_Toc530399343"/>
      <w:bookmarkStart w:id="403" w:name="_Toc531084915"/>
      <w:bookmarkStart w:id="404" w:name="_Toc530403073"/>
      <w:bookmarkStart w:id="405" w:name="_Toc151732674"/>
      <w:bookmarkStart w:id="406" w:name="_Toc531085067"/>
      <w:bookmarkStart w:id="407" w:name="gf_tekniskaåtgärder01"/>
      <w:r>
        <w:rPr>
          <w:rStyle w:val="C10"/>
          <w:b w:val="0"/>
          <w:bCs w:val="0"/>
        </w:rPr>
        <w:t>Buller</w:t>
      </w:r>
      <w:bookmarkEnd w:id="402"/>
      <w:bookmarkEnd w:id="403"/>
      <w:bookmarkEnd w:id="404"/>
      <w:bookmarkEnd w:id="405"/>
      <w:bookmarkEnd w:id="406"/>
      <w:r>
        <w:rPr>
          <w:rStyle w:val="C10"/>
          <w:b w:val="0"/>
          <w:bCs w:val="0"/>
        </w:rPr>
        <w:tab/>
      </w:r>
    </w:p>
    <w:p>
      <w:pPr>
        <w:rPr>
          <w:rStyle w:val="C10"/>
          <w:b w:val="0"/>
          <w:bCs w:val="0"/>
        </w:rPr>
      </w:pPr>
      <w:r>
        <w:rPr>
          <w:rStyle w:val="C10"/>
          <w:b w:val="0"/>
          <w:bCs w:val="0"/>
        </w:rPr>
        <w:t>Planen föranleder inte några åtgärder avseende buller.</w:t>
      </w:r>
    </w:p>
    <w:p>
      <w:pPr>
        <w:rPr>
          <w:rStyle w:val="C10"/>
          <w:color w:val="FF0000"/>
        </w:rPr>
      </w:pPr>
    </w:p>
    <w:p>
      <w:pPr>
        <w:pStyle w:val="P2"/>
        <w:rPr>
          <w:rStyle w:val="C10"/>
          <w:b w:val="0"/>
          <w:bCs w:val="0"/>
        </w:rPr>
      </w:pPr>
      <w:bookmarkStart w:id="408" w:name="_Toc530399344"/>
      <w:bookmarkStart w:id="409" w:name="_Toc531084916"/>
      <w:bookmarkStart w:id="410" w:name="_Toc530403074"/>
      <w:bookmarkStart w:id="411" w:name="_Toc151732675"/>
      <w:bookmarkStart w:id="412" w:name="_Toc531085068"/>
      <w:r>
        <w:rPr>
          <w:rStyle w:val="C10"/>
          <w:b w:val="0"/>
          <w:bCs w:val="0"/>
        </w:rPr>
        <w:t>Brandskydd</w:t>
      </w:r>
      <w:bookmarkEnd w:id="408"/>
      <w:bookmarkEnd w:id="409"/>
      <w:bookmarkEnd w:id="410"/>
      <w:bookmarkEnd w:id="411"/>
      <w:bookmarkEnd w:id="412"/>
    </w:p>
    <w:p>
      <w:pPr>
        <w:rPr>
          <w:b w:val="1"/>
          <w:bCs w:val="1"/>
        </w:rPr>
      </w:pPr>
      <w:r>
        <w:rPr>
          <w:rStyle w:val="C10"/>
          <w:b w:val="0"/>
          <w:bCs w:val="0"/>
        </w:rPr>
        <w:t xml:space="preserve">Eventuell påverkan på brandposter utreds och läge säkerställs i projektering av området. </w:t>
      </w:r>
    </w:p>
    <w:p>
      <w:pPr>
        <w:rPr>
          <w:color w:val="FF0000"/>
        </w:rPr>
      </w:pPr>
    </w:p>
    <w:p>
      <w:pPr>
        <w:pStyle w:val="P2"/>
        <w:rPr>
          <w:rStyle w:val="C10"/>
          <w:b w:val="0"/>
          <w:bCs w:val="0"/>
        </w:rPr>
      </w:pPr>
      <w:bookmarkStart w:id="413" w:name="_Toc531084917"/>
      <w:bookmarkStart w:id="414" w:name="_Toc531085069"/>
      <w:bookmarkStart w:id="415" w:name="_Toc151732676"/>
      <w:bookmarkStart w:id="416" w:name="_Toc530399345"/>
      <w:bookmarkStart w:id="417" w:name="_Toc530403075"/>
      <w:r>
        <w:rPr>
          <w:rStyle w:val="C10"/>
          <w:b w:val="0"/>
          <w:bCs w:val="0"/>
        </w:rPr>
        <w:t>Geoteknik</w:t>
      </w:r>
      <w:bookmarkEnd w:id="413"/>
      <w:bookmarkEnd w:id="414"/>
      <w:bookmarkEnd w:id="415"/>
      <w:r>
        <w:rPr>
          <w:rStyle w:val="C10"/>
          <w:b w:val="0"/>
          <w:bCs w:val="0"/>
        </w:rPr>
        <w:t xml:space="preserve"> </w:t>
      </w:r>
    </w:p>
    <w:p>
      <w:pPr>
        <w:rPr>
          <w:rStyle w:val="C10"/>
          <w:b w:val="0"/>
          <w:bCs w:val="0"/>
        </w:rPr>
      </w:pPr>
      <w:r>
        <w:rPr>
          <w:rStyle w:val="C10"/>
          <w:b w:val="0"/>
          <w:bCs w:val="0"/>
        </w:rPr>
        <w:t>Geotekniska förutsättningar undersöks inför projektering av gata och bekostas av kommunen</w:t>
      </w:r>
      <w:r>
        <w:rPr>
          <w:rStyle w:val="C10"/>
        </w:rPr>
        <w:t>.</w:t>
      </w:r>
    </w:p>
    <w:p>
      <w:pPr>
        <w:rPr>
          <w:rStyle w:val="C10"/>
          <w:b w:val="0"/>
          <w:color w:val="FF0000"/>
        </w:rPr>
      </w:pPr>
    </w:p>
    <w:p>
      <w:pPr>
        <w:pStyle w:val="P2"/>
        <w:rPr>
          <w:rStyle w:val="C10"/>
          <w:b w:val="0"/>
          <w:bCs w:val="0"/>
        </w:rPr>
      </w:pPr>
      <w:bookmarkStart w:id="418" w:name="_Toc531084918"/>
      <w:bookmarkStart w:id="419" w:name="_Toc531085070"/>
      <w:bookmarkStart w:id="420" w:name="_Toc151732677"/>
      <w:r>
        <w:rPr>
          <w:rStyle w:val="C10"/>
          <w:b w:val="0"/>
          <w:bCs w:val="0"/>
        </w:rPr>
        <w:t>Förorenad mark</w:t>
      </w:r>
      <w:bookmarkEnd w:id="418"/>
      <w:bookmarkEnd w:id="419"/>
      <w:bookmarkEnd w:id="420"/>
      <w:r>
        <w:rPr>
          <w:rStyle w:val="C10"/>
          <w:b w:val="0"/>
          <w:bCs w:val="0"/>
        </w:rPr>
        <w:t xml:space="preserve"> </w:t>
      </w:r>
    </w:p>
    <w:p>
      <w:pPr>
        <w:pStyle w:val="P11"/>
      </w:pPr>
      <w:r>
        <w:t xml:space="preserve">Fastighetsägare ansvarar för och bekostar eventuell erforderlig markmiljöundersökning och sanering inom deras fastighetsgräns. Detta enligt tillsynsmyndighetens krav. Västerviks kommun ansvarar för och bekostar eventuell erforderlig sanering av markföroreningar inom kommunens egna fastigheter. </w:t>
      </w:r>
    </w:p>
    <w:p>
      <w:pPr>
        <w:pStyle w:val="P11"/>
      </w:pPr>
    </w:p>
    <w:p>
      <w:r>
        <w:t>Om markföroreningar påträffas, till exempel vid schaktning, ska tillsynsmyndigheten (miljöförvaltningen) informeras enligt 10 kap 9 § Miljöbalken. Respektive fastighetsägare ska då utföra/komplettera markföroreningsundersökning och sanering om det behövs.</w:t>
      </w:r>
    </w:p>
    <w:p>
      <w:pPr>
        <w:pStyle w:val="P11"/>
      </w:pPr>
    </w:p>
    <w:p>
      <w:pPr>
        <w:pStyle w:val="P11"/>
      </w:pPr>
      <w:r>
        <w:t>Vid upptäckt av förorenade massor ska tillsynsmyndigheten underrättas enligt 10 kapitel 11 § Miljöbalken (SFS 1998:808). Om grävning i förorenade massor ska äga rum ska en anmälan om detta, enligt 28 § förordningen (1998:899) om miljöfarlig verksamhet och hälsoskydd, lämnas till tillsynsmyndigheten.</w:t>
      </w:r>
    </w:p>
    <w:p>
      <w:pPr>
        <w:pStyle w:val="P11"/>
      </w:pPr>
    </w:p>
    <w:p>
      <w:pPr>
        <w:pStyle w:val="P11"/>
      </w:pPr>
      <w:r>
        <w:t>Kommunen ansvarar enligt punkterna ovan även för de områden inom kvartersmark som berörs av ett genomförande av byggnation av gata och ny in/utfart. Misstänkta föroreningar – bilvårdsanläggningar, har identifierats på fastigheten Västerås 7 som ligger inom planområdet och på Rullstenen 3 som ligger utanför planområdet, se karta nedan.</w:t>
      </w:r>
    </w:p>
    <w:p>
      <w:pPr>
        <w:pStyle w:val="P11"/>
        <w:rPr>
          <w:rFonts w:ascii="Segoe UI" w:hAnsi="Segoe UI" w:cs="Segoe UI"/>
          <w:color w:val="000000"/>
          <w:sz w:val="36"/>
          <w:szCs w:val="36"/>
        </w:rPr>
      </w:pPr>
    </w:p>
    <w:p>
      <w:pPr>
        <w:pStyle w:val="P11"/>
        <w:keepNext w:val="1"/>
      </w:pPr>
      <w:r>
        <w:rPr>
          <w:noProof w:val="1"/>
          <w:sz w:val="48"/>
          <w:szCs w:val="44"/>
        </w:rPr>
        <w:drawing>
          <wp:inline xmlns:wp="http://schemas.openxmlformats.org/drawingml/2006/wordprocessingDrawing" distT="0" distB="0" distL="0" distR="0">
            <wp:extent cx="3514725" cy="4256405"/>
            <wp:effectExtent l="0" t="0" r="0" b="0"/>
            <wp:docPr id="7" name="Bildobjekt 7" descr="Bilden visar omgivande fastigheter med misstänkta förorenade områden. Misstänkta förorenade områden redovisas med lila pr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objekt 7" descr="Bilden visar omgivande fastigheter med misstänkta förorenade områden. Misstänkta förorenade områden redovisas med lila prick."/>
                    <pic:cNvPicPr/>
                  </pic:nvPicPr>
                  <pic:blipFill dpi="0">
                    <a:blip xmlns:r="http://schemas.openxmlformats.org/officeDocument/2006/relationships" r:embed="Relimage21"/>
                    <a:srcRect/>
                    <a:stretch>
                      <a:fillRect/>
                    </a:stretch>
                  </pic:blipFill>
                  <pic:spPr>
                    <a:xfrm>
                      <a:off x="0" y="0"/>
                      <a:ext cx="3523491" cy="4267045"/>
                    </a:xfrm>
                    <a:prstGeom prst="rect"/>
                  </pic:spPr>
                </pic:pic>
              </a:graphicData>
            </a:graphic>
          </wp:inline>
        </w:drawing>
      </w:r>
    </w:p>
    <w:p>
      <w:pPr>
        <w:pStyle w:val="P42"/>
        <w:ind w:left="1701"/>
        <w:rPr>
          <w:sz w:val="48"/>
          <w:szCs w:val="44"/>
        </w:rPr>
      </w:pPr>
      <w:r>
        <w:t xml:space="preserve">Figur </w:t>
      </w:r>
      <w:r>
        <w:fldChar w:fldCharType="begin"/>
      </w:r>
      <w:r>
        <w:instrText xml:space="preserve"> SEQ Figur \* ARABIC </w:instrText>
      </w:r>
      <w:r>
        <w:fldChar w:fldCharType="separate"/>
      </w:r>
      <w:r>
        <w:rPr>
          <w:noProof w:val="1"/>
        </w:rPr>
        <w:t>12</w:t>
      </w:r>
      <w:r>
        <w:rPr>
          <w:noProof w:val="1"/>
        </w:rPr>
        <w:fldChar w:fldCharType="end"/>
      </w:r>
      <w:r>
        <w:t xml:space="preserve"> Fastigheter med misstänkt förorenade områden</w:t>
      </w:r>
    </w:p>
    <w:p>
      <w:pPr>
        <w:pStyle w:val="P11"/>
        <w:ind w:left="0"/>
      </w:pPr>
    </w:p>
    <w:p>
      <w:pPr>
        <w:pStyle w:val="P11"/>
      </w:pPr>
      <w:r>
        <w:t>Kommunen bedömer att inom verksamhetsmark så gäller riktlinjer för MKM gällande förorenad mark.</w:t>
      </w:r>
    </w:p>
    <w:p>
      <w:pPr>
        <w:rPr>
          <w:rStyle w:val="C10"/>
          <w:b w:val="0"/>
          <w:color w:val="FF0000"/>
        </w:rPr>
      </w:pPr>
    </w:p>
    <w:p>
      <w:pPr>
        <w:pStyle w:val="P2"/>
        <w:rPr>
          <w:rStyle w:val="C10"/>
          <w:b w:val="0"/>
          <w:bCs w:val="0"/>
        </w:rPr>
      </w:pPr>
      <w:bookmarkStart w:id="421" w:name="_Toc531084919"/>
      <w:bookmarkStart w:id="422" w:name="_Toc531085071"/>
      <w:bookmarkStart w:id="423" w:name="_Toc151732678"/>
      <w:r>
        <w:rPr>
          <w:rStyle w:val="C10"/>
          <w:b w:val="0"/>
          <w:bCs w:val="0"/>
        </w:rPr>
        <w:t>Radon</w:t>
      </w:r>
      <w:bookmarkEnd w:id="416"/>
      <w:bookmarkEnd w:id="417"/>
      <w:bookmarkEnd w:id="421"/>
      <w:bookmarkEnd w:id="422"/>
      <w:bookmarkEnd w:id="423"/>
    </w:p>
    <w:p>
      <w:pPr>
        <w:pStyle w:val="P11"/>
      </w:pPr>
      <w:r>
        <w:t xml:space="preserve">Planområdet omfattar befintlig bebyggelse. </w:t>
      </w:r>
    </w:p>
    <w:p>
      <w:pPr>
        <w:pStyle w:val="P11"/>
      </w:pPr>
    </w:p>
    <w:p>
      <w:pPr>
        <w:pStyle w:val="P11"/>
        <w:rPr>
          <w:color w:val="FF0000"/>
        </w:rPr>
      </w:pPr>
      <w:r>
        <w:t>Vid ny- och tillbyggnation ansvarar exploatören för eventuellt behov av mätningar och att det byggs radonsäkert.</w:t>
      </w:r>
    </w:p>
    <w:p>
      <w:pPr>
        <w:ind w:left="0"/>
        <w:rPr>
          <w:rFonts w:eastAsia="Calibri"/>
          <w:color w:val="FF0000"/>
        </w:rPr>
      </w:pPr>
      <w:bookmarkEnd w:id="407"/>
    </w:p>
    <w:p>
      <w:pPr>
        <w:rPr>
          <w:rFonts w:eastAsia="Calibri"/>
          <w:color w:val="FF0000"/>
        </w:rPr>
      </w:pPr>
    </w:p>
    <w:p>
      <w:pPr>
        <w:pStyle w:val="P2"/>
        <w:rPr>
          <w:rFonts w:eastAsia="Calibri"/>
        </w:rPr>
      </w:pPr>
      <w:bookmarkStart w:id="424" w:name="_Toc530399346"/>
      <w:bookmarkStart w:id="425" w:name="_Toc531084920"/>
      <w:bookmarkStart w:id="426" w:name="_Toc530403076"/>
      <w:bookmarkStart w:id="427" w:name="_Toc151732679"/>
      <w:bookmarkStart w:id="428" w:name="_Toc531085072"/>
      <w:bookmarkStart w:id="429" w:name="gf_utbyggnadallmänplats01"/>
      <w:r>
        <w:rPr>
          <w:rFonts w:eastAsia="Calibri"/>
        </w:rPr>
        <w:t>Gator, parkering</w:t>
      </w:r>
      <w:bookmarkEnd w:id="424"/>
      <w:bookmarkEnd w:id="425"/>
      <w:bookmarkEnd w:id="426"/>
      <w:bookmarkEnd w:id="427"/>
      <w:bookmarkEnd w:id="428"/>
    </w:p>
    <w:p>
      <w:pPr>
        <w:pStyle w:val="P11"/>
        <w:rPr>
          <w:rFonts w:eastAsia="Calibri"/>
        </w:rPr>
      </w:pPr>
      <w:r>
        <w:rPr>
          <w:rFonts w:eastAsia="Calibri"/>
        </w:rPr>
        <w:t>Kommunen ansvarar för utbyggnad, drift och underhåll inom allmän platsmark.</w:t>
      </w:r>
    </w:p>
    <w:p>
      <w:pPr>
        <w:pStyle w:val="P11"/>
        <w:rPr>
          <w:rFonts w:eastAsia="Calibri"/>
        </w:rPr>
      </w:pPr>
      <w:r>
        <w:rPr>
          <w:rFonts w:eastAsia="Calibri"/>
        </w:rPr>
        <w:t>Kommunen ansvarar för förändring av befintlig utfart, placering av skylt och ändra servitutet på fastighet Rullstenen 7 och 1 samt erforderliga fastighetsbildningsåtgärder i övrigt.</w:t>
      </w:r>
    </w:p>
    <w:p>
      <w:pPr>
        <w:pStyle w:val="P11"/>
        <w:ind w:left="0"/>
        <w:rPr>
          <w:rFonts w:eastAsia="Calibri"/>
        </w:rPr>
      </w:pPr>
    </w:p>
    <w:p>
      <w:pPr>
        <w:pStyle w:val="P11"/>
        <w:rPr>
          <w:rFonts w:eastAsia="Calibri"/>
        </w:rPr>
      </w:pPr>
      <w:r>
        <w:rPr>
          <w:rFonts w:eastAsia="Calibri"/>
        </w:rPr>
        <w:t xml:space="preserve">I samband med genomförandet behöver åtgärder genomföras gällande infart till Rullstenen 1 och 7. Kommunen avser att bygga och bekosta förändringen, för att därefter överlämna det till fastighetsägaren som fortsatt ansvarar för övrig utbyggnad, drift och underhåll inom kvartersmark. Alternativt kan fastighetsägaren erhålla ersättning för bedömd skada, och därefter genomföra behövliga åtgärder i egen regi. </w:t>
      </w:r>
      <w:bookmarkEnd w:id="429"/>
      <w:r>
        <w:rPr>
          <w:rFonts w:eastAsia="Calibri"/>
        </w:rPr>
        <w:t xml:space="preserve"> </w:t>
      </w:r>
    </w:p>
    <w:p>
      <w:pPr>
        <w:rPr>
          <w:color w:val="FF0000"/>
        </w:rPr>
      </w:pPr>
    </w:p>
    <w:p>
      <w:pPr>
        <w:pStyle w:val="P2"/>
      </w:pPr>
      <w:bookmarkStart w:id="430" w:name="_Toc530399347"/>
      <w:bookmarkStart w:id="431" w:name="_Toc531084921"/>
      <w:bookmarkStart w:id="432" w:name="_Toc530403077"/>
      <w:bookmarkStart w:id="433" w:name="_Toc151732680"/>
      <w:bookmarkStart w:id="434" w:name="_Toc531085073"/>
      <w:bookmarkStart w:id="435" w:name="gf_annat02"/>
      <w:r>
        <w:t>Arkeologi</w:t>
      </w:r>
      <w:bookmarkEnd w:id="430"/>
      <w:bookmarkEnd w:id="431"/>
      <w:bookmarkEnd w:id="432"/>
      <w:bookmarkEnd w:id="433"/>
      <w:bookmarkEnd w:id="434"/>
    </w:p>
    <w:p>
      <w:r>
        <w:t xml:space="preserve">Det finns inte någon registrerad fornlämning inom planområdet. </w:t>
      </w:r>
    </w:p>
    <w:p>
      <w:pPr>
        <w:rPr>
          <w:color w:val="FF0000"/>
        </w:rPr>
      </w:pPr>
    </w:p>
    <w:p>
      <w:pPr>
        <w:pStyle w:val="P2"/>
      </w:pPr>
      <w:bookmarkStart w:id="436" w:name="_Toc530399348"/>
      <w:bookmarkStart w:id="437" w:name="_Toc531084922"/>
      <w:bookmarkStart w:id="438" w:name="_Toc530403078"/>
      <w:bookmarkStart w:id="439" w:name="_Toc151732681"/>
      <w:bookmarkStart w:id="440" w:name="_Toc531085074"/>
      <w:r>
        <w:t>Tekniska utredningar</w:t>
      </w:r>
      <w:bookmarkEnd w:id="436"/>
      <w:bookmarkEnd w:id="437"/>
      <w:bookmarkEnd w:id="438"/>
      <w:bookmarkEnd w:id="439"/>
      <w:bookmarkEnd w:id="440"/>
    </w:p>
    <w:p>
      <w:pPr>
        <w:pStyle w:val="P11"/>
        <w:rPr>
          <w:szCs w:val="22"/>
        </w:rPr>
      </w:pPr>
      <w:r>
        <w:rPr>
          <w:szCs w:val="22"/>
        </w:rPr>
        <w:t>Kommunen ansvarar för framtagande av relevanta tekniska utredningar avseende allmän platsmark, så som dagvattenhantering och bullerutredning m.fl.</w:t>
      </w:r>
    </w:p>
    <w:p>
      <w:pPr>
        <w:pStyle w:val="P1"/>
      </w:pPr>
      <w:bookmarkEnd w:id="435"/>
      <w:bookmarkStart w:id="441" w:name="_Toc530399349"/>
      <w:bookmarkStart w:id="442" w:name="_Toc531084988"/>
      <w:bookmarkStart w:id="443" w:name="_Toc531085075"/>
      <w:bookmarkStart w:id="444" w:name="_Toc530403079"/>
      <w:bookmarkStart w:id="445" w:name="_Toc531084949"/>
      <w:bookmarkStart w:id="446" w:name="_Toc151732682"/>
      <w:bookmarkStart w:id="447" w:name="_Toc531084923"/>
      <w:bookmarkStart w:id="448" w:name="gf_ekonomiskafrågor01"/>
      <w:r>
        <w:t>EKONOMISKA FRÅGOR</w:t>
      </w:r>
      <w:bookmarkEnd w:id="441"/>
      <w:bookmarkEnd w:id="442"/>
      <w:bookmarkEnd w:id="443"/>
      <w:bookmarkEnd w:id="444"/>
      <w:bookmarkEnd w:id="445"/>
      <w:bookmarkEnd w:id="446"/>
      <w:bookmarkEnd w:id="447"/>
    </w:p>
    <w:p>
      <w:pPr>
        <w:rPr>
          <w:rStyle w:val="C10"/>
          <w:b w:val="0"/>
          <w:bCs w:val="0"/>
        </w:rPr>
      </w:pPr>
      <w:bookmarkStart w:id="449" w:name="_Toc530399350"/>
      <w:bookmarkStart w:id="450" w:name="_Toc531085076"/>
      <w:bookmarkStart w:id="451" w:name="_Toc530403080"/>
      <w:bookmarkStart w:id="452" w:name="_Toc531084924"/>
      <w:r>
        <w:rPr>
          <w:rStyle w:val="C10"/>
          <w:b w:val="0"/>
          <w:bCs w:val="0"/>
        </w:rPr>
        <w:t>Ett antagande av detaljplanen innebär att Västerviks kommun har rättigheter och skyldigheter att verkställa. Vidare kan ställas krav på att allmän plats iordningställs av kommunen inom genomförandetiden.</w:t>
      </w:r>
    </w:p>
    <w:p>
      <w:pPr>
        <w:rPr>
          <w:rStyle w:val="C10"/>
          <w:b w:val="0"/>
          <w:bCs w:val="0"/>
        </w:rPr>
      </w:pPr>
      <w:r>
        <w:rPr>
          <w:rStyle w:val="C10"/>
          <w:b w:val="0"/>
          <w:bCs w:val="0"/>
        </w:rPr>
        <w:t xml:space="preserve">Ändras eller upphävs detaljplanen under genomförandetiden har fastighetsägare rätt till ersättning för eventuell förlorad byggrätt som inte utnyttjas. </w:t>
      </w:r>
    </w:p>
    <w:p>
      <w:pPr>
        <w:pStyle w:val="P2"/>
      </w:pPr>
      <w:bookmarkEnd w:id="448"/>
      <w:r>
        <w:rPr>
          <w:rStyle w:val="C10"/>
          <w:b w:val="0"/>
          <w:bCs w:val="0"/>
        </w:rPr>
        <w:br w:type="textWrapping"/>
      </w:r>
      <w:bookmarkEnd w:id="449"/>
      <w:bookmarkEnd w:id="450"/>
      <w:bookmarkEnd w:id="451"/>
      <w:bookmarkEnd w:id="452"/>
      <w:bookmarkStart w:id="453" w:name="_Toc151732683"/>
      <w:bookmarkStart w:id="454" w:name="gf_förändradfastighetsindelning03"/>
      <w:r>
        <w:t>Fastighetsbildning</w:t>
      </w:r>
      <w:bookmarkEnd w:id="453"/>
    </w:p>
    <w:p>
      <w:pPr>
        <w:pStyle w:val="P11"/>
      </w:pPr>
      <w:r>
        <w:t>Kostnad för fastighetsbildning för genomförande av detaljplanen svarar Västerviks kommun för då det är en direkt verkan av planförslaget.</w:t>
      </w:r>
    </w:p>
    <w:p>
      <w:pPr>
        <w:rPr>
          <w:color w:val="FF0000"/>
        </w:rPr>
      </w:pPr>
      <w:bookmarkEnd w:id="454"/>
    </w:p>
    <w:p>
      <w:pPr>
        <w:pStyle w:val="P2"/>
      </w:pPr>
      <w:bookmarkStart w:id="455" w:name="_Toc530399352"/>
      <w:bookmarkStart w:id="456" w:name="_Toc531084926"/>
      <w:bookmarkStart w:id="457" w:name="_Toc530403082"/>
      <w:bookmarkStart w:id="458" w:name="_Toc151732684"/>
      <w:bookmarkStart w:id="459" w:name="_Toc531085078"/>
      <w:bookmarkStart w:id="460" w:name="gf_planavgift01"/>
      <w:r>
        <w:t>Planavgift</w:t>
      </w:r>
      <w:bookmarkEnd w:id="455"/>
      <w:bookmarkEnd w:id="456"/>
      <w:bookmarkEnd w:id="457"/>
      <w:bookmarkEnd w:id="458"/>
      <w:bookmarkEnd w:id="459"/>
    </w:p>
    <w:p>
      <w:pPr>
        <w:pStyle w:val="P11"/>
      </w:pPr>
      <w:r>
        <w:t>Ingen planavgift utgår.</w:t>
      </w:r>
    </w:p>
    <w:p>
      <w:pPr>
        <w:pStyle w:val="P11"/>
        <w:rPr>
          <w:color w:val="FF0000"/>
        </w:rPr>
      </w:pPr>
      <w:bookmarkEnd w:id="460"/>
    </w:p>
    <w:p>
      <w:pPr>
        <w:pStyle w:val="P2"/>
      </w:pPr>
      <w:bookmarkStart w:id="461" w:name="_Toc530399353"/>
      <w:bookmarkStart w:id="462" w:name="_Toc531084927"/>
      <w:bookmarkStart w:id="463" w:name="_Toc530403083"/>
      <w:bookmarkStart w:id="464" w:name="_Toc151732685"/>
      <w:bookmarkStart w:id="465" w:name="_Toc531085079"/>
      <w:bookmarkStart w:id="466" w:name="gf_annat04"/>
      <w:r>
        <w:t>Anslutningsavgifter</w:t>
      </w:r>
      <w:bookmarkEnd w:id="461"/>
      <w:bookmarkEnd w:id="462"/>
      <w:bookmarkEnd w:id="463"/>
      <w:bookmarkEnd w:id="464"/>
      <w:bookmarkEnd w:id="465"/>
    </w:p>
    <w:p>
      <w:r>
        <w:t>Västervik Miljö och Energi tar ut avgift för anslutningar vid varje tidpunkt enligt gällande taxa. Planen genererar inte nya fastigheter och därför är inte avgift för nya anslutningar en aktuell fråga för ett genomförande av planen.</w:t>
      </w:r>
    </w:p>
    <w:p>
      <w:pPr>
        <w:pStyle w:val="P11"/>
        <w:rPr>
          <w:color w:val="FF0000"/>
        </w:rPr>
      </w:pPr>
      <w:bookmarkEnd w:id="466"/>
    </w:p>
    <w:p>
      <w:pPr>
        <w:pStyle w:val="P2"/>
      </w:pPr>
      <w:bookmarkStart w:id="467" w:name="_Toc530399354"/>
      <w:bookmarkStart w:id="468" w:name="_Toc531084928"/>
      <w:bookmarkStart w:id="469" w:name="_Toc530403084"/>
      <w:bookmarkStart w:id="470" w:name="_Toc151732686"/>
      <w:bookmarkStart w:id="471" w:name="_Toc531085080"/>
      <w:bookmarkStart w:id="472" w:name="gf_annat01"/>
      <w:r>
        <w:t>Utredningar</w:t>
      </w:r>
      <w:bookmarkEnd w:id="467"/>
      <w:bookmarkEnd w:id="468"/>
      <w:bookmarkEnd w:id="469"/>
      <w:bookmarkEnd w:id="470"/>
      <w:bookmarkEnd w:id="471"/>
    </w:p>
    <w:p>
      <w:pPr>
        <w:pStyle w:val="P11"/>
        <w:rPr>
          <w:szCs w:val="22"/>
        </w:rPr>
      </w:pPr>
      <w:r>
        <w:rPr>
          <w:szCs w:val="22"/>
        </w:rPr>
        <w:t>Utredningar som är framtagna i denna detaljplan bekostas Västerviks kommun.</w:t>
      </w:r>
    </w:p>
    <w:p>
      <w:pPr>
        <w:pStyle w:val="P11"/>
        <w:rPr>
          <w:szCs w:val="22"/>
        </w:rPr>
      </w:pPr>
      <w:r>
        <w:rPr>
          <w:szCs w:val="22"/>
        </w:rPr>
        <w:t>Kommunen bekostar utredning kopplade till genomförande av gatumark och vid infart till Coop.</w:t>
      </w:r>
    </w:p>
    <w:p>
      <w:pPr>
        <w:pStyle w:val="P11"/>
        <w:rPr>
          <w:color w:val="FF0000"/>
          <w:szCs w:val="22"/>
        </w:rPr>
      </w:pPr>
    </w:p>
    <w:p>
      <w:pPr>
        <w:pStyle w:val="P11"/>
        <w:rPr>
          <w:szCs w:val="22"/>
        </w:rPr>
      </w:pPr>
      <w:r>
        <w:rPr>
          <w:szCs w:val="22"/>
        </w:rPr>
        <w:t>Övriga detaljerade undersökningar som kan krävas vid byggnation inom aktuellt planområde bekostas av berörd markägare.</w:t>
      </w:r>
    </w:p>
    <w:p>
      <w:pPr>
        <w:pStyle w:val="P11"/>
        <w:rPr>
          <w:color w:val="FF0000"/>
          <w:szCs w:val="22"/>
        </w:rPr>
      </w:pPr>
    </w:p>
    <w:p>
      <w:pPr>
        <w:pStyle w:val="P2"/>
      </w:pPr>
      <w:bookmarkStart w:id="473" w:name="_Toc530399355"/>
      <w:bookmarkStart w:id="474" w:name="_Toc531084929"/>
      <w:bookmarkStart w:id="475" w:name="_Toc530403085"/>
      <w:bookmarkStart w:id="476" w:name="_Toc151732687"/>
      <w:bookmarkStart w:id="477" w:name="_Toc531085081"/>
      <w:r>
        <w:t>Byggnation och rivning</w:t>
      </w:r>
      <w:bookmarkEnd w:id="473"/>
      <w:bookmarkEnd w:id="474"/>
      <w:bookmarkEnd w:id="475"/>
      <w:bookmarkEnd w:id="476"/>
      <w:bookmarkEnd w:id="477"/>
    </w:p>
    <w:p>
      <w:pPr>
        <w:pStyle w:val="P11"/>
      </w:pPr>
      <w:r>
        <w:rPr>
          <w:szCs w:val="22"/>
        </w:rPr>
        <w:t>Byggnation och eventuell rivning genomförs och bekostas av huvudmannen förutom det som är kopplat till ombyggnation av gata och infart till Coop, se ”Gator, parkering”.</w:t>
      </w:r>
    </w:p>
    <w:p>
      <w:pPr>
        <w:pStyle w:val="P11"/>
        <w:rPr>
          <w:color w:val="FF0000"/>
        </w:rPr>
      </w:pPr>
      <w:bookmarkEnd w:id="472"/>
    </w:p>
    <w:p>
      <w:pPr>
        <w:pStyle w:val="P2"/>
      </w:pPr>
      <w:bookmarkStart w:id="478" w:name="_Toc530399356"/>
      <w:bookmarkStart w:id="479" w:name="_Toc531084930"/>
      <w:bookmarkStart w:id="480" w:name="_Toc530403086"/>
      <w:bookmarkStart w:id="481" w:name="_Toc151732688"/>
      <w:bookmarkStart w:id="482" w:name="_Toc531085082"/>
      <w:r>
        <w:t>Markföroreningar</w:t>
      </w:r>
      <w:bookmarkEnd w:id="478"/>
      <w:bookmarkEnd w:id="479"/>
      <w:bookmarkEnd w:id="480"/>
      <w:bookmarkEnd w:id="481"/>
      <w:bookmarkEnd w:id="482"/>
    </w:p>
    <w:p>
      <w:r>
        <w:t>Se samma rubrik under Tekniska frågor.</w:t>
      </w:r>
    </w:p>
    <w:p>
      <w:pPr>
        <w:pStyle w:val="P1"/>
      </w:pPr>
      <w:bookmarkStart w:id="483" w:name="_Toc530399358"/>
      <w:bookmarkStart w:id="484" w:name="_Toc531084989"/>
      <w:bookmarkStart w:id="485" w:name="_Toc531084931"/>
      <w:bookmarkStart w:id="486" w:name="_Toc531084950"/>
      <w:bookmarkStart w:id="487" w:name="_Toc530403088"/>
      <w:bookmarkStart w:id="488" w:name="_Toc531085083"/>
      <w:bookmarkStart w:id="489" w:name="_Toc151732689"/>
      <w:r>
        <w:t>MEDVERKANDE TJÄNSTE</w:t>
      </w:r>
      <w:bookmarkEnd w:id="483"/>
      <w:bookmarkEnd w:id="484"/>
      <w:bookmarkEnd w:id="485"/>
      <w:bookmarkEnd w:id="486"/>
      <w:bookmarkEnd w:id="487"/>
      <w:bookmarkEnd w:id="488"/>
      <w:r>
        <w:t>PERSONER</w:t>
      </w:r>
      <w:bookmarkEnd w:id="489"/>
    </w:p>
    <w:p>
      <w:pPr>
        <w:ind w:left="0"/>
        <w:rPr>
          <w:color w:val="FF0000"/>
        </w:rPr>
      </w:pPr>
    </w:p>
    <w:p>
      <w:r>
        <w:t>Detaljplanen är upprättad av Norconsult AB genom Elinor Bjärnborg.</w:t>
      </w:r>
    </w:p>
    <w:p>
      <w:pPr>
        <w:rPr>
          <w:color w:val="FF0000"/>
        </w:rPr>
      </w:pPr>
      <w:r>
        <w:t>I processen att ta fram förslag till detaljplan har tjänstepersoner på enheten för samhällsbyggnad, miljö- och byggnadskontoret samt Västervik Miljö &amp; Energi AB medverkat.</w:t>
      </w:r>
    </w:p>
    <w:p>
      <w:pPr>
        <w:rPr>
          <w:color w:val="FF0000"/>
        </w:rPr>
      </w:pPr>
    </w:p>
    <w:tbl>
      <w:tblPr>
        <w:tblStyle w:val="T6"/>
        <w:tblpPr w:leftFromText="141" w:rightFromText="141" w:tblpX="1" w:tblpY="98" w:horzAnchor="margin" w:vertAnchor="text" w:tblpXSpec="center"/>
        <w:tblW w:w="6941" w:type="dxa"/>
        <w:tblBorders>
          <w:top w:val="none" w:sz="0" w:space="0" w:shadow="0" w:frame="0" w:color="auto"/>
          <w:left w:val="none" w:sz="0" w:space="0" w:shadow="0" w:frame="0" w:color="auto"/>
          <w:bottom w:val="none" w:sz="0" w:space="0" w:shadow="0" w:frame="0" w:color="auto"/>
          <w:right w:val="none" w:sz="0" w:space="0" w:shadow="0" w:frame="0" w:color="auto"/>
          <w:insideH w:val="none" w:sz="0" w:space="0" w:shadow="0" w:frame="0" w:color="auto"/>
          <w:insideV w:val="none" w:sz="0" w:space="0" w:shadow="0" w:frame="0" w:color="auto"/>
        </w:tblBorders>
        <w:tblLook w:val="04A0"/>
      </w:tblPr>
      <w:tblGrid/>
      <w:tr>
        <w:tc>
          <w:tcPr>
            <w:tcW w:w="3376" w:type="dxa"/>
            <w:shd w:val="clear" w:color="auto" w:fill="auto"/>
          </w:tcPr>
          <w:p>
            <w:pPr>
              <w:ind w:left="0"/>
              <w:rPr>
                <w:lang w:eastAsia="en-US"/>
              </w:rPr>
            </w:pPr>
          </w:p>
        </w:tc>
        <w:tc>
          <w:tcPr>
            <w:tcW w:w="236" w:type="dxa"/>
            <w:shd w:val="clear" w:color="auto" w:fill="auto"/>
          </w:tcPr>
          <w:p>
            <w:pPr>
              <w:ind w:left="0"/>
              <w:rPr>
                <w:lang w:eastAsia="en-US"/>
              </w:rPr>
            </w:pPr>
          </w:p>
        </w:tc>
        <w:tc>
          <w:tcPr>
            <w:tcW w:w="3329" w:type="dxa"/>
            <w:shd w:val="clear" w:color="auto" w:fill="auto"/>
            <w:hideMark/>
          </w:tcPr>
          <w:p>
            <w:pPr>
              <w:ind w:left="0" w:right="172"/>
              <w:rPr>
                <w:lang w:eastAsia="en-US"/>
              </w:rPr>
            </w:pPr>
            <w:r>
              <w:rPr>
                <w:lang w:eastAsia="en-US"/>
              </w:rPr>
              <w:t>Kommunstyrelsens förvaltning</w:t>
            </w:r>
          </w:p>
        </w:tc>
      </w:tr>
      <w:tr>
        <w:tc>
          <w:tcPr>
            <w:tcW w:w="3376" w:type="dxa"/>
            <w:shd w:val="clear" w:color="auto" w:fill="auto"/>
          </w:tcPr>
          <w:p>
            <w:pPr>
              <w:ind w:left="0"/>
              <w:rPr>
                <w:b w:val="1"/>
                <w:bCs w:val="1"/>
                <w:color w:val="FF0000"/>
                <w:lang w:eastAsia="en-US"/>
              </w:rPr>
            </w:pPr>
          </w:p>
        </w:tc>
        <w:tc>
          <w:tcPr>
            <w:tcW w:w="236" w:type="dxa"/>
            <w:shd w:val="clear" w:color="auto" w:fill="auto"/>
          </w:tcPr>
          <w:p>
            <w:pPr>
              <w:ind w:left="0"/>
              <w:rPr>
                <w:bCs w:val="1"/>
                <w:color w:val="FF0000"/>
                <w:lang w:eastAsia="en-US"/>
              </w:rPr>
            </w:pPr>
          </w:p>
        </w:tc>
        <w:tc>
          <w:tcPr>
            <w:tcW w:w="3329" w:type="dxa"/>
            <w:shd w:val="clear" w:color="auto" w:fill="auto"/>
          </w:tcPr>
          <w:p>
            <w:pPr>
              <w:ind w:left="0"/>
              <w:rPr>
                <w:bCs w:val="1"/>
                <w:color w:val="FF0000"/>
                <w:lang w:eastAsia="en-US"/>
              </w:rPr>
            </w:pPr>
          </w:p>
          <w:p>
            <w:pPr>
              <w:ind w:left="0"/>
              <w:rPr>
                <w:bCs w:val="1"/>
                <w:color w:val="FF0000"/>
                <w:lang w:eastAsia="en-US"/>
              </w:rPr>
            </w:pPr>
          </w:p>
          <w:p>
            <w:pPr>
              <w:ind w:left="0"/>
              <w:rPr>
                <w:bCs w:val="1"/>
                <w:color w:val="FF0000"/>
                <w:lang w:eastAsia="en-US"/>
              </w:rPr>
            </w:pPr>
          </w:p>
        </w:tc>
      </w:tr>
      <w:tr>
        <w:tc>
          <w:tcPr>
            <w:tcW w:w="3376" w:type="dxa"/>
            <w:shd w:val="clear" w:color="auto" w:fill="auto"/>
            <w:hideMark/>
          </w:tcPr>
          <w:p>
            <w:pPr>
              <w:ind w:left="0" w:right="99"/>
              <w:rPr>
                <w:b w:val="1"/>
                <w:bCs w:val="1"/>
                <w:lang w:eastAsia="en-US"/>
              </w:rPr>
            </w:pPr>
            <w:r>
              <w:rPr>
                <w:lang w:eastAsia="en-US"/>
              </w:rPr>
              <w:t>ELINOR BJÄRNBORG</w:t>
            </w:r>
          </w:p>
        </w:tc>
        <w:tc>
          <w:tcPr>
            <w:tcW w:w="236" w:type="dxa"/>
            <w:shd w:val="clear" w:color="auto" w:fill="auto"/>
          </w:tcPr>
          <w:p>
            <w:pPr>
              <w:ind w:left="0"/>
              <w:rPr>
                <w:bCs w:val="1"/>
                <w:lang w:eastAsia="en-US"/>
              </w:rPr>
            </w:pPr>
          </w:p>
        </w:tc>
        <w:tc>
          <w:tcPr>
            <w:tcW w:w="3329" w:type="dxa"/>
            <w:shd w:val="clear" w:color="auto" w:fill="auto"/>
            <w:hideMark/>
          </w:tcPr>
          <w:p>
            <w:pPr>
              <w:ind w:left="0"/>
              <w:rPr>
                <w:bCs w:val="1"/>
                <w:lang w:eastAsia="en-US"/>
              </w:rPr>
            </w:pPr>
            <w:r>
              <w:rPr>
                <w:bCs w:val="1"/>
                <w:lang w:eastAsia="en-US"/>
              </w:rPr>
              <w:t>ANNA HERGE</w:t>
            </w:r>
          </w:p>
        </w:tc>
      </w:tr>
      <w:tr>
        <w:tc>
          <w:tcPr>
            <w:tcW w:w="3376" w:type="dxa"/>
            <w:shd w:val="clear" w:color="auto" w:fill="auto"/>
            <w:hideMark/>
          </w:tcPr>
          <w:p>
            <w:pPr>
              <w:ind w:left="0" w:right="0"/>
              <w:rPr>
                <w:b w:val="1"/>
                <w:bCs w:val="1"/>
                <w:lang w:eastAsia="en-US"/>
              </w:rPr>
            </w:pPr>
            <w:r>
              <w:rPr>
                <w:lang w:eastAsia="en-US"/>
              </w:rPr>
              <w:t>Planförfattare, planarkitekt</w:t>
            </w:r>
          </w:p>
        </w:tc>
        <w:tc>
          <w:tcPr>
            <w:tcW w:w="236" w:type="dxa"/>
            <w:shd w:val="clear" w:color="auto" w:fill="auto"/>
          </w:tcPr>
          <w:p>
            <w:pPr>
              <w:ind w:left="0"/>
              <w:rPr>
                <w:bCs w:val="1"/>
                <w:lang w:eastAsia="en-US"/>
              </w:rPr>
            </w:pPr>
          </w:p>
        </w:tc>
        <w:tc>
          <w:tcPr>
            <w:tcW w:w="3329" w:type="dxa"/>
            <w:shd w:val="clear" w:color="auto" w:fill="auto"/>
            <w:hideMark/>
          </w:tcPr>
          <w:p>
            <w:pPr>
              <w:ind w:left="0"/>
              <w:rPr>
                <w:bCs w:val="1"/>
                <w:lang w:eastAsia="en-US"/>
              </w:rPr>
            </w:pPr>
            <w:r>
              <w:rPr>
                <w:bCs w:val="1"/>
                <w:lang w:eastAsia="en-US"/>
              </w:rPr>
              <w:t>Planarkitekt</w:t>
            </w:r>
          </w:p>
        </w:tc>
      </w:tr>
    </w:tbl>
    <w:p>
      <w:pPr>
        <w:rPr>
          <w:color w:val="FF0000"/>
        </w:rPr>
      </w:pPr>
    </w:p>
    <w:p>
      <w:bookmarkEnd w:id="291"/>
      <w:bookmarkEnd w:id="292"/>
    </w:p>
    <w:sectPr>
      <w:headerReference xmlns:r="http://schemas.openxmlformats.org/officeDocument/2006/relationships" w:type="first" r:id="RelHdr1"/>
      <w:headerReference xmlns:r="http://schemas.openxmlformats.org/officeDocument/2006/relationships" w:type="default" r:id="RelHdr2"/>
      <w:footerReference xmlns:r="http://schemas.openxmlformats.org/officeDocument/2006/relationships" w:type="first" r:id="RelFtr1"/>
      <w:footerReference xmlns:r="http://schemas.openxmlformats.org/officeDocument/2006/relationships" w:type="default" r:id="RelFtr2"/>
      <w:footnotePr/>
      <w:endnotePr/>
      <w:type w:val="nextPage"/>
      <w:pgSz w:w="11907" w:h="16840" w:code="0"/>
      <w:pgMar w:left="567" w:right="1275" w:top="1418" w:bottom="1985" w:header="567" w:footer="397" w:gutter="0"/>
      <w:pgNumType w:start="0" w:chapSep="period"/>
      <w:cols w:equalWidth="1" w:space="720"/>
      <w:titlePg w:val="1"/>
    </w:sectPr>
  </w:body>
</w:document>
</file>

<file path=word/endnotes.xml><?xml version="1.0" encoding="utf-8"?>
<w:end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endnote w:type="separator" w:id="-1">
    <w:p>
      <w:r>
        <w:separator/>
      </w:r>
    </w:p>
  </w:endnote>
  <w:endnote w:type="continuationSeparator" w:id="0">
    <w:p>
      <w:r>
        <w:continuationSeparator/>
      </w:r>
    </w:p>
  </w:endnote>
  <w:endnote w:type="continuationNotice" w:id="1">
    <w:p/>
  </w:endnote>
</w:endnotes>
</file>

<file path=word/footer1.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6"/>
      <w:spacing w:after="240" w:beforeAutospacing="0" w:afterAutospacing="0"/>
      <w:jc w:val="right"/>
      <w:rPr>
        <w:rFonts w:ascii="Arial" w:hAnsi="Arial" w:cs="Arial"/>
        <w:sz w:val="20"/>
      </w:rPr>
    </w:pPr>
  </w:p>
</w:ftr>
</file>

<file path=word/footer2.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6"/>
      <w:spacing w:after="240" w:beforeAutospacing="0" w:afterAutospacing="0"/>
      <w:jc w:val="right"/>
      <w:rPr>
        <w:rFonts w:ascii="Arial" w:hAnsi="Arial" w:cs="Arial"/>
        <w:sz w:val="16"/>
        <w:szCs w:val="16"/>
      </w:rPr>
    </w:pPr>
    <w:r>
      <w:rPr>
        <w:rStyle w:val="C4"/>
        <w:rFonts w:ascii="Arial" w:hAnsi="Arial" w:cs="Arial"/>
        <w:sz w:val="16"/>
        <w:szCs w:val="16"/>
      </w:rPr>
      <w:fldChar w:fldCharType="begin"/>
    </w:r>
    <w:r>
      <w:rPr>
        <w:rStyle w:val="C4"/>
        <w:rFonts w:ascii="Arial" w:hAnsi="Arial" w:cs="Arial"/>
        <w:sz w:val="16"/>
        <w:szCs w:val="16"/>
      </w:rPr>
      <w:instrText xml:space="preserve"> PAGE </w:instrText>
    </w:r>
    <w:r>
      <w:rPr>
        <w:rStyle w:val="C4"/>
        <w:rFonts w:ascii="Arial" w:hAnsi="Arial" w:cs="Arial"/>
        <w:sz w:val="16"/>
        <w:szCs w:val="16"/>
      </w:rPr>
      <w:fldChar w:fldCharType="separate"/>
    </w:r>
    <w:r>
      <w:rPr>
        <w:rStyle w:val="C4"/>
        <w:rFonts w:ascii="Arial" w:hAnsi="Arial" w:cs="Arial"/>
        <w:sz w:val="16"/>
        <w:szCs w:val="16"/>
      </w:rPr>
      <w:t>#</w:t>
    </w:r>
    <w:r>
      <w:rPr>
        <w:rStyle w:val="C4"/>
        <w:rFonts w:ascii="Arial" w:hAnsi="Arial" w:cs="Arial"/>
        <w:sz w:val="16"/>
        <w:szCs w:val="16"/>
      </w:rPr>
      <w:fldChar w:fldCharType="end"/>
    </w:r>
    <w:r>
      <w:rPr>
        <w:rStyle w:val="C4"/>
        <w:rFonts w:ascii="Arial" w:hAnsi="Arial" w:cs="Arial"/>
        <w:sz w:val="16"/>
        <w:szCs w:val="16"/>
      </w:rPr>
      <w:t xml:space="preserve"> </w:t>
    </w:r>
    <w:r>
      <w:rPr>
        <w:rStyle w:val="C4"/>
        <w:rFonts w:ascii="Arial" w:hAnsi="Arial" w:cs="Arial"/>
        <w:sz w:val="16"/>
        <w:szCs w:val="16"/>
      </w:rPr>
      <w:t>(</w:t>
    </w:r>
    <w:r>
      <w:rPr>
        <w:rStyle w:val="C4"/>
        <w:rFonts w:ascii="Arial" w:hAnsi="Arial" w:cs="Arial"/>
        <w:sz w:val="16"/>
        <w:szCs w:val="16"/>
      </w:rPr>
      <w:fldChar w:fldCharType="begin"/>
    </w:r>
    <w:r>
      <w:rPr>
        <w:rStyle w:val="C4"/>
        <w:rFonts w:ascii="Arial" w:hAnsi="Arial" w:cs="Arial"/>
        <w:sz w:val="16"/>
        <w:szCs w:val="16"/>
      </w:rPr>
      <w:instrText xml:space="preserve"> NUMPAGES </w:instrText>
    </w:r>
    <w:r>
      <w:rPr>
        <w:rStyle w:val="C4"/>
        <w:rFonts w:ascii="Arial" w:hAnsi="Arial" w:cs="Arial"/>
        <w:sz w:val="16"/>
        <w:szCs w:val="16"/>
      </w:rPr>
      <w:fldChar w:fldCharType="separate"/>
    </w:r>
    <w:r>
      <w:rPr>
        <w:rStyle w:val="C4"/>
        <w:rFonts w:ascii="Arial" w:hAnsi="Arial" w:cs="Arial"/>
        <w:sz w:val="16"/>
        <w:szCs w:val="16"/>
      </w:rPr>
      <w:t>#</w:t>
    </w:r>
    <w:r>
      <w:rPr>
        <w:rStyle w:val="C4"/>
        <w:rFonts w:ascii="Arial" w:hAnsi="Arial" w:cs="Arial"/>
        <w:sz w:val="16"/>
        <w:szCs w:val="16"/>
      </w:rPr>
      <w:fldChar w:fldCharType="end"/>
    </w:r>
    <w:r>
      <w:rPr>
        <w:rStyle w:val="C4"/>
        <w:rFonts w:ascii="Arial" w:hAnsi="Arial" w:cs="Arial"/>
        <w:sz w:val="16"/>
        <w:szCs w:val="16"/>
      </w:rPr>
      <w:t>)</w:t>
    </w:r>
  </w:p>
</w:ftr>
</file>

<file path=word/footnotes.xml><?xml version="1.0" encoding="utf-8"?>
<w:foot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footnote w:type="separator" w:id="-1">
    <w:p>
      <w:r>
        <w:separator/>
      </w:r>
    </w:p>
  </w:footnote>
  <w:footnote w:type="continuationSeparator" w:id="0">
    <w:p>
      <w:r>
        <w:continuationSeparator/>
      </w:r>
    </w:p>
  </w:footnote>
  <w:footnote w:type="continuationNotice" w:id="1">
    <w:p/>
  </w:footnote>
</w:footnotes>
</file>

<file path=word/header1.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7"/>
      <w:ind w:left="284"/>
      <w:jc w:val="right"/>
      <w:rPr>
        <w:rFonts w:ascii="Gotham Light" w:hAnsi="Gotham Light"/>
        <w:sz w:val="20"/>
      </w:rPr>
    </w:pPr>
    <w:r>
      <w:rPr>
        <w:rFonts w:ascii="Arial Black" w:hAnsi="Arial Black"/>
        <w:sz w:val="20"/>
      </w:rPr>
      <w:tab/>
      <w:tab/>
    </w:r>
    <w:r>
      <w:rPr>
        <w:rFonts w:ascii="Gotham Light" w:hAnsi="Gotham Light"/>
        <w:sz w:val="20"/>
      </w:rPr>
      <w:t xml:space="preserve">                                       </w:t>
    </w:r>
  </w:p>
  <w:p>
    <w:pPr>
      <w:pStyle w:val="P7"/>
      <w:ind w:left="284"/>
      <w:jc w:val="right"/>
      <w:rPr>
        <w:rFonts w:ascii="Gotham Light" w:hAnsi="Gotham Light"/>
        <w:sz w:val="20"/>
      </w:rPr>
    </w:pPr>
  </w:p>
  <w:p>
    <w:pPr>
      <w:pStyle w:val="P7"/>
      <w:ind w:left="284"/>
      <w:jc w:val="right"/>
      <w:rPr>
        <w:rFonts w:ascii="Gotham Light" w:hAnsi="Gotham Light"/>
        <w:sz w:val="20"/>
      </w:rPr>
    </w:pPr>
  </w:p>
  <w:p>
    <w:pPr>
      <w:pStyle w:val="P7"/>
      <w:tabs>
        <w:tab w:val="clear" w:pos="9071" w:leader="none"/>
        <w:tab w:val="right" w:pos="9781" w:leader="none"/>
      </w:tabs>
      <w:ind w:left="284" w:right="284"/>
      <w:jc w:val="right"/>
      <w:rPr>
        <w:rFonts w:ascii="Gotham Light" w:hAnsi="Gotham Light"/>
        <w:sz w:val="20"/>
      </w:rPr>
    </w:pPr>
    <w:r>
      <w:rPr>
        <w:rFonts w:ascii="Gotham Light" w:hAnsi="Gotham Light"/>
        <w:sz w:val="20"/>
      </w:rPr>
      <w:t xml:space="preserve">                            Kommunstyrelsens </w:t>
    </w:r>
    <w:r>
      <w:rPr>
        <w:rFonts w:ascii="Gotham Light" w:hAnsi="Gotham Light"/>
        <w:noProof w:val="1"/>
      </w:rPr>
      <w:drawing>
        <wp:anchor xmlns:wp="http://schemas.openxmlformats.org/drawingml/2006/wordprocessingDrawing" distT="0" distB="0" distL="114300" distR="114300" simplePos="0" relativeHeight="251622401" behindDoc="1" locked="0" layoutInCell="1" allowOverlap="1">
          <wp:simplePos x="0" y="0"/>
          <wp:positionH relativeFrom="column">
            <wp:posOffset>173355</wp:posOffset>
          </wp:positionH>
          <wp:positionV relativeFrom="paragraph">
            <wp:posOffset>-43180</wp:posOffset>
          </wp:positionV>
          <wp:extent cx="1562100" cy="538480"/>
          <wp:effectExtent l="0" t="0" r="0" b="0"/>
          <wp:wrapNone/>
          <wp:docPr id="49" name="Bildobjekt 49" descr="Västerviks kommuns logotyp består av en blå sköld med ett enmastat skepp av guld på. Skölden kompletteras med texten Västerviks kommun. " title="Logotyp för Västerviks komm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KSF\Lk\Kommunikation\- GRAFISK PROFIL\Grafisk profil 2018\Brevmall\logotyp-färg-högerställd.jpg"/>
                  <pic:cNvPicPr>
                    <a:picLocks noChangeAspect="1" noChangeArrowheads="1"/>
                  </pic:cNvPicPr>
                </pic:nvPicPr>
                <pic:blipFill dpi="0">
                  <a:blip xmlns:r="http://schemas.openxmlformats.org/officeDocument/2006/relationships" r:embed="Relimage22"/>
                  <a:srcRect/>
                  <a:stretch>
                    <a:fillRect/>
                  </a:stretch>
                </pic:blipFill>
                <pic:spPr bwMode="auto">
                  <a:xfrm>
                    <a:off x="0" y="0"/>
                    <a:ext cx="1562100" cy="538635"/>
                  </a:xfrm>
                  <a:prstGeom prst="rect"/>
                  <a:noFill/>
                  <a:ln>
                    <a:noFill/>
                  </a:ln>
                </pic:spPr>
              </pic:pic>
            </a:graphicData>
          </a:graphic>
        </wp:anchor>
      </w:drawing>
    </w:r>
    <w:r>
      <w:rPr>
        <w:rFonts w:ascii="Gotham Light" w:hAnsi="Gotham Light"/>
        <w:sz w:val="20"/>
      </w:rPr>
      <w:t>förvaltning</w:t>
    </w:r>
  </w:p>
  <w:p>
    <w:pPr>
      <w:pStyle w:val="P7"/>
      <w:tabs>
        <w:tab w:val="clear" w:pos="9071" w:leader="none"/>
        <w:tab w:val="right" w:pos="9781" w:leader="none"/>
        <w:tab w:val="right" w:pos="9923" w:leader="none"/>
      </w:tabs>
      <w:ind w:left="284" w:right="284"/>
      <w:jc w:val="right"/>
      <w:rPr>
        <w:rFonts w:ascii="Gotham Light" w:hAnsi="Gotham Light" w:cs="Arial"/>
        <w:sz w:val="20"/>
      </w:rPr>
    </w:pPr>
    <w:r>
      <w:rPr>
        <w:rFonts w:ascii="Gotham Light" w:hAnsi="Gotham Light" w:cs="Arial"/>
        <w:sz w:val="20"/>
      </w:rPr>
      <w:tab/>
      <w:tab/>
      <w:t xml:space="preserve">                                 Enheten för samhällsbyggnad</w:t>
    </w:r>
  </w:p>
  <w:p>
    <w:pPr>
      <w:pStyle w:val="P7"/>
      <w:tabs>
        <w:tab w:val="right" w:pos="9781" w:leader="none"/>
      </w:tabs>
      <w:ind w:left="284" w:right="284"/>
      <w:rPr>
        <w:rFonts w:ascii="Gotham Light" w:hAnsi="Gotham Light" w:cs="Arial"/>
        <w:sz w:val="20"/>
      </w:rPr>
    </w:pPr>
    <w:r>
      <w:rPr>
        <w:rFonts w:ascii="Gotham Light" w:hAnsi="Gotham Light" w:cs="Arial"/>
        <w:sz w:val="20"/>
      </w:rPr>
      <w:tab/>
      <w:tab/>
      <w:t xml:space="preserve">                                           Upprättad 2023-11-27</w:t>
    </w:r>
  </w:p>
</w:hdr>
</file>

<file path=word/header2.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23"/>
      <w:ind w:hanging="4815" w:left="5666"/>
      <w:rPr>
        <w:rFonts w:ascii="Gotham Bold" w:hAnsi="Gotham Bold"/>
        <w:sz w:val="36"/>
      </w:rPr>
    </w:pPr>
    <w:r>
      <w:t>Enheten för samhällsbyggnad</w:t>
      <w:tab/>
      <w:tab/>
      <w:t>Detaljplan för del av Västervik 3:1 m fl, Cirkulationsplats Didrikslund</w:t>
    </w:r>
  </w:p>
  <w:p/>
  <w:p>
    <w:r>
      <w:t>Antagandehandling</w:t>
      <w:tab/>
      <w:tab/>
      <w:tab/>
      <w:tab/>
      <w:tab/>
      <w:tab/>
      <w:t>2023-11-27</w:t>
    </w:r>
  </w:p>
  <w:p/>
  <w:p>
    <w:pPr>
      <w:pStyle w:val="P7"/>
    </w:pPr>
  </w:p>
</w:hdr>
</file>

<file path=word/numbering.xml><?xml version="1.0" encoding="utf-8"?>
<w:numbering xmlns:w="http://schemas.openxmlformats.org/wordprocessingml/2006/main">
  <w:abstractNum w:abstractNumId="0">
    <w:nsid w:val="024963DD"/>
    <w:multiLevelType w:val="hybridMultilevel"/>
    <w:lvl w:ilvl="0" w:tplc="041D0001">
      <w:start w:val="1"/>
      <w:numFmt w:val="bullet"/>
      <w:suff w:val="tab"/>
      <w:lvlText w:val=""/>
      <w:lvlJc w:val="left"/>
      <w:pPr>
        <w:ind w:hanging="360" w:left="2421"/>
      </w:pPr>
      <w:rPr>
        <w:rFonts w:ascii="Symbol" w:hAnsi="Symbol" w:hint="default"/>
      </w:rPr>
    </w:lvl>
    <w:lvl w:ilvl="1" w:tplc="041D0003">
      <w:start w:val="1"/>
      <w:numFmt w:val="bullet"/>
      <w:suff w:val="tab"/>
      <w:lvlText w:val="o"/>
      <w:lvlJc w:val="left"/>
      <w:pPr>
        <w:ind w:hanging="360" w:left="3141"/>
      </w:pPr>
      <w:rPr>
        <w:rFonts w:ascii="Courier New" w:hAnsi="Courier New" w:cs="Courier New" w:hint="default"/>
      </w:rPr>
    </w:lvl>
    <w:lvl w:ilvl="2" w:tplc="041D0005">
      <w:start w:val="1"/>
      <w:numFmt w:val="bullet"/>
      <w:suff w:val="tab"/>
      <w:lvlText w:val=""/>
      <w:lvlJc w:val="left"/>
      <w:pPr>
        <w:ind w:hanging="360" w:left="3861"/>
      </w:pPr>
      <w:rPr>
        <w:rFonts w:ascii="Wingdings" w:hAnsi="Wingdings" w:hint="default"/>
      </w:rPr>
    </w:lvl>
    <w:lvl w:ilvl="3" w:tplc="041D0001">
      <w:start w:val="1"/>
      <w:numFmt w:val="bullet"/>
      <w:suff w:val="tab"/>
      <w:lvlText w:val=""/>
      <w:lvlJc w:val="left"/>
      <w:pPr>
        <w:ind w:hanging="360" w:left="4581"/>
      </w:pPr>
      <w:rPr>
        <w:rFonts w:ascii="Symbol" w:hAnsi="Symbol" w:hint="default"/>
      </w:rPr>
    </w:lvl>
    <w:lvl w:ilvl="4" w:tplc="041D0003">
      <w:start w:val="1"/>
      <w:numFmt w:val="bullet"/>
      <w:suff w:val="tab"/>
      <w:lvlText w:val="o"/>
      <w:lvlJc w:val="left"/>
      <w:pPr>
        <w:ind w:hanging="360" w:left="5301"/>
      </w:pPr>
      <w:rPr>
        <w:rFonts w:ascii="Courier New" w:hAnsi="Courier New" w:cs="Courier New" w:hint="default"/>
      </w:rPr>
    </w:lvl>
    <w:lvl w:ilvl="5" w:tplc="041D0005">
      <w:start w:val="1"/>
      <w:numFmt w:val="bullet"/>
      <w:suff w:val="tab"/>
      <w:lvlText w:val=""/>
      <w:lvlJc w:val="left"/>
      <w:pPr>
        <w:ind w:hanging="360" w:left="6021"/>
      </w:pPr>
      <w:rPr>
        <w:rFonts w:ascii="Wingdings" w:hAnsi="Wingdings" w:hint="default"/>
      </w:rPr>
    </w:lvl>
    <w:lvl w:ilvl="6" w:tplc="041D0001">
      <w:start w:val="1"/>
      <w:numFmt w:val="bullet"/>
      <w:suff w:val="tab"/>
      <w:lvlText w:val=""/>
      <w:lvlJc w:val="left"/>
      <w:pPr>
        <w:ind w:hanging="360" w:left="6741"/>
      </w:pPr>
      <w:rPr>
        <w:rFonts w:ascii="Symbol" w:hAnsi="Symbol" w:hint="default"/>
      </w:rPr>
    </w:lvl>
    <w:lvl w:ilvl="7" w:tplc="041D0003">
      <w:start w:val="1"/>
      <w:numFmt w:val="bullet"/>
      <w:suff w:val="tab"/>
      <w:lvlText w:val="o"/>
      <w:lvlJc w:val="left"/>
      <w:pPr>
        <w:ind w:hanging="360" w:left="7461"/>
      </w:pPr>
      <w:rPr>
        <w:rFonts w:ascii="Courier New" w:hAnsi="Courier New" w:cs="Courier New" w:hint="default"/>
      </w:rPr>
    </w:lvl>
    <w:lvl w:ilvl="8" w:tplc="041D0005">
      <w:start w:val="1"/>
      <w:numFmt w:val="bullet"/>
      <w:suff w:val="tab"/>
      <w:lvlText w:val=""/>
      <w:lvlJc w:val="left"/>
      <w:pPr>
        <w:ind w:hanging="360" w:left="8181"/>
      </w:pPr>
      <w:rPr>
        <w:rFonts w:ascii="Wingdings" w:hAnsi="Wingdings" w:hint="default"/>
      </w:rPr>
    </w:lvl>
  </w:abstractNum>
  <w:abstractNum w:abstractNumId="1">
    <w:nsid w:val="09AB0677"/>
    <w:multiLevelType w:val="hybridMultilevel"/>
    <w:lvl w:ilvl="0" w:tplc="0074B410">
      <w:start w:val="5"/>
      <w:numFmt w:val="bullet"/>
      <w:suff w:val="tab"/>
      <w:lvlText w:val="-"/>
      <w:lvlJc w:val="left"/>
      <w:pPr>
        <w:ind w:hanging="360" w:left="2061"/>
      </w:pPr>
      <w:rPr>
        <w:rFonts w:ascii="Calibri" w:hAnsi="Calibri" w:cs="Times New Roman" w:eastAsia="Times New Roman" w:hint="default"/>
      </w:rPr>
    </w:lvl>
    <w:lvl w:ilvl="1" w:tplc="041D0003">
      <w:start w:val="1"/>
      <w:numFmt w:val="bullet"/>
      <w:suff w:val="tab"/>
      <w:lvlText w:val="o"/>
      <w:lvlJc w:val="left"/>
      <w:pPr>
        <w:ind w:hanging="360" w:left="2781"/>
      </w:pPr>
      <w:rPr>
        <w:rFonts w:ascii="Courier New" w:hAnsi="Courier New" w:cs="Courier New" w:hint="default"/>
      </w:rPr>
    </w:lvl>
    <w:lvl w:ilvl="2" w:tplc="041D0005">
      <w:start w:val="1"/>
      <w:numFmt w:val="bullet"/>
      <w:suff w:val="tab"/>
      <w:lvlText w:val=""/>
      <w:lvlJc w:val="left"/>
      <w:pPr>
        <w:ind w:hanging="360" w:left="3501"/>
      </w:pPr>
      <w:rPr>
        <w:rFonts w:ascii="Wingdings" w:hAnsi="Wingdings" w:hint="default"/>
      </w:rPr>
    </w:lvl>
    <w:lvl w:ilvl="3" w:tplc="041D0001">
      <w:start w:val="1"/>
      <w:numFmt w:val="bullet"/>
      <w:suff w:val="tab"/>
      <w:lvlText w:val=""/>
      <w:lvlJc w:val="left"/>
      <w:pPr>
        <w:ind w:hanging="360" w:left="4221"/>
      </w:pPr>
      <w:rPr>
        <w:rFonts w:ascii="Symbol" w:hAnsi="Symbol" w:hint="default"/>
      </w:rPr>
    </w:lvl>
    <w:lvl w:ilvl="4" w:tplc="041D0003">
      <w:start w:val="1"/>
      <w:numFmt w:val="bullet"/>
      <w:suff w:val="tab"/>
      <w:lvlText w:val="o"/>
      <w:lvlJc w:val="left"/>
      <w:pPr>
        <w:ind w:hanging="360" w:left="4941"/>
      </w:pPr>
      <w:rPr>
        <w:rFonts w:ascii="Courier New" w:hAnsi="Courier New" w:cs="Courier New" w:hint="default"/>
      </w:rPr>
    </w:lvl>
    <w:lvl w:ilvl="5" w:tplc="041D0005">
      <w:start w:val="1"/>
      <w:numFmt w:val="bullet"/>
      <w:suff w:val="tab"/>
      <w:lvlText w:val=""/>
      <w:lvlJc w:val="left"/>
      <w:pPr>
        <w:ind w:hanging="360" w:left="5661"/>
      </w:pPr>
      <w:rPr>
        <w:rFonts w:ascii="Wingdings" w:hAnsi="Wingdings" w:hint="default"/>
      </w:rPr>
    </w:lvl>
    <w:lvl w:ilvl="6" w:tplc="041D0001">
      <w:start w:val="1"/>
      <w:numFmt w:val="bullet"/>
      <w:suff w:val="tab"/>
      <w:lvlText w:val=""/>
      <w:lvlJc w:val="left"/>
      <w:pPr>
        <w:ind w:hanging="360" w:left="6381"/>
      </w:pPr>
      <w:rPr>
        <w:rFonts w:ascii="Symbol" w:hAnsi="Symbol" w:hint="default"/>
      </w:rPr>
    </w:lvl>
    <w:lvl w:ilvl="7" w:tplc="041D0003">
      <w:start w:val="1"/>
      <w:numFmt w:val="bullet"/>
      <w:suff w:val="tab"/>
      <w:lvlText w:val="o"/>
      <w:lvlJc w:val="left"/>
      <w:pPr>
        <w:ind w:hanging="360" w:left="7101"/>
      </w:pPr>
      <w:rPr>
        <w:rFonts w:ascii="Courier New" w:hAnsi="Courier New" w:cs="Courier New" w:hint="default"/>
      </w:rPr>
    </w:lvl>
    <w:lvl w:ilvl="8" w:tplc="041D0005">
      <w:start w:val="1"/>
      <w:numFmt w:val="bullet"/>
      <w:suff w:val="tab"/>
      <w:lvlText w:val=""/>
      <w:lvlJc w:val="left"/>
      <w:pPr>
        <w:ind w:hanging="360" w:left="7821"/>
      </w:pPr>
      <w:rPr>
        <w:rFonts w:ascii="Wingdings" w:hAnsi="Wingdings" w:hint="default"/>
      </w:rPr>
    </w:lvl>
  </w:abstractNum>
  <w:abstractNum w:abstractNumId="2">
    <w:nsid w:val="0A726431"/>
    <w:multiLevelType w:val="hybridMultilevel"/>
    <w:lvl w:ilvl="0" w:tplc="041D0001">
      <w:start w:val="1"/>
      <w:numFmt w:val="bullet"/>
      <w:suff w:val="tab"/>
      <w:lvlText w:val=""/>
      <w:lvlJc w:val="left"/>
      <w:pPr>
        <w:ind w:hanging="360" w:left="2421"/>
      </w:pPr>
      <w:rPr>
        <w:rFonts w:ascii="Symbol" w:hAnsi="Symbol" w:hint="default"/>
      </w:rPr>
    </w:lvl>
    <w:lvl w:ilvl="1" w:tplc="041D0003">
      <w:start w:val="1"/>
      <w:numFmt w:val="bullet"/>
      <w:suff w:val="tab"/>
      <w:lvlText w:val="o"/>
      <w:lvlJc w:val="left"/>
      <w:pPr>
        <w:ind w:hanging="360" w:left="3141"/>
      </w:pPr>
      <w:rPr>
        <w:rFonts w:ascii="Courier New" w:hAnsi="Courier New" w:cs="Courier New" w:hint="default"/>
      </w:rPr>
    </w:lvl>
    <w:lvl w:ilvl="2" w:tplc="041D0005">
      <w:start w:val="1"/>
      <w:numFmt w:val="bullet"/>
      <w:suff w:val="tab"/>
      <w:lvlText w:val=""/>
      <w:lvlJc w:val="left"/>
      <w:pPr>
        <w:ind w:hanging="360" w:left="3861"/>
      </w:pPr>
      <w:rPr>
        <w:rFonts w:ascii="Wingdings" w:hAnsi="Wingdings" w:hint="default"/>
      </w:rPr>
    </w:lvl>
    <w:lvl w:ilvl="3" w:tplc="041D0001">
      <w:start w:val="1"/>
      <w:numFmt w:val="bullet"/>
      <w:suff w:val="tab"/>
      <w:lvlText w:val=""/>
      <w:lvlJc w:val="left"/>
      <w:pPr>
        <w:ind w:hanging="360" w:left="4581"/>
      </w:pPr>
      <w:rPr>
        <w:rFonts w:ascii="Symbol" w:hAnsi="Symbol" w:hint="default"/>
      </w:rPr>
    </w:lvl>
    <w:lvl w:ilvl="4" w:tplc="041D0003">
      <w:start w:val="1"/>
      <w:numFmt w:val="bullet"/>
      <w:suff w:val="tab"/>
      <w:lvlText w:val="o"/>
      <w:lvlJc w:val="left"/>
      <w:pPr>
        <w:ind w:hanging="360" w:left="5301"/>
      </w:pPr>
      <w:rPr>
        <w:rFonts w:ascii="Courier New" w:hAnsi="Courier New" w:cs="Courier New" w:hint="default"/>
      </w:rPr>
    </w:lvl>
    <w:lvl w:ilvl="5" w:tplc="041D0005">
      <w:start w:val="1"/>
      <w:numFmt w:val="bullet"/>
      <w:suff w:val="tab"/>
      <w:lvlText w:val=""/>
      <w:lvlJc w:val="left"/>
      <w:pPr>
        <w:ind w:hanging="360" w:left="6021"/>
      </w:pPr>
      <w:rPr>
        <w:rFonts w:ascii="Wingdings" w:hAnsi="Wingdings" w:hint="default"/>
      </w:rPr>
    </w:lvl>
    <w:lvl w:ilvl="6" w:tplc="041D0001">
      <w:start w:val="1"/>
      <w:numFmt w:val="bullet"/>
      <w:suff w:val="tab"/>
      <w:lvlText w:val=""/>
      <w:lvlJc w:val="left"/>
      <w:pPr>
        <w:ind w:hanging="360" w:left="6741"/>
      </w:pPr>
      <w:rPr>
        <w:rFonts w:ascii="Symbol" w:hAnsi="Symbol" w:hint="default"/>
      </w:rPr>
    </w:lvl>
    <w:lvl w:ilvl="7" w:tplc="041D0003">
      <w:start w:val="1"/>
      <w:numFmt w:val="bullet"/>
      <w:suff w:val="tab"/>
      <w:lvlText w:val="o"/>
      <w:lvlJc w:val="left"/>
      <w:pPr>
        <w:ind w:hanging="360" w:left="7461"/>
      </w:pPr>
      <w:rPr>
        <w:rFonts w:ascii="Courier New" w:hAnsi="Courier New" w:cs="Courier New" w:hint="default"/>
      </w:rPr>
    </w:lvl>
    <w:lvl w:ilvl="8" w:tplc="041D0005">
      <w:start w:val="1"/>
      <w:numFmt w:val="bullet"/>
      <w:suff w:val="tab"/>
      <w:lvlText w:val=""/>
      <w:lvlJc w:val="left"/>
      <w:pPr>
        <w:ind w:hanging="360" w:left="8181"/>
      </w:pPr>
      <w:rPr>
        <w:rFonts w:ascii="Wingdings" w:hAnsi="Wingdings" w:hint="default"/>
      </w:rPr>
    </w:lvl>
  </w:abstractNum>
  <w:abstractNum w:abstractNumId="3">
    <w:nsid w:val="19C433C0"/>
    <w:multiLevelType w:val="hybridMultilevel"/>
    <w:lvl w:ilvl="0" w:tplc="041D0001">
      <w:start w:val="1"/>
      <w:numFmt w:val="bullet"/>
      <w:suff w:val="tab"/>
      <w:lvlText w:val=""/>
      <w:lvlJc w:val="left"/>
      <w:pPr>
        <w:ind w:hanging="360" w:left="2421"/>
      </w:pPr>
      <w:rPr>
        <w:rFonts w:ascii="Symbol" w:hAnsi="Symbol" w:hint="default"/>
      </w:rPr>
    </w:lvl>
    <w:lvl w:ilvl="1" w:tplc="041D0003">
      <w:start w:val="1"/>
      <w:numFmt w:val="bullet"/>
      <w:suff w:val="tab"/>
      <w:lvlText w:val="o"/>
      <w:lvlJc w:val="left"/>
      <w:pPr>
        <w:ind w:hanging="360" w:left="3141"/>
      </w:pPr>
      <w:rPr>
        <w:rFonts w:ascii="Courier New" w:hAnsi="Courier New" w:cs="Courier New" w:hint="default"/>
      </w:rPr>
    </w:lvl>
    <w:lvl w:ilvl="2" w:tplc="041D0005">
      <w:start w:val="1"/>
      <w:numFmt w:val="bullet"/>
      <w:suff w:val="tab"/>
      <w:lvlText w:val=""/>
      <w:lvlJc w:val="left"/>
      <w:pPr>
        <w:ind w:hanging="360" w:left="3861"/>
      </w:pPr>
      <w:rPr>
        <w:rFonts w:ascii="Wingdings" w:hAnsi="Wingdings" w:hint="default"/>
      </w:rPr>
    </w:lvl>
    <w:lvl w:ilvl="3" w:tplc="041D0001">
      <w:start w:val="1"/>
      <w:numFmt w:val="bullet"/>
      <w:suff w:val="tab"/>
      <w:lvlText w:val=""/>
      <w:lvlJc w:val="left"/>
      <w:pPr>
        <w:ind w:hanging="360" w:left="4581"/>
      </w:pPr>
      <w:rPr>
        <w:rFonts w:ascii="Symbol" w:hAnsi="Symbol" w:hint="default"/>
      </w:rPr>
    </w:lvl>
    <w:lvl w:ilvl="4" w:tplc="041D0003">
      <w:start w:val="1"/>
      <w:numFmt w:val="bullet"/>
      <w:suff w:val="tab"/>
      <w:lvlText w:val="o"/>
      <w:lvlJc w:val="left"/>
      <w:pPr>
        <w:ind w:hanging="360" w:left="5301"/>
      </w:pPr>
      <w:rPr>
        <w:rFonts w:ascii="Courier New" w:hAnsi="Courier New" w:cs="Courier New" w:hint="default"/>
      </w:rPr>
    </w:lvl>
    <w:lvl w:ilvl="5" w:tplc="041D0005">
      <w:start w:val="1"/>
      <w:numFmt w:val="bullet"/>
      <w:suff w:val="tab"/>
      <w:lvlText w:val=""/>
      <w:lvlJc w:val="left"/>
      <w:pPr>
        <w:ind w:hanging="360" w:left="6021"/>
      </w:pPr>
      <w:rPr>
        <w:rFonts w:ascii="Wingdings" w:hAnsi="Wingdings" w:hint="default"/>
      </w:rPr>
    </w:lvl>
    <w:lvl w:ilvl="6" w:tplc="041D0001">
      <w:start w:val="1"/>
      <w:numFmt w:val="bullet"/>
      <w:suff w:val="tab"/>
      <w:lvlText w:val=""/>
      <w:lvlJc w:val="left"/>
      <w:pPr>
        <w:ind w:hanging="360" w:left="6741"/>
      </w:pPr>
      <w:rPr>
        <w:rFonts w:ascii="Symbol" w:hAnsi="Symbol" w:hint="default"/>
      </w:rPr>
    </w:lvl>
    <w:lvl w:ilvl="7" w:tplc="041D0003">
      <w:start w:val="1"/>
      <w:numFmt w:val="bullet"/>
      <w:suff w:val="tab"/>
      <w:lvlText w:val="o"/>
      <w:lvlJc w:val="left"/>
      <w:pPr>
        <w:ind w:hanging="360" w:left="7461"/>
      </w:pPr>
      <w:rPr>
        <w:rFonts w:ascii="Courier New" w:hAnsi="Courier New" w:cs="Courier New" w:hint="default"/>
      </w:rPr>
    </w:lvl>
    <w:lvl w:ilvl="8" w:tplc="041D0005">
      <w:start w:val="1"/>
      <w:numFmt w:val="bullet"/>
      <w:suff w:val="tab"/>
      <w:lvlText w:val=""/>
      <w:lvlJc w:val="left"/>
      <w:pPr>
        <w:ind w:hanging="360" w:left="8181"/>
      </w:pPr>
      <w:rPr>
        <w:rFonts w:ascii="Wingdings" w:hAnsi="Wingdings" w:hint="default"/>
      </w:rPr>
    </w:lvl>
  </w:abstractNum>
  <w:abstractNum w:abstractNumId="4">
    <w:nsid w:val="1D3C4964"/>
    <w:multiLevelType w:val="hybridMultilevel"/>
    <w:lvl w:ilvl="0" w:tplc="2132DEC8">
      <w:start w:val="0"/>
      <w:numFmt w:val="bullet"/>
      <w:suff w:val="tab"/>
      <w:lvlText w:val="-"/>
      <w:lvlJc w:val="left"/>
      <w:pPr>
        <w:ind w:hanging="360" w:left="2061"/>
      </w:pPr>
      <w:rPr>
        <w:rFonts w:ascii="Calibri" w:hAnsi="Calibri" w:cs="Calibri" w:eastAsia="Times New Roman" w:hint="default"/>
      </w:rPr>
    </w:lvl>
    <w:lvl w:ilvl="1" w:tplc="041D0003">
      <w:start w:val="1"/>
      <w:numFmt w:val="bullet"/>
      <w:suff w:val="tab"/>
      <w:lvlText w:val="o"/>
      <w:lvlJc w:val="left"/>
      <w:pPr>
        <w:ind w:hanging="360" w:left="2781"/>
      </w:pPr>
      <w:rPr>
        <w:rFonts w:ascii="Courier New" w:hAnsi="Courier New" w:cs="Courier New" w:hint="default"/>
      </w:rPr>
    </w:lvl>
    <w:lvl w:ilvl="2" w:tplc="041D0005">
      <w:start w:val="1"/>
      <w:numFmt w:val="bullet"/>
      <w:suff w:val="tab"/>
      <w:lvlText w:val=""/>
      <w:lvlJc w:val="left"/>
      <w:pPr>
        <w:ind w:hanging="360" w:left="3501"/>
      </w:pPr>
      <w:rPr>
        <w:rFonts w:ascii="Wingdings" w:hAnsi="Wingdings" w:hint="default"/>
      </w:rPr>
    </w:lvl>
    <w:lvl w:ilvl="3" w:tplc="041D0001">
      <w:start w:val="1"/>
      <w:numFmt w:val="bullet"/>
      <w:suff w:val="tab"/>
      <w:lvlText w:val=""/>
      <w:lvlJc w:val="left"/>
      <w:pPr>
        <w:ind w:hanging="360" w:left="4221"/>
      </w:pPr>
      <w:rPr>
        <w:rFonts w:ascii="Symbol" w:hAnsi="Symbol" w:hint="default"/>
      </w:rPr>
    </w:lvl>
    <w:lvl w:ilvl="4" w:tplc="041D0003">
      <w:start w:val="1"/>
      <w:numFmt w:val="bullet"/>
      <w:suff w:val="tab"/>
      <w:lvlText w:val="o"/>
      <w:lvlJc w:val="left"/>
      <w:pPr>
        <w:ind w:hanging="360" w:left="4941"/>
      </w:pPr>
      <w:rPr>
        <w:rFonts w:ascii="Courier New" w:hAnsi="Courier New" w:cs="Courier New" w:hint="default"/>
      </w:rPr>
    </w:lvl>
    <w:lvl w:ilvl="5" w:tplc="041D0005">
      <w:start w:val="1"/>
      <w:numFmt w:val="bullet"/>
      <w:suff w:val="tab"/>
      <w:lvlText w:val=""/>
      <w:lvlJc w:val="left"/>
      <w:pPr>
        <w:ind w:hanging="360" w:left="5661"/>
      </w:pPr>
      <w:rPr>
        <w:rFonts w:ascii="Wingdings" w:hAnsi="Wingdings" w:hint="default"/>
      </w:rPr>
    </w:lvl>
    <w:lvl w:ilvl="6" w:tplc="041D0001">
      <w:start w:val="1"/>
      <w:numFmt w:val="bullet"/>
      <w:suff w:val="tab"/>
      <w:lvlText w:val=""/>
      <w:lvlJc w:val="left"/>
      <w:pPr>
        <w:ind w:hanging="360" w:left="6381"/>
      </w:pPr>
      <w:rPr>
        <w:rFonts w:ascii="Symbol" w:hAnsi="Symbol" w:hint="default"/>
      </w:rPr>
    </w:lvl>
    <w:lvl w:ilvl="7" w:tplc="041D0003">
      <w:start w:val="1"/>
      <w:numFmt w:val="bullet"/>
      <w:suff w:val="tab"/>
      <w:lvlText w:val="o"/>
      <w:lvlJc w:val="left"/>
      <w:pPr>
        <w:ind w:hanging="360" w:left="7101"/>
      </w:pPr>
      <w:rPr>
        <w:rFonts w:ascii="Courier New" w:hAnsi="Courier New" w:cs="Courier New" w:hint="default"/>
      </w:rPr>
    </w:lvl>
    <w:lvl w:ilvl="8" w:tplc="041D0005">
      <w:start w:val="1"/>
      <w:numFmt w:val="bullet"/>
      <w:suff w:val="tab"/>
      <w:lvlText w:val=""/>
      <w:lvlJc w:val="left"/>
      <w:pPr>
        <w:ind w:hanging="360" w:left="7821"/>
      </w:pPr>
      <w:rPr>
        <w:rFonts w:ascii="Wingdings" w:hAnsi="Wingdings" w:hint="default"/>
      </w:rPr>
    </w:lvl>
  </w:abstractNum>
  <w:abstractNum w:abstractNumId="5">
    <w:nsid w:val="2862038A"/>
    <w:multiLevelType w:val="hybridMultilevel"/>
    <w:lvl w:ilvl="0" w:tplc="95824388">
      <w:start w:val="1"/>
      <w:numFmt w:val="bullet"/>
      <w:suff w:val="tab"/>
      <w:lvlText w:val="-"/>
      <w:lvlJc w:val="left"/>
      <w:pPr>
        <w:ind w:hanging="360" w:left="2744"/>
      </w:pPr>
      <w:rPr>
        <w:rFonts w:ascii="Arial" w:hAnsi="Arial" w:eastAsia="Arial" w:hint="default"/>
        <w:sz w:val="24"/>
        <w:szCs w:val="24"/>
      </w:rPr>
    </w:lvl>
    <w:lvl w:ilvl="1" w:tplc="041D0003">
      <w:start w:val="1"/>
      <w:numFmt w:val="bullet"/>
      <w:suff w:val="tab"/>
      <w:lvlText w:val="o"/>
      <w:lvlJc w:val="left"/>
      <w:pPr>
        <w:ind w:hanging="360" w:left="3464"/>
      </w:pPr>
      <w:rPr>
        <w:rFonts w:ascii="Courier New" w:hAnsi="Courier New" w:cs="Courier New" w:hint="default"/>
      </w:rPr>
    </w:lvl>
    <w:lvl w:ilvl="2" w:tplc="041D0005">
      <w:start w:val="1"/>
      <w:numFmt w:val="bullet"/>
      <w:suff w:val="tab"/>
      <w:lvlText w:val=""/>
      <w:lvlJc w:val="left"/>
      <w:pPr>
        <w:ind w:hanging="360" w:left="4184"/>
      </w:pPr>
      <w:rPr>
        <w:rFonts w:ascii="Wingdings" w:hAnsi="Wingdings" w:hint="default"/>
      </w:rPr>
    </w:lvl>
    <w:lvl w:ilvl="3" w:tplc="041D0001">
      <w:start w:val="1"/>
      <w:numFmt w:val="bullet"/>
      <w:suff w:val="tab"/>
      <w:lvlText w:val=""/>
      <w:lvlJc w:val="left"/>
      <w:pPr>
        <w:ind w:hanging="360" w:left="4904"/>
      </w:pPr>
      <w:rPr>
        <w:rFonts w:ascii="Symbol" w:hAnsi="Symbol" w:hint="default"/>
      </w:rPr>
    </w:lvl>
    <w:lvl w:ilvl="4" w:tplc="041D0003">
      <w:start w:val="1"/>
      <w:numFmt w:val="bullet"/>
      <w:suff w:val="tab"/>
      <w:lvlText w:val="o"/>
      <w:lvlJc w:val="left"/>
      <w:pPr>
        <w:ind w:hanging="360" w:left="5624"/>
      </w:pPr>
      <w:rPr>
        <w:rFonts w:ascii="Courier New" w:hAnsi="Courier New" w:cs="Courier New" w:hint="default"/>
      </w:rPr>
    </w:lvl>
    <w:lvl w:ilvl="5" w:tplc="041D0005">
      <w:start w:val="1"/>
      <w:numFmt w:val="bullet"/>
      <w:suff w:val="tab"/>
      <w:lvlText w:val=""/>
      <w:lvlJc w:val="left"/>
      <w:pPr>
        <w:ind w:hanging="360" w:left="6344"/>
      </w:pPr>
      <w:rPr>
        <w:rFonts w:ascii="Wingdings" w:hAnsi="Wingdings" w:hint="default"/>
      </w:rPr>
    </w:lvl>
    <w:lvl w:ilvl="6" w:tplc="041D0001">
      <w:start w:val="1"/>
      <w:numFmt w:val="bullet"/>
      <w:suff w:val="tab"/>
      <w:lvlText w:val=""/>
      <w:lvlJc w:val="left"/>
      <w:pPr>
        <w:ind w:hanging="360" w:left="7064"/>
      </w:pPr>
      <w:rPr>
        <w:rFonts w:ascii="Symbol" w:hAnsi="Symbol" w:hint="default"/>
      </w:rPr>
    </w:lvl>
    <w:lvl w:ilvl="7" w:tplc="041D0003">
      <w:start w:val="1"/>
      <w:numFmt w:val="bullet"/>
      <w:suff w:val="tab"/>
      <w:lvlText w:val="o"/>
      <w:lvlJc w:val="left"/>
      <w:pPr>
        <w:ind w:hanging="360" w:left="7784"/>
      </w:pPr>
      <w:rPr>
        <w:rFonts w:ascii="Courier New" w:hAnsi="Courier New" w:cs="Courier New" w:hint="default"/>
      </w:rPr>
    </w:lvl>
    <w:lvl w:ilvl="8" w:tplc="041D0005">
      <w:start w:val="1"/>
      <w:numFmt w:val="bullet"/>
      <w:suff w:val="tab"/>
      <w:lvlText w:val=""/>
      <w:lvlJc w:val="left"/>
      <w:pPr>
        <w:ind w:hanging="360" w:left="8504"/>
      </w:pPr>
      <w:rPr>
        <w:rFonts w:ascii="Wingdings" w:hAnsi="Wingdings" w:hint="default"/>
      </w:rPr>
    </w:lvl>
  </w:abstractNum>
  <w:abstractNum w:abstractNumId="6">
    <w:nsid w:val="2C4217C9"/>
    <w:multiLevelType w:val="hybridMultilevel"/>
    <w:lvl w:ilvl="0" w:tplc="041D0001">
      <w:start w:val="1"/>
      <w:numFmt w:val="bullet"/>
      <w:suff w:val="tab"/>
      <w:lvlText w:val=""/>
      <w:lvlJc w:val="left"/>
      <w:pPr>
        <w:ind w:hanging="360" w:left="2421"/>
      </w:pPr>
      <w:rPr>
        <w:rFonts w:ascii="Symbol" w:hAnsi="Symbol" w:hint="default"/>
      </w:rPr>
    </w:lvl>
    <w:lvl w:ilvl="1" w:tplc="041D0003">
      <w:start w:val="1"/>
      <w:numFmt w:val="bullet"/>
      <w:suff w:val="tab"/>
      <w:lvlText w:val="o"/>
      <w:lvlJc w:val="left"/>
      <w:pPr>
        <w:ind w:hanging="360" w:left="3141"/>
      </w:pPr>
      <w:rPr>
        <w:rFonts w:ascii="Courier New" w:hAnsi="Courier New" w:cs="Courier New" w:hint="default"/>
      </w:rPr>
    </w:lvl>
    <w:lvl w:ilvl="2" w:tplc="041D0005">
      <w:start w:val="1"/>
      <w:numFmt w:val="bullet"/>
      <w:suff w:val="tab"/>
      <w:lvlText w:val=""/>
      <w:lvlJc w:val="left"/>
      <w:pPr>
        <w:ind w:hanging="360" w:left="3861"/>
      </w:pPr>
      <w:rPr>
        <w:rFonts w:ascii="Wingdings" w:hAnsi="Wingdings" w:hint="default"/>
      </w:rPr>
    </w:lvl>
    <w:lvl w:ilvl="3" w:tplc="041D0001">
      <w:start w:val="1"/>
      <w:numFmt w:val="bullet"/>
      <w:suff w:val="tab"/>
      <w:lvlText w:val=""/>
      <w:lvlJc w:val="left"/>
      <w:pPr>
        <w:ind w:hanging="360" w:left="4581"/>
      </w:pPr>
      <w:rPr>
        <w:rFonts w:ascii="Symbol" w:hAnsi="Symbol" w:hint="default"/>
      </w:rPr>
    </w:lvl>
    <w:lvl w:ilvl="4" w:tplc="041D0003">
      <w:start w:val="1"/>
      <w:numFmt w:val="bullet"/>
      <w:suff w:val="tab"/>
      <w:lvlText w:val="o"/>
      <w:lvlJc w:val="left"/>
      <w:pPr>
        <w:ind w:hanging="360" w:left="5301"/>
      </w:pPr>
      <w:rPr>
        <w:rFonts w:ascii="Courier New" w:hAnsi="Courier New" w:cs="Courier New" w:hint="default"/>
      </w:rPr>
    </w:lvl>
    <w:lvl w:ilvl="5" w:tplc="041D0005">
      <w:start w:val="1"/>
      <w:numFmt w:val="bullet"/>
      <w:suff w:val="tab"/>
      <w:lvlText w:val=""/>
      <w:lvlJc w:val="left"/>
      <w:pPr>
        <w:ind w:hanging="360" w:left="6021"/>
      </w:pPr>
      <w:rPr>
        <w:rFonts w:ascii="Wingdings" w:hAnsi="Wingdings" w:hint="default"/>
      </w:rPr>
    </w:lvl>
    <w:lvl w:ilvl="6" w:tplc="041D0001">
      <w:start w:val="1"/>
      <w:numFmt w:val="bullet"/>
      <w:suff w:val="tab"/>
      <w:lvlText w:val=""/>
      <w:lvlJc w:val="left"/>
      <w:pPr>
        <w:ind w:hanging="360" w:left="6741"/>
      </w:pPr>
      <w:rPr>
        <w:rFonts w:ascii="Symbol" w:hAnsi="Symbol" w:hint="default"/>
      </w:rPr>
    </w:lvl>
    <w:lvl w:ilvl="7" w:tplc="041D0003">
      <w:start w:val="1"/>
      <w:numFmt w:val="bullet"/>
      <w:suff w:val="tab"/>
      <w:lvlText w:val="o"/>
      <w:lvlJc w:val="left"/>
      <w:pPr>
        <w:ind w:hanging="360" w:left="7461"/>
      </w:pPr>
      <w:rPr>
        <w:rFonts w:ascii="Courier New" w:hAnsi="Courier New" w:cs="Courier New" w:hint="default"/>
      </w:rPr>
    </w:lvl>
    <w:lvl w:ilvl="8" w:tplc="041D0005">
      <w:start w:val="1"/>
      <w:numFmt w:val="bullet"/>
      <w:suff w:val="tab"/>
      <w:lvlText w:val=""/>
      <w:lvlJc w:val="left"/>
      <w:pPr>
        <w:ind w:hanging="360" w:left="8181"/>
      </w:pPr>
      <w:rPr>
        <w:rFonts w:ascii="Wingdings" w:hAnsi="Wingdings" w:hint="default"/>
      </w:rPr>
    </w:lvl>
  </w:abstractNum>
  <w:abstractNum w:abstractNumId="7">
    <w:nsid w:val="2F5039DD"/>
    <w:multiLevelType w:val="hybridMultilevel"/>
    <w:lvl w:ilvl="0" w:tplc="F746CB04">
      <w:start w:val="1"/>
      <w:numFmt w:val="bullet"/>
      <w:suff w:val="tab"/>
      <w:lvlText w:val="-"/>
      <w:lvlJc w:val="left"/>
      <w:pPr>
        <w:ind w:hanging="360" w:left="720"/>
      </w:pPr>
      <w:rPr>
        <w:rFonts w:ascii="Arial" w:hAnsi="Arial" w:cs="Arial" w:eastAsia="Times New Roman" w:hint="default"/>
      </w:rPr>
    </w:lvl>
    <w:lvl w:ilvl="1" w:tplc="10000003">
      <w:start w:val="1"/>
      <w:numFmt w:val="bullet"/>
      <w:suff w:val="tab"/>
      <w:lvlText w:val="o"/>
      <w:lvlJc w:val="left"/>
      <w:pPr>
        <w:ind w:hanging="360" w:left="1440"/>
      </w:pPr>
      <w:rPr>
        <w:rFonts w:ascii="Courier New" w:hAnsi="Courier New" w:cs="Courier New" w:hint="default"/>
      </w:rPr>
    </w:lvl>
    <w:lvl w:ilvl="2" w:tplc="10000005">
      <w:start w:val="1"/>
      <w:numFmt w:val="bullet"/>
      <w:suff w:val="tab"/>
      <w:lvlText w:val=""/>
      <w:lvlJc w:val="left"/>
      <w:pPr>
        <w:ind w:hanging="360" w:left="2160"/>
      </w:pPr>
      <w:rPr>
        <w:rFonts w:ascii="Wingdings" w:hAnsi="Wingdings" w:hint="default"/>
      </w:rPr>
    </w:lvl>
    <w:lvl w:ilvl="3" w:tplc="10000001">
      <w:start w:val="1"/>
      <w:numFmt w:val="bullet"/>
      <w:suff w:val="tab"/>
      <w:lvlText w:val=""/>
      <w:lvlJc w:val="left"/>
      <w:pPr>
        <w:ind w:hanging="360" w:left="2880"/>
      </w:pPr>
      <w:rPr>
        <w:rFonts w:ascii="Symbol" w:hAnsi="Symbol" w:hint="default"/>
      </w:rPr>
    </w:lvl>
    <w:lvl w:ilvl="4" w:tplc="10000003">
      <w:start w:val="1"/>
      <w:numFmt w:val="bullet"/>
      <w:suff w:val="tab"/>
      <w:lvlText w:val="o"/>
      <w:lvlJc w:val="left"/>
      <w:pPr>
        <w:ind w:hanging="360" w:left="3600"/>
      </w:pPr>
      <w:rPr>
        <w:rFonts w:ascii="Courier New" w:hAnsi="Courier New" w:cs="Courier New" w:hint="default"/>
      </w:rPr>
    </w:lvl>
    <w:lvl w:ilvl="5" w:tplc="10000005">
      <w:start w:val="1"/>
      <w:numFmt w:val="bullet"/>
      <w:suff w:val="tab"/>
      <w:lvlText w:val=""/>
      <w:lvlJc w:val="left"/>
      <w:pPr>
        <w:ind w:hanging="360" w:left="4320"/>
      </w:pPr>
      <w:rPr>
        <w:rFonts w:ascii="Wingdings" w:hAnsi="Wingdings" w:hint="default"/>
      </w:rPr>
    </w:lvl>
    <w:lvl w:ilvl="6" w:tplc="10000001">
      <w:start w:val="1"/>
      <w:numFmt w:val="bullet"/>
      <w:suff w:val="tab"/>
      <w:lvlText w:val=""/>
      <w:lvlJc w:val="left"/>
      <w:pPr>
        <w:ind w:hanging="360" w:left="5040"/>
      </w:pPr>
      <w:rPr>
        <w:rFonts w:ascii="Symbol" w:hAnsi="Symbol" w:hint="default"/>
      </w:rPr>
    </w:lvl>
    <w:lvl w:ilvl="7" w:tplc="10000003">
      <w:start w:val="1"/>
      <w:numFmt w:val="bullet"/>
      <w:suff w:val="tab"/>
      <w:lvlText w:val="o"/>
      <w:lvlJc w:val="left"/>
      <w:pPr>
        <w:ind w:hanging="360" w:left="5760"/>
      </w:pPr>
      <w:rPr>
        <w:rFonts w:ascii="Courier New" w:hAnsi="Courier New" w:cs="Courier New" w:hint="default"/>
      </w:rPr>
    </w:lvl>
    <w:lvl w:ilvl="8" w:tplc="10000005">
      <w:start w:val="1"/>
      <w:numFmt w:val="bullet"/>
      <w:suff w:val="tab"/>
      <w:lvlText w:val=""/>
      <w:lvlJc w:val="left"/>
      <w:pPr>
        <w:ind w:hanging="360" w:left="6480"/>
      </w:pPr>
      <w:rPr>
        <w:rFonts w:ascii="Wingdings" w:hAnsi="Wingdings" w:hint="default"/>
      </w:rPr>
    </w:lvl>
  </w:abstractNum>
  <w:abstractNum w:abstractNumId="8">
    <w:nsid w:val="3C3F0AA7"/>
    <w:multiLevelType w:val="hybridMultilevel"/>
    <w:lvl w:ilvl="0" w:tplc="041D0001">
      <w:start w:val="1"/>
      <w:numFmt w:val="bullet"/>
      <w:suff w:val="tab"/>
      <w:lvlText w:val=""/>
      <w:lvlJc w:val="left"/>
      <w:pPr>
        <w:ind w:hanging="360" w:left="2421"/>
      </w:pPr>
      <w:rPr>
        <w:rFonts w:ascii="Symbol" w:hAnsi="Symbol" w:hint="default"/>
      </w:rPr>
    </w:lvl>
    <w:lvl w:ilvl="1" w:tplc="041D0003">
      <w:start w:val="1"/>
      <w:numFmt w:val="bullet"/>
      <w:suff w:val="tab"/>
      <w:lvlText w:val="o"/>
      <w:lvlJc w:val="left"/>
      <w:pPr>
        <w:ind w:hanging="360" w:left="3141"/>
      </w:pPr>
      <w:rPr>
        <w:rFonts w:ascii="Courier New" w:hAnsi="Courier New" w:cs="Courier New" w:hint="default"/>
      </w:rPr>
    </w:lvl>
    <w:lvl w:ilvl="2" w:tplc="041D0005">
      <w:start w:val="1"/>
      <w:numFmt w:val="bullet"/>
      <w:suff w:val="tab"/>
      <w:lvlText w:val=""/>
      <w:lvlJc w:val="left"/>
      <w:pPr>
        <w:ind w:hanging="360" w:left="3861"/>
      </w:pPr>
      <w:rPr>
        <w:rFonts w:ascii="Wingdings" w:hAnsi="Wingdings" w:hint="default"/>
      </w:rPr>
    </w:lvl>
    <w:lvl w:ilvl="3" w:tplc="041D0001">
      <w:start w:val="1"/>
      <w:numFmt w:val="bullet"/>
      <w:suff w:val="tab"/>
      <w:lvlText w:val=""/>
      <w:lvlJc w:val="left"/>
      <w:pPr>
        <w:ind w:hanging="360" w:left="4581"/>
      </w:pPr>
      <w:rPr>
        <w:rFonts w:ascii="Symbol" w:hAnsi="Symbol" w:hint="default"/>
      </w:rPr>
    </w:lvl>
    <w:lvl w:ilvl="4" w:tplc="041D0003">
      <w:start w:val="1"/>
      <w:numFmt w:val="bullet"/>
      <w:suff w:val="tab"/>
      <w:lvlText w:val="o"/>
      <w:lvlJc w:val="left"/>
      <w:pPr>
        <w:ind w:hanging="360" w:left="5301"/>
      </w:pPr>
      <w:rPr>
        <w:rFonts w:ascii="Courier New" w:hAnsi="Courier New" w:cs="Courier New" w:hint="default"/>
      </w:rPr>
    </w:lvl>
    <w:lvl w:ilvl="5" w:tplc="041D0005">
      <w:start w:val="1"/>
      <w:numFmt w:val="bullet"/>
      <w:suff w:val="tab"/>
      <w:lvlText w:val=""/>
      <w:lvlJc w:val="left"/>
      <w:pPr>
        <w:ind w:hanging="360" w:left="6021"/>
      </w:pPr>
      <w:rPr>
        <w:rFonts w:ascii="Wingdings" w:hAnsi="Wingdings" w:hint="default"/>
      </w:rPr>
    </w:lvl>
    <w:lvl w:ilvl="6" w:tplc="041D0001">
      <w:start w:val="1"/>
      <w:numFmt w:val="bullet"/>
      <w:suff w:val="tab"/>
      <w:lvlText w:val=""/>
      <w:lvlJc w:val="left"/>
      <w:pPr>
        <w:ind w:hanging="360" w:left="6741"/>
      </w:pPr>
      <w:rPr>
        <w:rFonts w:ascii="Symbol" w:hAnsi="Symbol" w:hint="default"/>
      </w:rPr>
    </w:lvl>
    <w:lvl w:ilvl="7" w:tplc="041D0003">
      <w:start w:val="1"/>
      <w:numFmt w:val="bullet"/>
      <w:suff w:val="tab"/>
      <w:lvlText w:val="o"/>
      <w:lvlJc w:val="left"/>
      <w:pPr>
        <w:ind w:hanging="360" w:left="7461"/>
      </w:pPr>
      <w:rPr>
        <w:rFonts w:ascii="Courier New" w:hAnsi="Courier New" w:cs="Courier New" w:hint="default"/>
      </w:rPr>
    </w:lvl>
    <w:lvl w:ilvl="8" w:tplc="041D0005">
      <w:start w:val="1"/>
      <w:numFmt w:val="bullet"/>
      <w:suff w:val="tab"/>
      <w:lvlText w:val=""/>
      <w:lvlJc w:val="left"/>
      <w:pPr>
        <w:ind w:hanging="360" w:left="8181"/>
      </w:pPr>
      <w:rPr>
        <w:rFonts w:ascii="Wingdings" w:hAnsi="Wingdings" w:hint="default"/>
      </w:rPr>
    </w:lvl>
  </w:abstractNum>
  <w:abstractNum w:abstractNumId="9">
    <w:nsid w:val="3C460070"/>
    <w:multiLevelType w:val="multilevel"/>
    <w:lvl w:ilvl="0">
      <w:start w:val="1"/>
      <w:numFmt w:val="bullet"/>
      <w:suff w:val="tab"/>
      <w:lvlText w:val=""/>
      <w:lvlJc w:val="left"/>
      <w:pPr>
        <w:ind w:hanging="360" w:left="720"/>
        <w:tabs>
          <w:tab w:val="num" w:pos="720" w:leader="none"/>
        </w:tabs>
      </w:pPr>
      <w:rPr>
        <w:rFonts w:ascii="Symbol" w:hAnsi="Symbol" w:hint="default"/>
        <w:sz w:val="20"/>
      </w:rPr>
    </w:lvl>
    <w:lvl w:ilvl="1">
      <w:start w:val="1"/>
      <w:numFmt w:val="bullet"/>
      <w:suff w:val="tab"/>
      <w:lvlText w:val=""/>
      <w:lvlJc w:val="left"/>
      <w:pPr>
        <w:ind w:hanging="360" w:left="1440"/>
        <w:tabs>
          <w:tab w:val="num" w:pos="1440" w:leader="none"/>
        </w:tabs>
      </w:pPr>
      <w:rPr>
        <w:rFonts w:ascii="Symbol" w:hAnsi="Symbol" w:hint="default"/>
        <w:sz w:val="20"/>
      </w:rPr>
    </w:lvl>
    <w:lvl w:ilvl="2">
      <w:start w:val="1"/>
      <w:numFmt w:val="bullet"/>
      <w:suff w:val="tab"/>
      <w:lvlText w:val=""/>
      <w:lvlJc w:val="left"/>
      <w:pPr>
        <w:ind w:hanging="360" w:left="2160"/>
        <w:tabs>
          <w:tab w:val="num" w:pos="2160" w:leader="none"/>
        </w:tabs>
      </w:pPr>
      <w:rPr>
        <w:rFonts w:ascii="Symbol" w:hAnsi="Symbol" w:hint="default"/>
        <w:sz w:val="20"/>
      </w:rPr>
    </w:lvl>
    <w:lvl w:ilvl="3">
      <w:start w:val="1"/>
      <w:numFmt w:val="bullet"/>
      <w:suff w:val="tab"/>
      <w:lvlText w:val=""/>
      <w:lvlJc w:val="left"/>
      <w:pPr>
        <w:ind w:hanging="360" w:left="2880"/>
        <w:tabs>
          <w:tab w:val="num" w:pos="2880" w:leader="none"/>
        </w:tabs>
      </w:pPr>
      <w:rPr>
        <w:rFonts w:ascii="Symbol" w:hAnsi="Symbol" w:hint="default"/>
        <w:sz w:val="20"/>
      </w:rPr>
    </w:lvl>
    <w:lvl w:ilvl="4">
      <w:start w:val="1"/>
      <w:numFmt w:val="bullet"/>
      <w:suff w:val="tab"/>
      <w:lvlText w:val=""/>
      <w:lvlJc w:val="left"/>
      <w:pPr>
        <w:ind w:hanging="360" w:left="3600"/>
        <w:tabs>
          <w:tab w:val="num" w:pos="3600" w:leader="none"/>
        </w:tabs>
      </w:pPr>
      <w:rPr>
        <w:rFonts w:ascii="Symbol" w:hAnsi="Symbol" w:hint="default"/>
        <w:sz w:val="20"/>
      </w:rPr>
    </w:lvl>
    <w:lvl w:ilvl="5">
      <w:start w:val="1"/>
      <w:numFmt w:val="bullet"/>
      <w:suff w:val="tab"/>
      <w:lvlText w:val=""/>
      <w:lvlJc w:val="left"/>
      <w:pPr>
        <w:ind w:hanging="360" w:left="4320"/>
        <w:tabs>
          <w:tab w:val="num" w:pos="4320" w:leader="none"/>
        </w:tabs>
      </w:pPr>
      <w:rPr>
        <w:rFonts w:ascii="Symbol" w:hAnsi="Symbol" w:hint="default"/>
        <w:sz w:val="20"/>
      </w:rPr>
    </w:lvl>
    <w:lvl w:ilvl="6">
      <w:start w:val="1"/>
      <w:numFmt w:val="bullet"/>
      <w:suff w:val="tab"/>
      <w:lvlText w:val=""/>
      <w:lvlJc w:val="left"/>
      <w:pPr>
        <w:ind w:hanging="360" w:left="5040"/>
        <w:tabs>
          <w:tab w:val="num" w:pos="5040" w:leader="none"/>
        </w:tabs>
      </w:pPr>
      <w:rPr>
        <w:rFonts w:ascii="Symbol" w:hAnsi="Symbol" w:hint="default"/>
        <w:sz w:val="20"/>
      </w:rPr>
    </w:lvl>
    <w:lvl w:ilvl="7">
      <w:start w:val="1"/>
      <w:numFmt w:val="bullet"/>
      <w:suff w:val="tab"/>
      <w:lvlText w:val=""/>
      <w:lvlJc w:val="left"/>
      <w:pPr>
        <w:ind w:hanging="360" w:left="5760"/>
        <w:tabs>
          <w:tab w:val="num" w:pos="5760" w:leader="none"/>
        </w:tabs>
      </w:pPr>
      <w:rPr>
        <w:rFonts w:ascii="Symbol" w:hAnsi="Symbol" w:hint="default"/>
        <w:sz w:val="20"/>
      </w:rPr>
    </w:lvl>
    <w:lvl w:ilvl="8">
      <w:start w:val="1"/>
      <w:numFmt w:val="bullet"/>
      <w:suff w:val="tab"/>
      <w:lvlText w:val=""/>
      <w:lvlJc w:val="left"/>
      <w:pPr>
        <w:ind w:hanging="360" w:left="6480"/>
        <w:tabs>
          <w:tab w:val="num" w:pos="6480" w:leader="none"/>
        </w:tabs>
      </w:pPr>
      <w:rPr>
        <w:rFonts w:ascii="Symbol" w:hAnsi="Symbol" w:hint="default"/>
        <w:sz w:val="20"/>
      </w:rPr>
    </w:lvl>
  </w:abstractNum>
  <w:abstractNum w:abstractNumId="10">
    <w:nsid w:val="4AC36F45"/>
    <w:multiLevelType w:val="hybridMultilevel"/>
    <w:lvl w:ilvl="0" w:tplc="057E347C">
      <w:start w:val="1"/>
      <w:numFmt w:val="bullet"/>
      <w:suff w:val="tab"/>
      <w:lvlText w:val=""/>
      <w:lvlJc w:val="left"/>
      <w:pPr>
        <w:ind w:hanging="360" w:left="2964"/>
        <w:tabs>
          <w:tab w:val="num" w:pos="2964" w:leader="none"/>
        </w:tabs>
      </w:pPr>
      <w:rPr>
        <w:rFonts w:ascii="Symbol" w:hAnsi="Symbol" w:hint="default"/>
        <w:sz w:val="20"/>
        <w:szCs w:val="20"/>
      </w:rPr>
    </w:lvl>
    <w:lvl w:ilvl="1" w:tplc="041D0003">
      <w:start w:val="1"/>
      <w:numFmt w:val="bullet"/>
      <w:suff w:val="tab"/>
      <w:lvlText w:val="o"/>
      <w:lvlJc w:val="left"/>
      <w:pPr>
        <w:ind w:hanging="360" w:left="3684"/>
        <w:tabs>
          <w:tab w:val="num" w:pos="3684" w:leader="none"/>
        </w:tabs>
      </w:pPr>
      <w:rPr>
        <w:rFonts w:ascii="Courier New" w:hAnsi="Courier New" w:cs="Courier New" w:hint="default"/>
      </w:rPr>
    </w:lvl>
    <w:lvl w:ilvl="2" w:tplc="041D0005">
      <w:start w:val="1"/>
      <w:numFmt w:val="bullet"/>
      <w:suff w:val="tab"/>
      <w:lvlText w:val=""/>
      <w:lvlJc w:val="left"/>
      <w:pPr>
        <w:ind w:hanging="360" w:left="4404"/>
        <w:tabs>
          <w:tab w:val="num" w:pos="4404" w:leader="none"/>
        </w:tabs>
      </w:pPr>
      <w:rPr>
        <w:rFonts w:ascii="Wingdings" w:hAnsi="Wingdings" w:hint="default"/>
      </w:rPr>
    </w:lvl>
    <w:lvl w:ilvl="3" w:tplc="041D0001">
      <w:start w:val="1"/>
      <w:numFmt w:val="bullet"/>
      <w:suff w:val="tab"/>
      <w:lvlText w:val=""/>
      <w:lvlJc w:val="left"/>
      <w:pPr>
        <w:ind w:hanging="360" w:left="5124"/>
        <w:tabs>
          <w:tab w:val="num" w:pos="5124" w:leader="none"/>
        </w:tabs>
      </w:pPr>
      <w:rPr>
        <w:rFonts w:ascii="Symbol" w:hAnsi="Symbol" w:hint="default"/>
      </w:rPr>
    </w:lvl>
    <w:lvl w:ilvl="4" w:tplc="041D0003">
      <w:start w:val="1"/>
      <w:numFmt w:val="bullet"/>
      <w:suff w:val="tab"/>
      <w:lvlText w:val="o"/>
      <w:lvlJc w:val="left"/>
      <w:pPr>
        <w:ind w:hanging="360" w:left="5844"/>
        <w:tabs>
          <w:tab w:val="num" w:pos="5844" w:leader="none"/>
        </w:tabs>
      </w:pPr>
      <w:rPr>
        <w:rFonts w:ascii="Courier New" w:hAnsi="Courier New" w:cs="Courier New" w:hint="default"/>
      </w:rPr>
    </w:lvl>
    <w:lvl w:ilvl="5" w:tplc="041D0005">
      <w:start w:val="1"/>
      <w:numFmt w:val="bullet"/>
      <w:suff w:val="tab"/>
      <w:lvlText w:val=""/>
      <w:lvlJc w:val="left"/>
      <w:pPr>
        <w:ind w:hanging="360" w:left="6564"/>
        <w:tabs>
          <w:tab w:val="num" w:pos="6564" w:leader="none"/>
        </w:tabs>
      </w:pPr>
      <w:rPr>
        <w:rFonts w:ascii="Wingdings" w:hAnsi="Wingdings" w:hint="default"/>
      </w:rPr>
    </w:lvl>
    <w:lvl w:ilvl="6" w:tplc="041D0001">
      <w:start w:val="1"/>
      <w:numFmt w:val="bullet"/>
      <w:suff w:val="tab"/>
      <w:lvlText w:val=""/>
      <w:lvlJc w:val="left"/>
      <w:pPr>
        <w:ind w:hanging="360" w:left="7284"/>
        <w:tabs>
          <w:tab w:val="num" w:pos="7284" w:leader="none"/>
        </w:tabs>
      </w:pPr>
      <w:rPr>
        <w:rFonts w:ascii="Symbol" w:hAnsi="Symbol" w:hint="default"/>
      </w:rPr>
    </w:lvl>
    <w:lvl w:ilvl="7" w:tplc="041D0003">
      <w:start w:val="1"/>
      <w:numFmt w:val="bullet"/>
      <w:suff w:val="tab"/>
      <w:lvlText w:val="o"/>
      <w:lvlJc w:val="left"/>
      <w:pPr>
        <w:ind w:hanging="360" w:left="8004"/>
        <w:tabs>
          <w:tab w:val="num" w:pos="8004" w:leader="none"/>
        </w:tabs>
      </w:pPr>
      <w:rPr>
        <w:rFonts w:ascii="Courier New" w:hAnsi="Courier New" w:cs="Courier New" w:hint="default"/>
      </w:rPr>
    </w:lvl>
    <w:lvl w:ilvl="8" w:tplc="041D0005">
      <w:start w:val="1"/>
      <w:numFmt w:val="bullet"/>
      <w:suff w:val="tab"/>
      <w:lvlText w:val=""/>
      <w:lvlJc w:val="left"/>
      <w:pPr>
        <w:ind w:hanging="360" w:left="8724"/>
        <w:tabs>
          <w:tab w:val="num" w:pos="8724" w:leader="none"/>
        </w:tabs>
      </w:pPr>
      <w:rPr>
        <w:rFonts w:ascii="Wingdings" w:hAnsi="Wingdings" w:hint="default"/>
      </w:rPr>
    </w:lvl>
  </w:abstractNum>
  <w:abstractNum w:abstractNumId="11">
    <w:nsid w:val="4D115803"/>
    <w:multiLevelType w:val="hybridMultilevel"/>
    <w:lvl w:ilvl="0" w:tplc="041D0001">
      <w:start w:val="1"/>
      <w:numFmt w:val="bullet"/>
      <w:suff w:val="tab"/>
      <w:lvlText w:val=""/>
      <w:lvlJc w:val="left"/>
      <w:pPr>
        <w:ind w:hanging="360" w:left="2421"/>
      </w:pPr>
      <w:rPr>
        <w:rFonts w:ascii="Symbol" w:hAnsi="Symbol" w:hint="default"/>
      </w:rPr>
    </w:lvl>
    <w:lvl w:ilvl="1" w:tplc="041D0003">
      <w:start w:val="1"/>
      <w:numFmt w:val="bullet"/>
      <w:suff w:val="tab"/>
      <w:lvlText w:val="o"/>
      <w:lvlJc w:val="left"/>
      <w:pPr>
        <w:ind w:hanging="360" w:left="3141"/>
      </w:pPr>
      <w:rPr>
        <w:rFonts w:ascii="Courier New" w:hAnsi="Courier New" w:cs="Courier New" w:hint="default"/>
      </w:rPr>
    </w:lvl>
    <w:lvl w:ilvl="2" w:tplc="041D0005">
      <w:start w:val="1"/>
      <w:numFmt w:val="bullet"/>
      <w:suff w:val="tab"/>
      <w:lvlText w:val=""/>
      <w:lvlJc w:val="left"/>
      <w:pPr>
        <w:ind w:hanging="360" w:left="3861"/>
      </w:pPr>
      <w:rPr>
        <w:rFonts w:ascii="Wingdings" w:hAnsi="Wingdings" w:hint="default"/>
      </w:rPr>
    </w:lvl>
    <w:lvl w:ilvl="3" w:tplc="041D0001">
      <w:start w:val="1"/>
      <w:numFmt w:val="bullet"/>
      <w:suff w:val="tab"/>
      <w:lvlText w:val=""/>
      <w:lvlJc w:val="left"/>
      <w:pPr>
        <w:ind w:hanging="360" w:left="4581"/>
      </w:pPr>
      <w:rPr>
        <w:rFonts w:ascii="Symbol" w:hAnsi="Symbol" w:hint="default"/>
      </w:rPr>
    </w:lvl>
    <w:lvl w:ilvl="4" w:tplc="041D0003">
      <w:start w:val="1"/>
      <w:numFmt w:val="bullet"/>
      <w:suff w:val="tab"/>
      <w:lvlText w:val="o"/>
      <w:lvlJc w:val="left"/>
      <w:pPr>
        <w:ind w:hanging="360" w:left="5301"/>
      </w:pPr>
      <w:rPr>
        <w:rFonts w:ascii="Courier New" w:hAnsi="Courier New" w:cs="Courier New" w:hint="default"/>
      </w:rPr>
    </w:lvl>
    <w:lvl w:ilvl="5" w:tplc="041D0005">
      <w:start w:val="1"/>
      <w:numFmt w:val="bullet"/>
      <w:suff w:val="tab"/>
      <w:lvlText w:val=""/>
      <w:lvlJc w:val="left"/>
      <w:pPr>
        <w:ind w:hanging="360" w:left="6021"/>
      </w:pPr>
      <w:rPr>
        <w:rFonts w:ascii="Wingdings" w:hAnsi="Wingdings" w:hint="default"/>
      </w:rPr>
    </w:lvl>
    <w:lvl w:ilvl="6" w:tplc="041D0001">
      <w:start w:val="1"/>
      <w:numFmt w:val="bullet"/>
      <w:suff w:val="tab"/>
      <w:lvlText w:val=""/>
      <w:lvlJc w:val="left"/>
      <w:pPr>
        <w:ind w:hanging="360" w:left="6741"/>
      </w:pPr>
      <w:rPr>
        <w:rFonts w:ascii="Symbol" w:hAnsi="Symbol" w:hint="default"/>
      </w:rPr>
    </w:lvl>
    <w:lvl w:ilvl="7" w:tplc="041D0003">
      <w:start w:val="1"/>
      <w:numFmt w:val="bullet"/>
      <w:suff w:val="tab"/>
      <w:lvlText w:val="o"/>
      <w:lvlJc w:val="left"/>
      <w:pPr>
        <w:ind w:hanging="360" w:left="7461"/>
      </w:pPr>
      <w:rPr>
        <w:rFonts w:ascii="Courier New" w:hAnsi="Courier New" w:cs="Courier New" w:hint="default"/>
      </w:rPr>
    </w:lvl>
    <w:lvl w:ilvl="8" w:tplc="041D0005">
      <w:start w:val="1"/>
      <w:numFmt w:val="bullet"/>
      <w:suff w:val="tab"/>
      <w:lvlText w:val=""/>
      <w:lvlJc w:val="left"/>
      <w:pPr>
        <w:ind w:hanging="360" w:left="8181"/>
      </w:pPr>
      <w:rPr>
        <w:rFonts w:ascii="Wingdings" w:hAnsi="Wingdings" w:hint="default"/>
      </w:rPr>
    </w:lvl>
  </w:abstractNum>
  <w:abstractNum w:abstractNumId="12">
    <w:nsid w:val="512B2033"/>
    <w:multiLevelType w:val="hybridMultilevel"/>
    <w:lvl w:ilvl="0" w:tplc="9CBEB3F0">
      <w:start w:val="1"/>
      <w:numFmt w:val="bullet"/>
      <w:suff w:val="tab"/>
      <w:lvlText w:val=""/>
      <w:lvlJc w:val="left"/>
      <w:pPr>
        <w:ind w:hanging="360" w:left="2421"/>
      </w:pPr>
      <w:rPr>
        <w:rFonts w:ascii="Symbol" w:hAnsi="Symbol" w:hint="default"/>
      </w:rPr>
    </w:lvl>
    <w:lvl w:ilvl="1" w:tplc="041D0003">
      <w:start w:val="1"/>
      <w:numFmt w:val="bullet"/>
      <w:suff w:val="tab"/>
      <w:lvlText w:val="o"/>
      <w:lvlJc w:val="left"/>
      <w:pPr>
        <w:ind w:hanging="360" w:left="3141"/>
      </w:pPr>
      <w:rPr>
        <w:rFonts w:ascii="Courier New" w:hAnsi="Courier New" w:cs="Courier New" w:hint="default"/>
      </w:rPr>
    </w:lvl>
    <w:lvl w:ilvl="2" w:tplc="041D0005">
      <w:start w:val="1"/>
      <w:numFmt w:val="bullet"/>
      <w:suff w:val="tab"/>
      <w:lvlText w:val=""/>
      <w:lvlJc w:val="left"/>
      <w:pPr>
        <w:ind w:hanging="360" w:left="3861"/>
      </w:pPr>
      <w:rPr>
        <w:rFonts w:ascii="Wingdings" w:hAnsi="Wingdings" w:hint="default"/>
      </w:rPr>
    </w:lvl>
    <w:lvl w:ilvl="3" w:tplc="041D0001">
      <w:start w:val="1"/>
      <w:numFmt w:val="bullet"/>
      <w:suff w:val="tab"/>
      <w:lvlText w:val=""/>
      <w:lvlJc w:val="left"/>
      <w:pPr>
        <w:ind w:hanging="360" w:left="4581"/>
      </w:pPr>
      <w:rPr>
        <w:rFonts w:ascii="Symbol" w:hAnsi="Symbol" w:hint="default"/>
      </w:rPr>
    </w:lvl>
    <w:lvl w:ilvl="4" w:tplc="041D0003">
      <w:start w:val="1"/>
      <w:numFmt w:val="bullet"/>
      <w:suff w:val="tab"/>
      <w:lvlText w:val="o"/>
      <w:lvlJc w:val="left"/>
      <w:pPr>
        <w:ind w:hanging="360" w:left="5301"/>
      </w:pPr>
      <w:rPr>
        <w:rFonts w:ascii="Courier New" w:hAnsi="Courier New" w:cs="Courier New" w:hint="default"/>
      </w:rPr>
    </w:lvl>
    <w:lvl w:ilvl="5" w:tplc="041D0005">
      <w:start w:val="1"/>
      <w:numFmt w:val="bullet"/>
      <w:suff w:val="tab"/>
      <w:lvlText w:val=""/>
      <w:lvlJc w:val="left"/>
      <w:pPr>
        <w:ind w:hanging="360" w:left="6021"/>
      </w:pPr>
      <w:rPr>
        <w:rFonts w:ascii="Wingdings" w:hAnsi="Wingdings" w:hint="default"/>
      </w:rPr>
    </w:lvl>
    <w:lvl w:ilvl="6" w:tplc="041D0001">
      <w:start w:val="1"/>
      <w:numFmt w:val="bullet"/>
      <w:suff w:val="tab"/>
      <w:lvlText w:val=""/>
      <w:lvlJc w:val="left"/>
      <w:pPr>
        <w:ind w:hanging="360" w:left="6741"/>
      </w:pPr>
      <w:rPr>
        <w:rFonts w:ascii="Symbol" w:hAnsi="Symbol" w:hint="default"/>
      </w:rPr>
    </w:lvl>
    <w:lvl w:ilvl="7" w:tplc="041D0003">
      <w:start w:val="1"/>
      <w:numFmt w:val="bullet"/>
      <w:suff w:val="tab"/>
      <w:lvlText w:val="o"/>
      <w:lvlJc w:val="left"/>
      <w:pPr>
        <w:ind w:hanging="360" w:left="7461"/>
      </w:pPr>
      <w:rPr>
        <w:rFonts w:ascii="Courier New" w:hAnsi="Courier New" w:cs="Courier New" w:hint="default"/>
      </w:rPr>
    </w:lvl>
    <w:lvl w:ilvl="8" w:tplc="041D0005">
      <w:start w:val="1"/>
      <w:numFmt w:val="bullet"/>
      <w:suff w:val="tab"/>
      <w:lvlText w:val=""/>
      <w:lvlJc w:val="left"/>
      <w:pPr>
        <w:ind w:hanging="360" w:left="8181"/>
      </w:pPr>
      <w:rPr>
        <w:rFonts w:ascii="Wingdings" w:hAnsi="Wingdings" w:hint="default"/>
      </w:rPr>
    </w:lvl>
  </w:abstractNum>
  <w:abstractNum w:abstractNumId="13">
    <w:nsid w:val="6AEA6C2E"/>
    <w:multiLevelType w:val="hybridMultilevel"/>
    <w:lvl w:ilvl="0" w:tplc="041D0001">
      <w:start w:val="1"/>
      <w:numFmt w:val="bullet"/>
      <w:suff w:val="tab"/>
      <w:lvlText w:val=""/>
      <w:lvlJc w:val="left"/>
      <w:pPr>
        <w:ind w:hanging="360" w:left="2421"/>
      </w:pPr>
      <w:rPr>
        <w:rFonts w:ascii="Symbol" w:hAnsi="Symbol" w:hint="default"/>
      </w:rPr>
    </w:lvl>
    <w:lvl w:ilvl="1" w:tplc="041D0003">
      <w:start w:val="1"/>
      <w:numFmt w:val="bullet"/>
      <w:suff w:val="tab"/>
      <w:lvlText w:val="o"/>
      <w:lvlJc w:val="left"/>
      <w:pPr>
        <w:ind w:hanging="360" w:left="3141"/>
      </w:pPr>
      <w:rPr>
        <w:rFonts w:ascii="Courier New" w:hAnsi="Courier New" w:cs="Courier New" w:hint="default"/>
      </w:rPr>
    </w:lvl>
    <w:lvl w:ilvl="2" w:tplc="041D0005">
      <w:start w:val="1"/>
      <w:numFmt w:val="bullet"/>
      <w:suff w:val="tab"/>
      <w:lvlText w:val=""/>
      <w:lvlJc w:val="left"/>
      <w:pPr>
        <w:ind w:hanging="360" w:left="3861"/>
      </w:pPr>
      <w:rPr>
        <w:rFonts w:ascii="Wingdings" w:hAnsi="Wingdings" w:hint="default"/>
      </w:rPr>
    </w:lvl>
    <w:lvl w:ilvl="3" w:tplc="041D0001">
      <w:start w:val="1"/>
      <w:numFmt w:val="bullet"/>
      <w:suff w:val="tab"/>
      <w:lvlText w:val=""/>
      <w:lvlJc w:val="left"/>
      <w:pPr>
        <w:ind w:hanging="360" w:left="4581"/>
      </w:pPr>
      <w:rPr>
        <w:rFonts w:ascii="Symbol" w:hAnsi="Symbol" w:hint="default"/>
      </w:rPr>
    </w:lvl>
    <w:lvl w:ilvl="4" w:tplc="041D0003">
      <w:start w:val="1"/>
      <w:numFmt w:val="bullet"/>
      <w:suff w:val="tab"/>
      <w:lvlText w:val="o"/>
      <w:lvlJc w:val="left"/>
      <w:pPr>
        <w:ind w:hanging="360" w:left="5301"/>
      </w:pPr>
      <w:rPr>
        <w:rFonts w:ascii="Courier New" w:hAnsi="Courier New" w:cs="Courier New" w:hint="default"/>
      </w:rPr>
    </w:lvl>
    <w:lvl w:ilvl="5" w:tplc="041D0005">
      <w:start w:val="1"/>
      <w:numFmt w:val="bullet"/>
      <w:suff w:val="tab"/>
      <w:lvlText w:val=""/>
      <w:lvlJc w:val="left"/>
      <w:pPr>
        <w:ind w:hanging="360" w:left="6021"/>
      </w:pPr>
      <w:rPr>
        <w:rFonts w:ascii="Wingdings" w:hAnsi="Wingdings" w:hint="default"/>
      </w:rPr>
    </w:lvl>
    <w:lvl w:ilvl="6" w:tplc="041D0001">
      <w:start w:val="1"/>
      <w:numFmt w:val="bullet"/>
      <w:suff w:val="tab"/>
      <w:lvlText w:val=""/>
      <w:lvlJc w:val="left"/>
      <w:pPr>
        <w:ind w:hanging="360" w:left="6741"/>
      </w:pPr>
      <w:rPr>
        <w:rFonts w:ascii="Symbol" w:hAnsi="Symbol" w:hint="default"/>
      </w:rPr>
    </w:lvl>
    <w:lvl w:ilvl="7" w:tplc="041D0003">
      <w:start w:val="1"/>
      <w:numFmt w:val="bullet"/>
      <w:suff w:val="tab"/>
      <w:lvlText w:val="o"/>
      <w:lvlJc w:val="left"/>
      <w:pPr>
        <w:ind w:hanging="360" w:left="7461"/>
      </w:pPr>
      <w:rPr>
        <w:rFonts w:ascii="Courier New" w:hAnsi="Courier New" w:cs="Courier New" w:hint="default"/>
      </w:rPr>
    </w:lvl>
    <w:lvl w:ilvl="8" w:tplc="041D0005">
      <w:start w:val="1"/>
      <w:numFmt w:val="bullet"/>
      <w:suff w:val="tab"/>
      <w:lvlText w:val=""/>
      <w:lvlJc w:val="left"/>
      <w:pPr>
        <w:ind w:hanging="360" w:left="8181"/>
      </w:pPr>
      <w:rPr>
        <w:rFonts w:ascii="Wingdings" w:hAnsi="Wingdings" w:hint="default"/>
      </w:rPr>
    </w:lvl>
  </w:abstractNum>
  <w:abstractNum w:abstractNumId="14">
    <w:nsid w:val="72851CE7"/>
    <w:multiLevelType w:val="hybridMultilevel"/>
    <w:lvl w:ilvl="0" w:tplc="041D0001">
      <w:start w:val="1"/>
      <w:numFmt w:val="bullet"/>
      <w:suff w:val="tab"/>
      <w:lvlText w:val=""/>
      <w:lvlJc w:val="left"/>
      <w:pPr>
        <w:ind w:hanging="360" w:left="1854"/>
      </w:pPr>
      <w:rPr>
        <w:rFonts w:ascii="Symbol" w:hAnsi="Symbol" w:hint="default"/>
      </w:rPr>
    </w:lvl>
    <w:lvl w:ilvl="1" w:tplc="041D0003">
      <w:start w:val="1"/>
      <w:numFmt w:val="bullet"/>
      <w:suff w:val="tab"/>
      <w:lvlText w:val="o"/>
      <w:lvlJc w:val="left"/>
      <w:pPr>
        <w:ind w:hanging="360" w:left="2574"/>
      </w:pPr>
      <w:rPr>
        <w:rFonts w:ascii="Courier New" w:hAnsi="Courier New" w:cs="Courier New" w:hint="default"/>
      </w:rPr>
    </w:lvl>
    <w:lvl w:ilvl="2" w:tplc="041D0005">
      <w:start w:val="1"/>
      <w:numFmt w:val="bullet"/>
      <w:suff w:val="tab"/>
      <w:lvlText w:val=""/>
      <w:lvlJc w:val="left"/>
      <w:pPr>
        <w:ind w:hanging="360" w:left="3294"/>
      </w:pPr>
      <w:rPr>
        <w:rFonts w:ascii="Wingdings" w:hAnsi="Wingdings" w:hint="default"/>
      </w:rPr>
    </w:lvl>
    <w:lvl w:ilvl="3" w:tplc="041D0001">
      <w:start w:val="1"/>
      <w:numFmt w:val="bullet"/>
      <w:suff w:val="tab"/>
      <w:lvlText w:val=""/>
      <w:lvlJc w:val="left"/>
      <w:pPr>
        <w:ind w:hanging="360" w:left="4014"/>
      </w:pPr>
      <w:rPr>
        <w:rFonts w:ascii="Symbol" w:hAnsi="Symbol" w:hint="default"/>
      </w:rPr>
    </w:lvl>
    <w:lvl w:ilvl="4" w:tplc="041D0003">
      <w:start w:val="1"/>
      <w:numFmt w:val="bullet"/>
      <w:suff w:val="tab"/>
      <w:lvlText w:val="o"/>
      <w:lvlJc w:val="left"/>
      <w:pPr>
        <w:ind w:hanging="360" w:left="4734"/>
      </w:pPr>
      <w:rPr>
        <w:rFonts w:ascii="Courier New" w:hAnsi="Courier New" w:cs="Courier New" w:hint="default"/>
      </w:rPr>
    </w:lvl>
    <w:lvl w:ilvl="5" w:tplc="041D0005">
      <w:start w:val="1"/>
      <w:numFmt w:val="bullet"/>
      <w:suff w:val="tab"/>
      <w:lvlText w:val=""/>
      <w:lvlJc w:val="left"/>
      <w:pPr>
        <w:ind w:hanging="360" w:left="5454"/>
      </w:pPr>
      <w:rPr>
        <w:rFonts w:ascii="Wingdings" w:hAnsi="Wingdings" w:hint="default"/>
      </w:rPr>
    </w:lvl>
    <w:lvl w:ilvl="6" w:tplc="041D0001">
      <w:start w:val="1"/>
      <w:numFmt w:val="bullet"/>
      <w:suff w:val="tab"/>
      <w:lvlText w:val=""/>
      <w:lvlJc w:val="left"/>
      <w:pPr>
        <w:ind w:hanging="360" w:left="6174"/>
      </w:pPr>
      <w:rPr>
        <w:rFonts w:ascii="Symbol" w:hAnsi="Symbol" w:hint="default"/>
      </w:rPr>
    </w:lvl>
    <w:lvl w:ilvl="7" w:tplc="041D0003">
      <w:start w:val="1"/>
      <w:numFmt w:val="bullet"/>
      <w:suff w:val="tab"/>
      <w:lvlText w:val="o"/>
      <w:lvlJc w:val="left"/>
      <w:pPr>
        <w:ind w:hanging="360" w:left="6894"/>
      </w:pPr>
      <w:rPr>
        <w:rFonts w:ascii="Courier New" w:hAnsi="Courier New" w:cs="Courier New" w:hint="default"/>
      </w:rPr>
    </w:lvl>
    <w:lvl w:ilvl="8" w:tplc="041D0005">
      <w:start w:val="1"/>
      <w:numFmt w:val="bullet"/>
      <w:suff w:val="tab"/>
      <w:lvlText w:val=""/>
      <w:lvlJc w:val="left"/>
      <w:pPr>
        <w:ind w:hanging="360" w:left="7614"/>
      </w:pPr>
      <w:rPr>
        <w:rFonts w:ascii="Wingdings" w:hAnsi="Wingdings" w:hint="default"/>
      </w:rPr>
    </w:lvl>
  </w:abstractNum>
  <w:abstractNum w:abstractNumId="15">
    <w:nsid w:val="775B27C6"/>
    <w:multiLevelType w:val="hybridMultilevel"/>
    <w:lvl w:ilvl="0" w:tplc="CCF8BAE6">
      <w:start w:val="0"/>
      <w:numFmt w:val="bullet"/>
      <w:suff w:val="tab"/>
      <w:lvlText w:val=""/>
      <w:lvlJc w:val="left"/>
      <w:pPr>
        <w:ind w:hanging="360" w:left="2061"/>
      </w:pPr>
      <w:rPr>
        <w:rFonts w:ascii="Calibri" w:hAnsi="Calibri" w:cs="Calibri" w:eastAsiaTheme="majorEastAsia" w:hint="default"/>
        <w:b w:val="1"/>
      </w:rPr>
    </w:lvl>
    <w:lvl w:ilvl="1" w:tplc="041D0003">
      <w:start w:val="1"/>
      <w:numFmt w:val="bullet"/>
      <w:suff w:val="tab"/>
      <w:lvlText w:val="o"/>
      <w:lvlJc w:val="left"/>
      <w:pPr>
        <w:ind w:hanging="360" w:left="2781"/>
      </w:pPr>
      <w:rPr>
        <w:rFonts w:ascii="Courier New" w:hAnsi="Courier New" w:cs="Courier New" w:hint="default"/>
      </w:rPr>
    </w:lvl>
    <w:lvl w:ilvl="2" w:tplc="041D0005">
      <w:start w:val="1"/>
      <w:numFmt w:val="bullet"/>
      <w:suff w:val="tab"/>
      <w:lvlText w:val=""/>
      <w:lvlJc w:val="left"/>
      <w:pPr>
        <w:ind w:hanging="360" w:left="3501"/>
      </w:pPr>
      <w:rPr>
        <w:rFonts w:ascii="Wingdings" w:hAnsi="Wingdings" w:hint="default"/>
      </w:rPr>
    </w:lvl>
    <w:lvl w:ilvl="3" w:tplc="041D0001">
      <w:start w:val="1"/>
      <w:numFmt w:val="bullet"/>
      <w:suff w:val="tab"/>
      <w:lvlText w:val=""/>
      <w:lvlJc w:val="left"/>
      <w:pPr>
        <w:ind w:hanging="360" w:left="4221"/>
      </w:pPr>
      <w:rPr>
        <w:rFonts w:ascii="Symbol" w:hAnsi="Symbol" w:hint="default"/>
      </w:rPr>
    </w:lvl>
    <w:lvl w:ilvl="4" w:tplc="041D0003">
      <w:start w:val="1"/>
      <w:numFmt w:val="bullet"/>
      <w:suff w:val="tab"/>
      <w:lvlText w:val="o"/>
      <w:lvlJc w:val="left"/>
      <w:pPr>
        <w:ind w:hanging="360" w:left="4941"/>
      </w:pPr>
      <w:rPr>
        <w:rFonts w:ascii="Courier New" w:hAnsi="Courier New" w:cs="Courier New" w:hint="default"/>
      </w:rPr>
    </w:lvl>
    <w:lvl w:ilvl="5" w:tplc="041D0005">
      <w:start w:val="1"/>
      <w:numFmt w:val="bullet"/>
      <w:suff w:val="tab"/>
      <w:lvlText w:val=""/>
      <w:lvlJc w:val="left"/>
      <w:pPr>
        <w:ind w:hanging="360" w:left="5661"/>
      </w:pPr>
      <w:rPr>
        <w:rFonts w:ascii="Wingdings" w:hAnsi="Wingdings" w:hint="default"/>
      </w:rPr>
    </w:lvl>
    <w:lvl w:ilvl="6" w:tplc="041D0001">
      <w:start w:val="1"/>
      <w:numFmt w:val="bullet"/>
      <w:suff w:val="tab"/>
      <w:lvlText w:val=""/>
      <w:lvlJc w:val="left"/>
      <w:pPr>
        <w:ind w:hanging="360" w:left="6381"/>
      </w:pPr>
      <w:rPr>
        <w:rFonts w:ascii="Symbol" w:hAnsi="Symbol" w:hint="default"/>
      </w:rPr>
    </w:lvl>
    <w:lvl w:ilvl="7" w:tplc="041D0003">
      <w:start w:val="1"/>
      <w:numFmt w:val="bullet"/>
      <w:suff w:val="tab"/>
      <w:lvlText w:val="o"/>
      <w:lvlJc w:val="left"/>
      <w:pPr>
        <w:ind w:hanging="360" w:left="7101"/>
      </w:pPr>
      <w:rPr>
        <w:rFonts w:ascii="Courier New" w:hAnsi="Courier New" w:cs="Courier New" w:hint="default"/>
      </w:rPr>
    </w:lvl>
    <w:lvl w:ilvl="8" w:tplc="041D0005">
      <w:start w:val="1"/>
      <w:numFmt w:val="bullet"/>
      <w:suff w:val="tab"/>
      <w:lvlText w:val=""/>
      <w:lvlJc w:val="left"/>
      <w:pPr>
        <w:ind w:hanging="360" w:left="7821"/>
      </w:pPr>
      <w:rPr>
        <w:rFonts w:ascii="Wingdings" w:hAnsi="Wingdings" w:hint="default"/>
      </w:rPr>
    </w:lvl>
  </w:abstractNum>
  <w:num w:numId="1">
    <w:abstractNumId w:val="12"/>
  </w:num>
  <w:num w:numId="2">
    <w:abstractNumId w:val="10"/>
  </w:num>
  <w:num w:numId="3">
    <w:abstractNumId w:val="2"/>
  </w:num>
  <w:num w:numId="4">
    <w:abstractNumId w:val="6"/>
  </w:num>
  <w:num w:numId="5">
    <w:abstractNumId w:val="1"/>
  </w:num>
  <w:num w:numId="6">
    <w:abstractNumId w:val="5"/>
  </w:num>
  <w:num w:numId="7">
    <w:abstractNumId w:val="13"/>
  </w:num>
  <w:num w:numId="8">
    <w:abstractNumId w:val="15"/>
  </w:num>
  <w:num w:numId="9">
    <w:abstractNumId w:val="3"/>
  </w:num>
  <w:num w:numId="10">
    <w:abstractNumId w:val="14"/>
  </w:num>
  <w:num w:numId="11">
    <w:abstractNumId w:val="0"/>
  </w:num>
  <w:num w:numId="12">
    <w:abstractNumId w:val="11"/>
  </w:num>
  <w:num w:numId="13">
    <w:abstractNumId w:val="8"/>
  </w:num>
  <w:num w:numId="14">
    <w:abstractNumId w:val="4"/>
  </w:num>
  <w:num w:numId="15">
    <w:abstractNumId w:val="9"/>
  </w:num>
  <w:num w:numId="16">
    <w:abstractNumId w:val="7"/>
  </w:num>
</w:numbering>
</file>

<file path=word/settings.xml><?xml version="1.0" encoding="utf-8"?>
<w:settings xmlns:w="http://schemas.openxmlformats.org/wordprocessingml/2006/main">
  <w:displayBackgroundShape w:val="0"/>
  <w:doNotShadeFormData/>
  <w:defaultTabStop w:val="709"/>
  <w:autoHyphenation w:val="0"/>
  <w:doNotHyphenateCaps w:val="1"/>
  <w:hyphenationZone w:val="425"/>
  <w:evenAndOddHeaders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clrSchemeMapping w:bg1="light1" w:t1="dark1" w:bg2="light2" w:t2="dark2" w:accent1="accent1" w:accent2="accent2" w:accent3="accent3" w:accent4="accent4" w:accent5="accent5" w:accent6="accent6" w:hyperlink="hyperlink" w:followedHyperlink="followedHyperlink"/>
  <w:footnotePr>
    <w:footnote w:id="-1"/>
    <w:footnote w:id="0"/>
    <w:footnote w:id="1"/>
  </w:footnotePr>
  <w:endnotePr>
    <w:endnote w:id="-1"/>
    <w:endnote w:id="0"/>
    <w:endnote w:id="1"/>
  </w:endnotePr>
</w:settings>
</file>

<file path=word/styles.xml><?xml version="1.0" encoding="utf-8"?>
<w:styles xmlns:w="http://schemas.openxmlformats.org/wordprocessingml/2006/main">
  <w:docDefaults>
    <w:rPrDefault>
      <w:rPr>
        <w:rFonts w:ascii="Times New Roman" w:hAnsi="Times New Roman" w:cs="Times New Roman" w:eastAsia="Times New Roman"/>
        <w:sz w:val="20"/>
        <w:szCs w:val="22"/>
        <w:lang w:val="sv-SE" w:bidi="ar-SA" w:eastAsia="sv-SE"/>
      </w:rPr>
    </w:rPrDefault>
    <w:pPrDefault>
      <w:pPr>
        <w:keepNext w:val="0"/>
        <w:keepLines w:val="0"/>
        <w:pageBreakBefore w:val="0"/>
        <w:widowControl w:val="1"/>
        <w:suppressLineNumbers w:val="0"/>
        <w:shd w:val="clear" w:fill="auto"/>
        <w:suppressAutoHyphens w:val="0"/>
        <w:spacing w:lineRule="auto" w:line="240" w:before="0" w:after="0" w:beforeAutospacing="0" w:afterAutospacing="0"/>
        <w:ind w:firstLine="0" w:left="0" w:right="0"/>
        <w:contextualSpacing w:val="0"/>
        <w:bidi w:val="0"/>
        <w:jc w:val="left"/>
        <w:outlineLvl w:val="9"/>
      </w:pPr>
    </w:pPrDefault>
  </w:docDefaults>
  <w:style w:type="paragraph" w:styleId="P0" w:default="1">
    <w:name w:val="Normal"/>
    <w:qFormat/>
    <w:pPr>
      <w:suppressAutoHyphens w:val="1"/>
      <w:ind w:left="1701" w:right="1134"/>
    </w:pPr>
    <w:rPr>
      <w:rFonts w:asciiTheme="minorHAnsi" w:hAnsiTheme="minorHAnsi"/>
      <w:sz w:val="22"/>
    </w:rPr>
  </w:style>
  <w:style w:type="paragraph" w:styleId="P1">
    <w:name w:val="Heading 1"/>
    <w:next w:val="P11"/>
    <w:link w:val="C16"/>
    <w:qFormat/>
    <w:pPr>
      <w:keepNext w:val="1"/>
      <w:pBdr>
        <w:top w:val="none" w:sz="0" w:space="0" w:shadow="0" w:frame="0" w:color="auto"/>
        <w:left w:val="none" w:sz="0" w:space="0" w:shadow="0" w:frame="0" w:color="auto"/>
        <w:bottom w:val="single" w:sz="4" w:space="1" w:shadow="0" w:frame="0" w:color="auto"/>
        <w:right w:val="none" w:sz="0" w:space="0" w:shadow="0" w:frame="0" w:color="auto"/>
        <w:between w:val="none" w:sz="0" w:space="0" w:shadow="0" w:frame="0" w:color="auto"/>
      </w:pBdr>
      <w:spacing w:lineRule="atLeast" w:line="240" w:before="540" w:beforeAutospacing="0" w:afterAutospacing="0"/>
      <w:ind w:left="1701" w:right="1134"/>
      <w:outlineLvl w:val="0"/>
    </w:pPr>
    <w:rPr>
      <w:rFonts w:ascii="Arial Black" w:hAnsi="Arial Black"/>
      <w:caps w:val="1"/>
      <w:noProof w:val="1"/>
      <w:sz w:val="30"/>
    </w:rPr>
  </w:style>
  <w:style w:type="paragraph" w:styleId="P2">
    <w:name w:val="Heading 2"/>
    <w:next w:val="P11"/>
    <w:link w:val="C17"/>
    <w:qFormat/>
    <w:pPr>
      <w:keepNext w:val="1"/>
      <w:ind w:left="1701" w:right="1134"/>
      <w:outlineLvl w:val="1"/>
    </w:pPr>
    <w:rPr>
      <w:rFonts w:ascii="Gotham Light" w:hAnsi="Gotham Light"/>
      <w:noProof w:val="1"/>
      <w:sz w:val="24"/>
    </w:rPr>
  </w:style>
  <w:style w:type="paragraph" w:styleId="P3">
    <w:name w:val="Heading 3"/>
    <w:next w:val="P11"/>
    <w:link w:val="C14"/>
    <w:qFormat/>
    <w:pPr>
      <w:keepNext w:val="1"/>
      <w:ind w:left="1701" w:right="1134"/>
      <w:outlineLvl w:val="2"/>
    </w:pPr>
    <w:rPr>
      <w:rFonts w:ascii="Arial Black" w:hAnsi="Arial Black" w:eastAsiaTheme="majorEastAsia"/>
      <w:noProof w:val="1"/>
      <w:sz w:val="22"/>
    </w:rPr>
  </w:style>
  <w:style w:type="paragraph" w:styleId="P4">
    <w:name w:val="Heading 4"/>
    <w:basedOn w:val="P0"/>
    <w:next w:val="P0"/>
    <w:link w:val="C7"/>
    <w:semiHidden/>
    <w:qFormat/>
    <w:pPr>
      <w:keepNext w:val="1"/>
      <w:keepLines w:val="1"/>
      <w:spacing w:before="200" w:beforeAutospacing="0" w:afterAutospacing="0"/>
      <w:outlineLvl w:val="3"/>
    </w:pPr>
    <w:rPr>
      <w:rFonts w:asciiTheme="majorHAnsi" w:hAnsiTheme="majorHAnsi" w:cstheme="majorBidi" w:eastAsiaTheme="majorEastAsia"/>
      <w:b w:val="1"/>
      <w:i w:val="1"/>
      <w:bCs w:val="1"/>
      <w:iCs w:val="1"/>
      <w:color w:val="4F81BD" w:themeColor="accent1"/>
    </w:rPr>
  </w:style>
  <w:style w:type="paragraph" w:styleId="P5">
    <w:name w:val="Heading 5"/>
    <w:basedOn w:val="P0"/>
    <w:next w:val="P0"/>
    <w:link w:val="C8"/>
    <w:semiHidden/>
    <w:qFormat/>
    <w:pPr>
      <w:keepNext w:val="1"/>
      <w:keepLines w:val="1"/>
      <w:spacing w:before="200" w:beforeAutospacing="0" w:afterAutospacing="0"/>
      <w:outlineLvl w:val="4"/>
    </w:pPr>
    <w:rPr>
      <w:rFonts w:asciiTheme="majorHAnsi" w:hAnsiTheme="majorHAnsi" w:cstheme="majorBidi" w:eastAsiaTheme="majorEastAsia"/>
      <w:color w:val="244061" w:themeColor="accent1" w:themeShade="7F"/>
    </w:rPr>
  </w:style>
  <w:style w:type="paragraph" w:styleId="P6">
    <w:name w:val="Footer"/>
    <w:basedOn w:val="P0"/>
    <w:pPr>
      <w:tabs>
        <w:tab w:val="center" w:pos="4819" w:leader="none"/>
        <w:tab w:val="right" w:pos="9071" w:leader="none"/>
      </w:tabs>
    </w:pPr>
    <w:rPr/>
  </w:style>
  <w:style w:type="paragraph" w:styleId="P7">
    <w:name w:val="Header"/>
    <w:basedOn w:val="P0"/>
    <w:pPr>
      <w:tabs>
        <w:tab w:val="center" w:pos="4819" w:leader="none"/>
        <w:tab w:val="right" w:pos="9071" w:leader="none"/>
      </w:tabs>
    </w:pPr>
    <w:rPr/>
  </w:style>
  <w:style w:type="paragraph" w:styleId="P8">
    <w:name w:val="Fält"/>
    <w:basedOn w:val="P0"/>
    <w:pPr>
      <w:tabs>
        <w:tab w:val="left" w:pos="5387" w:leader="none"/>
      </w:tabs>
      <w:ind w:left="1134" w:right="1077"/>
    </w:pPr>
    <w:rPr>
      <w:rFonts w:ascii="Arial" w:hAnsi="Arial"/>
    </w:rPr>
  </w:style>
  <w:style w:type="paragraph" w:styleId="P9">
    <w:name w:val="Datumfält"/>
    <w:basedOn w:val="P8"/>
    <w:pPr/>
    <w:rPr/>
  </w:style>
  <w:style w:type="paragraph" w:styleId="P10">
    <w:name w:val="Adressfält"/>
    <w:basedOn w:val="P8"/>
    <w:pPr>
      <w:tabs>
        <w:tab w:val="left" w:pos="5812" w:leader="none"/>
      </w:tabs>
      <w:ind w:left="6521"/>
    </w:pPr>
    <w:rPr/>
  </w:style>
  <w:style w:type="paragraph" w:styleId="P11">
    <w:name w:val="Body Text"/>
    <w:link w:val="C18"/>
    <w:pPr>
      <w:ind w:left="1701" w:right="1134"/>
    </w:pPr>
    <w:rPr>
      <w:rFonts w:asciiTheme="minorHAnsi" w:hAnsiTheme="minorHAnsi"/>
      <w:sz w:val="22"/>
    </w:rPr>
  </w:style>
  <w:style w:type="paragraph" w:styleId="P12">
    <w:name w:val="Avsändare"/>
    <w:basedOn w:val="P0"/>
    <w:pPr>
      <w:ind w:left="992" w:right="5103"/>
    </w:pPr>
    <w:rPr>
      <w:rFonts w:ascii="Arial" w:hAnsi="Arial"/>
      <w:sz w:val="20"/>
    </w:rPr>
  </w:style>
  <w:style w:type="paragraph" w:styleId="P13">
    <w:name w:val="datum"/>
    <w:basedOn w:val="P0"/>
    <w:pPr>
      <w:ind w:left="5954" w:right="992"/>
    </w:pPr>
    <w:rPr>
      <w:rFonts w:ascii="Arial" w:hAnsi="Arial"/>
      <w:sz w:val="20"/>
    </w:rPr>
  </w:style>
  <w:style w:type="paragraph" w:styleId="P14">
    <w:name w:val="adressat"/>
    <w:basedOn w:val="P0"/>
    <w:pPr>
      <w:ind w:left="5954" w:right="283"/>
    </w:pPr>
    <w:rPr>
      <w:rFonts w:ascii="Arial" w:hAnsi="Arial"/>
      <w:sz w:val="20"/>
    </w:rPr>
  </w:style>
  <w:style w:type="paragraph" w:styleId="P15">
    <w:name w:val="Balloon Text"/>
    <w:basedOn w:val="P0"/>
    <w:link w:val="C5"/>
    <w:pPr/>
    <w:rPr>
      <w:rFonts w:ascii="Tahoma" w:hAnsi="Tahoma" w:cs="Tahoma"/>
      <w:sz w:val="16"/>
      <w:szCs w:val="16"/>
    </w:rPr>
  </w:style>
  <w:style w:type="paragraph" w:styleId="P16">
    <w:name w:val="Block Text"/>
    <w:basedOn w:val="P0"/>
    <w:pPr>
      <w:ind w:firstLine="7"/>
    </w:pPr>
    <w:rPr>
      <w:rFonts w:ascii="Garamond" w:hAnsi="Garamond"/>
      <w:sz w:val="24"/>
    </w:rPr>
  </w:style>
  <w:style w:type="paragraph" w:styleId="P17">
    <w:name w:val="Quote"/>
    <w:basedOn w:val="P0"/>
    <w:next w:val="P0"/>
    <w:link w:val="C9"/>
    <w:qFormat/>
    <w:pPr/>
    <w:rPr>
      <w:i w:val="1"/>
      <w:iCs w:val="1"/>
      <w:color w:val="000000" w:themeColor="text1"/>
    </w:rPr>
  </w:style>
  <w:style w:type="paragraph" w:styleId="P18">
    <w:name w:val="NKN Brödtext"/>
    <w:pPr>
      <w:suppressAutoHyphens w:val="1"/>
      <w:spacing w:after="240" w:beforeAutospacing="0" w:afterAutospacing="0"/>
    </w:pPr>
    <w:rPr>
      <w:sz w:val="24"/>
      <w:lang w:eastAsia="ar-SA"/>
    </w:rPr>
  </w:style>
  <w:style w:type="paragraph" w:styleId="P19">
    <w:name w:val="Title"/>
    <w:aliases w:val="Rubrik 0"/>
    <w:basedOn w:val="P1"/>
    <w:next w:val="P0"/>
    <w:link w:val="C11"/>
    <w:qFormat/>
    <w:pPr>
      <w:spacing w:after="300" w:beforeAutospacing="0" w:afterAutospacing="0"/>
      <w:contextualSpacing w:val="1"/>
      <w:jc w:val="center"/>
    </w:pPr>
    <w:rPr>
      <w:rFonts w:cstheme="majorBidi" w:eastAsiaTheme="majorEastAsia"/>
      <w:b w:val="1"/>
      <w:color w:val="004B6E"/>
      <w:sz w:val="40"/>
      <w:szCs w:val="32"/>
      <w:spacing w:val="5"/>
      <w:kern w:val="28"/>
    </w:rPr>
  </w:style>
  <w:style w:type="paragraph" w:styleId="P20">
    <w:name w:val="Body Text Indent 3"/>
    <w:basedOn w:val="P0"/>
    <w:link w:val="C12"/>
    <w:pPr>
      <w:spacing w:after="120" w:beforeAutospacing="0" w:afterAutospacing="0"/>
      <w:ind w:left="283"/>
    </w:pPr>
    <w:rPr>
      <w:sz w:val="16"/>
      <w:szCs w:val="16"/>
    </w:rPr>
  </w:style>
  <w:style w:type="paragraph" w:styleId="P21">
    <w:name w:val="Default"/>
    <w:pPr/>
    <w:rPr>
      <w:rFonts w:ascii="Garamond" w:hAnsi="Garamond" w:cs="Garamond"/>
      <w:color w:val="000000"/>
      <w:sz w:val="24"/>
      <w:szCs w:val="24"/>
    </w:rPr>
  </w:style>
  <w:style w:type="paragraph" w:styleId="P22">
    <w:name w:val="List Paragraph"/>
    <w:basedOn w:val="P0"/>
    <w:qFormat/>
    <w:pPr>
      <w:ind w:left="720"/>
      <w:contextualSpacing w:val="1"/>
    </w:pPr>
    <w:rPr/>
  </w:style>
  <w:style w:type="paragraph" w:styleId="P23">
    <w:name w:val="No Spacing"/>
    <w:link w:val="C27"/>
    <w:qFormat/>
    <w:pPr>
      <w:suppressAutoHyphens w:val="1"/>
    </w:pPr>
    <w:rPr>
      <w:rFonts w:ascii="Calibri" w:hAnsi="Calibri" w:eastAsia="Calibri"/>
      <w:sz w:val="22"/>
      <w:szCs w:val="22"/>
      <w:lang w:eastAsia="ar-SA"/>
    </w:rPr>
  </w:style>
  <w:style w:type="paragraph" w:styleId="P24">
    <w:name w:val="Figurtext"/>
    <w:link w:val="C13"/>
    <w:qFormat/>
    <w:pPr>
      <w:spacing w:lineRule="auto" w:line="288" w:beforeAutospacing="0" w:afterAutospacing="0"/>
      <w:ind w:left="1701" w:right="1134"/>
    </w:pPr>
    <w:rPr>
      <w:rFonts w:ascii="Gotham Light" w:hAnsi="Gotham Light"/>
      <w:sz w:val="18"/>
    </w:rPr>
  </w:style>
  <w:style w:type="paragraph" w:styleId="P25">
    <w:name w:val="text"/>
    <w:basedOn w:val="P7"/>
    <w:pPr>
      <w:tabs>
        <w:tab w:val="left" w:pos="4252" w:leader="none"/>
        <w:tab w:val="right" w:pos="7088" w:leader="none"/>
      </w:tabs>
      <w:ind w:left="0" w:right="0"/>
    </w:pPr>
    <w:rPr>
      <w:rFonts w:ascii="Calibri" w:hAnsi="Calibri"/>
      <w:lang/>
    </w:rPr>
  </w:style>
  <w:style w:type="paragraph" w:styleId="P26">
    <w:name w:val="TOC Heading"/>
    <w:basedOn w:val="P1"/>
    <w:next w:val="P0"/>
    <w:semiHidden/>
    <w:qFormat/>
    <w:pPr>
      <w:keepLines w:val="1"/>
      <w:spacing w:lineRule="auto" w:line="276" w:before="480" w:beforeAutospacing="0" w:afterAutospacing="0"/>
      <w:ind w:left="0" w:right="0"/>
      <w:outlineLvl w:val="9"/>
    </w:pPr>
    <w:rPr>
      <w:rFonts w:asciiTheme="majorHAnsi" w:hAnsiTheme="majorHAnsi" w:cstheme="majorBidi" w:eastAsiaTheme="majorEastAsia"/>
      <w:b w:val="1"/>
      <w:bCs w:val="1"/>
      <w:caps w:val="0"/>
      <w:noProof w:val="0"/>
      <w:color w:val="376092" w:themeColor="accent1" w:themeShade="BF"/>
      <w:sz w:val="28"/>
      <w:szCs w:val="28"/>
    </w:rPr>
  </w:style>
  <w:style w:type="paragraph" w:styleId="P27">
    <w:name w:val="TOC 1"/>
    <w:basedOn w:val="P0"/>
    <w:next w:val="P0"/>
    <w:pPr>
      <w:tabs>
        <w:tab w:val="right" w:pos="10055" w:leader="dot"/>
      </w:tabs>
      <w:spacing w:after="100" w:beforeAutospacing="0" w:afterAutospacing="0"/>
      <w:ind w:hanging="567" w:left="709"/>
    </w:pPr>
    <w:rPr/>
  </w:style>
  <w:style w:type="paragraph" w:styleId="P28">
    <w:name w:val="TOC 2"/>
    <w:basedOn w:val="P0"/>
    <w:next w:val="P0"/>
    <w:pPr>
      <w:spacing w:after="100" w:beforeAutospacing="0" w:afterAutospacing="0"/>
      <w:ind w:left="220"/>
    </w:pPr>
    <w:rPr/>
  </w:style>
  <w:style w:type="paragraph" w:styleId="P29">
    <w:name w:val="TOC 3"/>
    <w:basedOn w:val="P0"/>
    <w:next w:val="P0"/>
    <w:pPr>
      <w:spacing w:after="100" w:beforeAutospacing="0" w:afterAutospacing="0"/>
      <w:ind w:left="440"/>
    </w:pPr>
    <w:rPr/>
  </w:style>
  <w:style w:type="paragraph" w:styleId="P30">
    <w:name w:val="Normal (Web)"/>
    <w:basedOn w:val="P0"/>
    <w:pPr>
      <w:spacing w:before="100" w:after="100" w:beforeAutospacing="1" w:afterAutospacing="1"/>
      <w:ind w:left="0" w:right="0"/>
    </w:pPr>
    <w:rPr>
      <w:rFonts w:ascii="Times New Roman" w:hAnsi="Times New Roman"/>
      <w:sz w:val="24"/>
      <w:szCs w:val="24"/>
    </w:rPr>
  </w:style>
  <w:style w:type="paragraph" w:styleId="P31">
    <w:name w:val="TOC 4"/>
    <w:basedOn w:val="P0"/>
    <w:next w:val="P0"/>
    <w:pPr>
      <w:spacing w:lineRule="auto" w:line="276" w:after="100" w:beforeAutospacing="0" w:afterAutospacing="0"/>
      <w:ind w:left="660" w:right="0"/>
    </w:pPr>
    <w:rPr>
      <w:rFonts w:cstheme="minorBidi" w:eastAsiaTheme="minorEastAsia"/>
      <w:szCs w:val="22"/>
    </w:rPr>
  </w:style>
  <w:style w:type="paragraph" w:styleId="P32">
    <w:name w:val="TOC 5"/>
    <w:basedOn w:val="P0"/>
    <w:next w:val="P0"/>
    <w:pPr>
      <w:spacing w:lineRule="auto" w:line="276" w:after="100" w:beforeAutospacing="0" w:afterAutospacing="0"/>
      <w:ind w:left="880" w:right="0"/>
    </w:pPr>
    <w:rPr>
      <w:rFonts w:cstheme="minorBidi" w:eastAsiaTheme="minorEastAsia"/>
      <w:szCs w:val="22"/>
    </w:rPr>
  </w:style>
  <w:style w:type="paragraph" w:styleId="P33">
    <w:name w:val="TOC 6"/>
    <w:basedOn w:val="P0"/>
    <w:next w:val="P0"/>
    <w:pPr>
      <w:spacing w:lineRule="auto" w:line="276" w:after="100" w:beforeAutospacing="0" w:afterAutospacing="0"/>
      <w:ind w:left="1100" w:right="0"/>
    </w:pPr>
    <w:rPr>
      <w:rFonts w:cstheme="minorBidi" w:eastAsiaTheme="minorEastAsia"/>
      <w:szCs w:val="22"/>
    </w:rPr>
  </w:style>
  <w:style w:type="paragraph" w:styleId="P34">
    <w:name w:val="TOC 7"/>
    <w:basedOn w:val="P0"/>
    <w:next w:val="P0"/>
    <w:pPr>
      <w:spacing w:lineRule="auto" w:line="276" w:after="100" w:beforeAutospacing="0" w:afterAutospacing="0"/>
      <w:ind w:left="1320" w:right="0"/>
    </w:pPr>
    <w:rPr>
      <w:rFonts w:cstheme="minorBidi" w:eastAsiaTheme="minorEastAsia"/>
      <w:szCs w:val="22"/>
    </w:rPr>
  </w:style>
  <w:style w:type="paragraph" w:styleId="P35">
    <w:name w:val="TOC 8"/>
    <w:basedOn w:val="P0"/>
    <w:next w:val="P0"/>
    <w:pPr>
      <w:spacing w:lineRule="auto" w:line="276" w:after="100" w:beforeAutospacing="0" w:afterAutospacing="0"/>
      <w:ind w:left="1540" w:right="0"/>
    </w:pPr>
    <w:rPr>
      <w:rFonts w:cstheme="minorBidi" w:eastAsiaTheme="minorEastAsia"/>
      <w:szCs w:val="22"/>
    </w:rPr>
  </w:style>
  <w:style w:type="paragraph" w:styleId="P36">
    <w:name w:val="TOC 9"/>
    <w:basedOn w:val="P0"/>
    <w:next w:val="P0"/>
    <w:pPr>
      <w:spacing w:lineRule="auto" w:line="276" w:after="100" w:beforeAutospacing="0" w:afterAutospacing="0"/>
      <w:ind w:left="1760" w:right="0"/>
    </w:pPr>
    <w:rPr>
      <w:rFonts w:cstheme="minorBidi" w:eastAsiaTheme="minorEastAsia"/>
      <w:szCs w:val="22"/>
    </w:rPr>
  </w:style>
  <w:style w:type="paragraph" w:styleId="P37">
    <w:name w:val="Subtitle"/>
    <w:basedOn w:val="P0"/>
    <w:next w:val="P0"/>
    <w:link w:val="C19"/>
    <w:qFormat/>
    <w:pPr>
      <w:ind w:left="1701"/>
    </w:pPr>
    <w:rPr>
      <w:rFonts w:asciiTheme="majorHAnsi" w:hAnsiTheme="majorHAnsi" w:cstheme="majorBidi" w:eastAsiaTheme="majorEastAsia"/>
      <w:i w:val="1"/>
      <w:iCs w:val="1"/>
      <w:color w:val="4F81BD" w:themeColor="accent1"/>
      <w:sz w:val="24"/>
      <w:szCs w:val="24"/>
      <w:spacing w:val="15"/>
    </w:rPr>
  </w:style>
  <w:style w:type="paragraph" w:styleId="P38">
    <w:name w:val="Brödtext HultVim"/>
    <w:basedOn w:val="P0"/>
    <w:link w:val="C20"/>
    <w:qFormat/>
    <w:pPr>
      <w:suppressAutoHyphens w:val="0"/>
      <w:spacing w:after="100" w:beforeAutospacing="0" w:afterAutospacing="1"/>
      <w:ind w:left="1134" w:right="0"/>
    </w:pPr>
    <w:rPr>
      <w:rFonts w:ascii="Times New Roman" w:hAnsi="Times New Roman" w:eastAsia="Calibri"/>
      <w:sz w:val="24"/>
      <w:szCs w:val="22"/>
      <w:lang w:eastAsia="en-US"/>
    </w:rPr>
  </w:style>
  <w:style w:type="paragraph" w:styleId="P39">
    <w:name w:val="Rubrik 3 HultVim"/>
    <w:basedOn w:val="P0"/>
    <w:link w:val="C21"/>
    <w:qFormat/>
    <w:pPr>
      <w:suppressAutoHyphens w:val="0"/>
      <w:spacing w:before="240" w:after="60" w:beforeAutospacing="0" w:afterAutospacing="0"/>
      <w:ind w:left="1134" w:right="0"/>
      <w:outlineLvl w:val="2"/>
    </w:pPr>
    <w:rPr>
      <w:rFonts w:ascii="Arial" w:hAnsi="Arial" w:eastAsia="Calibri"/>
      <w:b w:val="1"/>
      <w:sz w:val="24"/>
      <w:szCs w:val="22"/>
      <w:lang w:eastAsia="en-US"/>
    </w:rPr>
  </w:style>
  <w:style w:type="paragraph" w:styleId="P40">
    <w:name w:val="annotation text"/>
    <w:basedOn w:val="P0"/>
    <w:link w:val="C23"/>
    <w:pPr/>
    <w:rPr>
      <w:sz w:val="20"/>
    </w:rPr>
  </w:style>
  <w:style w:type="paragraph" w:styleId="P41">
    <w:name w:val="annotation subject"/>
    <w:basedOn w:val="P40"/>
    <w:next w:val="P40"/>
    <w:link w:val="C24"/>
    <w:semiHidden/>
    <w:pPr/>
    <w:rPr>
      <w:b w:val="1"/>
      <w:bCs w:val="1"/>
    </w:rPr>
  </w:style>
  <w:style w:type="paragraph" w:styleId="P42">
    <w:name w:val="Caption"/>
    <w:basedOn w:val="P0"/>
    <w:next w:val="P0"/>
    <w:link w:val="C26"/>
    <w:qFormat/>
    <w:pPr>
      <w:suppressAutoHyphens w:val="0"/>
      <w:spacing w:after="200" w:beforeAutospacing="0" w:afterAutospacing="0"/>
      <w:ind w:left="0" w:right="0"/>
    </w:pPr>
    <w:rPr>
      <w:rFonts w:ascii="Arial" w:hAnsi="Arial" w:eastAsia="Arial"/>
      <w:i w:val="1"/>
      <w:iCs w:val="1"/>
      <w:color w:val="1F497D" w:themeColor="text2"/>
      <w:sz w:val="18"/>
      <w:szCs w:val="18"/>
      <w:lang w:eastAsia="en-US"/>
    </w:rPr>
  </w:style>
  <w:style w:type="paragraph" w:styleId="P43">
    <w:name w:val="Footnote Text"/>
    <w:link w:val="C29"/>
    <w:semiHidden/>
    <w:pPr>
      <w:spacing w:lineRule="auto" w:line="240" w:after="0" w:beforeAutospacing="0" w:afterAutospacing="0"/>
    </w:pPr>
    <w:rPr>
      <w:sz w:val="20"/>
      <w:szCs w:val="20"/>
    </w:rPr>
  </w:style>
  <w:style w:type="paragraph" w:styleId="P44">
    <w:name w:val="Endnote Text"/>
    <w:link w:val="C31"/>
    <w:semiHidden/>
    <w:pPr>
      <w:spacing w:lineRule="auto" w:line="240" w:after="0" w:beforeAutospacing="0" w:afterAutospacing="0"/>
    </w:pPr>
    <w:rPr>
      <w:sz w:val="20"/>
      <w:szCs w:val="20"/>
    </w:rPr>
  </w:style>
  <w:style w:type="character" w:styleId="C0" w:default="1">
    <w:name w:val="Default Paragraph Font"/>
    <w:semiHidden/>
    <w:rPr/>
  </w:style>
  <w:style w:type="character" w:styleId="C1">
    <w:name w:val="Line Number"/>
    <w:basedOn w:val="C0"/>
    <w:semiHidden/>
    <w:rPr/>
  </w:style>
  <w:style w:type="character" w:styleId="C2">
    <w:name w:val="Hyperlink"/>
    <w:rPr>
      <w:color w:val="0000FF"/>
      <w:u w:val="single"/>
    </w:rPr>
  </w:style>
  <w:style w:type="character" w:styleId="C3">
    <w:name w:val="FollowedHyperlink"/>
    <w:rPr>
      <w:color w:val="800080"/>
      <w:u w:val="single"/>
    </w:rPr>
  </w:style>
  <w:style w:type="character" w:styleId="C4">
    <w:name w:val="Page Number"/>
    <w:basedOn w:val="C0"/>
    <w:rPr/>
  </w:style>
  <w:style w:type="character" w:styleId="C5">
    <w:name w:val="Ballongtext Char"/>
    <w:basedOn w:val="C0"/>
    <w:link w:val="P15"/>
    <w:rPr>
      <w:rFonts w:ascii="Tahoma" w:hAnsi="Tahoma" w:cs="Tahoma"/>
      <w:sz w:val="16"/>
      <w:szCs w:val="16"/>
    </w:rPr>
  </w:style>
  <w:style w:type="character" w:styleId="C6">
    <w:name w:val="Emphasis"/>
    <w:basedOn w:val="C0"/>
    <w:qFormat/>
    <w:rPr>
      <w:i w:val="1"/>
      <w:iCs w:val="1"/>
    </w:rPr>
  </w:style>
  <w:style w:type="character" w:styleId="C7">
    <w:name w:val="Rubrik 4 Char"/>
    <w:basedOn w:val="C0"/>
    <w:link w:val="P4"/>
    <w:semiHidden/>
    <w:rPr>
      <w:rFonts w:asciiTheme="majorHAnsi" w:hAnsiTheme="majorHAnsi" w:cstheme="majorBidi" w:eastAsiaTheme="majorEastAsia"/>
      <w:b w:val="1"/>
      <w:i w:val="1"/>
      <w:bCs w:val="1"/>
      <w:iCs w:val="1"/>
      <w:color w:val="4F81BD" w:themeColor="accent1"/>
      <w:sz w:val="22"/>
    </w:rPr>
  </w:style>
  <w:style w:type="character" w:styleId="C8">
    <w:name w:val="Rubrik 5 Char"/>
    <w:basedOn w:val="C0"/>
    <w:link w:val="P5"/>
    <w:semiHidden/>
    <w:rPr>
      <w:rFonts w:asciiTheme="majorHAnsi" w:hAnsiTheme="majorHAnsi" w:cstheme="majorBidi" w:eastAsiaTheme="majorEastAsia"/>
      <w:color w:val="244061" w:themeColor="accent1" w:themeShade="7F"/>
      <w:sz w:val="22"/>
    </w:rPr>
  </w:style>
  <w:style w:type="character" w:styleId="C9">
    <w:name w:val="Citat Char"/>
    <w:basedOn w:val="C0"/>
    <w:link w:val="P17"/>
    <w:rPr>
      <w:rFonts w:asciiTheme="minorHAnsi" w:hAnsiTheme="minorHAnsi"/>
      <w:i w:val="1"/>
      <w:iCs w:val="1"/>
      <w:color w:val="000000" w:themeColor="text1"/>
      <w:sz w:val="22"/>
    </w:rPr>
  </w:style>
  <w:style w:type="character" w:styleId="C10">
    <w:name w:val="Strong"/>
    <w:basedOn w:val="C0"/>
    <w:qFormat/>
    <w:rPr>
      <w:b w:val="1"/>
      <w:bCs w:val="1"/>
    </w:rPr>
  </w:style>
  <w:style w:type="character" w:styleId="C11">
    <w:name w:val="Rubrik Char"/>
    <w:aliases w:val="Rubrik 0 Char"/>
    <w:basedOn w:val="C0"/>
    <w:link w:val="P19"/>
    <w:rPr>
      <w:rFonts w:ascii="Gotham Book" w:hAnsi="Gotham Book" w:cstheme="majorBidi" w:eastAsiaTheme="majorEastAsia"/>
      <w:b w:val="1"/>
      <w:caps w:val="1"/>
      <w:noProof w:val="1"/>
      <w:color w:val="004B6E"/>
      <w:sz w:val="40"/>
      <w:szCs w:val="32"/>
      <w:spacing w:val="5"/>
      <w:kern w:val="28"/>
    </w:rPr>
  </w:style>
  <w:style w:type="character" w:styleId="C12">
    <w:name w:val="Brödtext med indrag 3 Char"/>
    <w:basedOn w:val="C0"/>
    <w:link w:val="P20"/>
    <w:rPr>
      <w:rFonts w:asciiTheme="minorHAnsi" w:hAnsiTheme="minorHAnsi"/>
      <w:sz w:val="16"/>
      <w:szCs w:val="16"/>
    </w:rPr>
  </w:style>
  <w:style w:type="character" w:styleId="C13">
    <w:name w:val="Figurtext Char"/>
    <w:link w:val="P24"/>
    <w:rPr>
      <w:rFonts w:ascii="Gotham Light" w:hAnsi="Gotham Light"/>
      <w:sz w:val="18"/>
    </w:rPr>
  </w:style>
  <w:style w:type="character" w:styleId="C14">
    <w:name w:val="Rubrik 3 Char"/>
    <w:basedOn w:val="C0"/>
    <w:link w:val="P3"/>
    <w:rPr>
      <w:rFonts w:ascii="Arial Black" w:hAnsi="Arial Black" w:eastAsiaTheme="majorEastAsia"/>
      <w:noProof w:val="1"/>
      <w:sz w:val="22"/>
    </w:rPr>
  </w:style>
  <w:style w:type="character" w:styleId="C15">
    <w:name w:val="apple-converted-space"/>
    <w:rPr/>
  </w:style>
  <w:style w:type="character" w:styleId="C16">
    <w:name w:val="Rubrik 1 Char"/>
    <w:basedOn w:val="C0"/>
    <w:link w:val="P1"/>
    <w:rPr>
      <w:rFonts w:ascii="Arial Black" w:hAnsi="Arial Black"/>
      <w:caps w:val="1"/>
      <w:noProof w:val="1"/>
      <w:sz w:val="30"/>
    </w:rPr>
  </w:style>
  <w:style w:type="character" w:styleId="C17">
    <w:name w:val="Rubrik 2 Char"/>
    <w:basedOn w:val="C0"/>
    <w:link w:val="P2"/>
    <w:rPr>
      <w:rFonts w:ascii="Gotham Light" w:hAnsi="Gotham Light"/>
      <w:noProof w:val="1"/>
      <w:sz w:val="24"/>
    </w:rPr>
  </w:style>
  <w:style w:type="character" w:styleId="C18">
    <w:name w:val="Brödtext Char"/>
    <w:basedOn w:val="C0"/>
    <w:link w:val="P11"/>
    <w:rPr>
      <w:rFonts w:asciiTheme="minorHAnsi" w:hAnsiTheme="minorHAnsi"/>
      <w:sz w:val="22"/>
    </w:rPr>
  </w:style>
  <w:style w:type="character" w:styleId="C19">
    <w:name w:val="Underrubrik Char"/>
    <w:basedOn w:val="C0"/>
    <w:link w:val="P37"/>
    <w:rPr>
      <w:rFonts w:asciiTheme="majorHAnsi" w:hAnsiTheme="majorHAnsi" w:cstheme="majorBidi" w:eastAsiaTheme="majorEastAsia"/>
      <w:i w:val="1"/>
      <w:iCs w:val="1"/>
      <w:color w:val="4F81BD" w:themeColor="accent1"/>
      <w:sz w:val="24"/>
      <w:szCs w:val="24"/>
      <w:spacing w:val="15"/>
    </w:rPr>
  </w:style>
  <w:style w:type="character" w:styleId="C20">
    <w:name w:val="Brödtext HultVim Char"/>
    <w:link w:val="P38"/>
    <w:rPr>
      <w:rFonts w:eastAsia="Calibri"/>
      <w:sz w:val="24"/>
      <w:szCs w:val="22"/>
      <w:lang w:eastAsia="en-US"/>
    </w:rPr>
  </w:style>
  <w:style w:type="character" w:styleId="C21">
    <w:name w:val="Rubrik 3 HultVim Char"/>
    <w:link w:val="P39"/>
    <w:rPr>
      <w:rFonts w:ascii="Arial" w:hAnsi="Arial" w:eastAsia="Calibri"/>
      <w:b w:val="1"/>
      <w:sz w:val="24"/>
      <w:szCs w:val="22"/>
      <w:lang w:eastAsia="en-US"/>
    </w:rPr>
  </w:style>
  <w:style w:type="character" w:styleId="C22">
    <w:name w:val="annotation reference"/>
    <w:basedOn w:val="C0"/>
    <w:semiHidden/>
    <w:rPr>
      <w:sz w:val="16"/>
      <w:szCs w:val="16"/>
    </w:rPr>
  </w:style>
  <w:style w:type="character" w:styleId="C23">
    <w:name w:val="Kommentarer Char"/>
    <w:basedOn w:val="C0"/>
    <w:link w:val="P40"/>
    <w:rPr>
      <w:rFonts w:asciiTheme="minorHAnsi" w:hAnsiTheme="minorHAnsi"/>
    </w:rPr>
  </w:style>
  <w:style w:type="character" w:styleId="C24">
    <w:name w:val="Kommentarsämne Char"/>
    <w:basedOn w:val="C23"/>
    <w:link w:val="P41"/>
    <w:semiHidden/>
    <w:rPr>
      <w:rFonts w:asciiTheme="minorHAnsi" w:hAnsiTheme="minorHAnsi"/>
      <w:b w:val="1"/>
      <w:bCs w:val="1"/>
    </w:rPr>
  </w:style>
  <w:style w:type="character" w:styleId="C25">
    <w:name w:val="Unresolved Mention1"/>
    <w:basedOn w:val="C0"/>
    <w:semiHidden/>
    <w:rPr>
      <w:color w:val="605E5C"/>
      <w:shd w:val="clear" w:color="auto" w:fill="E1DFDD"/>
    </w:rPr>
  </w:style>
  <w:style w:type="character" w:styleId="C26">
    <w:name w:val="Beskrivning Char"/>
    <w:link w:val="P42"/>
    <w:rPr>
      <w:rFonts w:ascii="Arial" w:hAnsi="Arial" w:eastAsia="Arial"/>
      <w:i w:val="1"/>
      <w:iCs w:val="1"/>
      <w:color w:val="1F497D" w:themeColor="text2"/>
      <w:sz w:val="18"/>
      <w:szCs w:val="18"/>
      <w:lang w:eastAsia="en-US"/>
    </w:rPr>
  </w:style>
  <w:style w:type="character" w:styleId="C27">
    <w:name w:val="Inget avstånd Char"/>
    <w:basedOn w:val="C0"/>
    <w:link w:val="P23"/>
    <w:rPr>
      <w:rFonts w:ascii="Calibri" w:hAnsi="Calibri" w:eastAsia="Calibri"/>
      <w:sz w:val="22"/>
      <w:szCs w:val="22"/>
      <w:lang w:eastAsia="ar-SA"/>
    </w:rPr>
  </w:style>
  <w:style w:type="character" w:styleId="C28">
    <w:name w:val="Footnote Reference"/>
    <w:semiHidden/>
    <w:rPr>
      <w:vertAlign w:val="superscript"/>
    </w:rPr>
  </w:style>
  <w:style w:type="character" w:styleId="C29">
    <w:name w:val="Footnote Text Char"/>
    <w:link w:val="P43"/>
    <w:semiHidden/>
    <w:rPr>
      <w:sz w:val="20"/>
      <w:szCs w:val="20"/>
    </w:rPr>
  </w:style>
  <w:style w:type="character" w:styleId="C30">
    <w:name w:val="Endnote Reference"/>
    <w:semiHidden/>
    <w:rPr>
      <w:vertAlign w:val="superscript"/>
    </w:rPr>
  </w:style>
  <w:style w:type="character" w:styleId="C31">
    <w:name w:val="Endnote Text Char"/>
    <w:link w:val="P44"/>
    <w:semiHidden/>
    <w:rPr>
      <w:sz w:val="20"/>
      <w:szCs w:val="20"/>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table" w:styleId="T2">
    <w:name w:val="Table Grid"/>
    <w:basedOn w:val="T0"/>
    <w:rPr>
      <w:rFonts w:asciiTheme="minorHAnsi" w:hAnsiTheme="minorHAnsi"/>
    </w:rPr>
    <w:tblPr>
      <w:tblStyleRowBandSize w:val="1"/>
      <w:tblBorders>
        <w:top w:val="single" w:sz="4" w:space="0" w:shadow="0" w:frame="0" w:color="FFFFFF" w:themeColor="background1"/>
        <w:left w:val="single" w:sz="4" w:space="0" w:shadow="0" w:frame="0" w:color="FFFFFF" w:themeColor="background1"/>
        <w:bottom w:val="single" w:sz="4" w:space="0" w:shadow="0" w:frame="0" w:color="FFFFFF" w:themeColor="background1"/>
        <w:right w:val="single" w:sz="4" w:space="0" w:shadow="0" w:frame="0" w:color="FFFFFF" w:themeColor="background1"/>
        <w:insideH w:val="single" w:sz="4" w:space="0" w:shadow="0" w:frame="0" w:color="FFFFFF" w:themeColor="background1"/>
        <w:insideV w:val="single" w:sz="4" w:space="0" w:shadow="0" w:frame="0" w:color="FFFFFF" w:themeColor="background1"/>
      </w:tblBorders>
    </w:tblPr>
    <w:trPr/>
    <w:tcPr>
      <w:shd w:val="clear" w:color="auto" w:fill="FFFFFF" w:themeFill="background1"/>
    </w:tcPr>
    <w:tblStylePr w:type="band1Horz">
      <w:tblPr/>
      <w:trPr/>
      <w:tcPr>
        <w:shd w:val="clear" w:color="auto" w:fill="D9D9D9" w:themeFill="background1" w:themeFillShade="D9"/>
      </w:tcPr>
    </w:tblStylePr>
    <w:tblStylePr w:type="firstCol">
      <w:rPr>
        <w:b w:val="1"/>
      </w:rPr>
      <w:tblPr/>
      <w:trPr/>
      <w:tcPr/>
    </w:tblStylePr>
    <w:tblStylePr w:type="firstRow">
      <w:rPr>
        <w:rFonts w:ascii="@Yu Gothic UI" w:hAnsi="@Yu Gothic UI"/>
        <w:b w:val="0"/>
        <w:sz w:val="24"/>
      </w:rPr>
      <w:tblPr/>
      <w:trPr/>
      <w:tcPr>
        <w:shd w:val="clear" w:color="auto" w:fill="004B6E"/>
      </w:tcPr>
    </w:tblStylePr>
  </w:style>
  <w:style w:type="table" w:styleId="T3">
    <w:name w:val="Västerviks kommun"/>
    <w:basedOn w:val="T0"/>
    <w:rPr>
      <w:rFonts w:ascii="Calibri" w:hAnsi="Calibri"/>
    </w:rPr>
    <w:tblPr>
      <w:tblStyleRowBandSize w:val="1"/>
      <w:tblInd w:w="1701" w:type="dxa"/>
      <w:tblBorders>
        <w:top w:val="single" w:sz="4" w:space="0" w:shadow="0" w:frame="0" w:color="FFFFFF" w:themeColor="background1"/>
        <w:left w:val="single" w:sz="4" w:space="0" w:shadow="0" w:frame="0" w:color="FFFFFF" w:themeColor="background1"/>
        <w:bottom w:val="single" w:sz="4" w:space="0" w:shadow="0" w:frame="0" w:color="FFFFFF" w:themeColor="background1"/>
        <w:right w:val="single" w:sz="4" w:space="0" w:shadow="0" w:frame="0" w:color="FFFFFF" w:themeColor="background1"/>
        <w:insideH w:val="single" w:sz="4" w:space="0" w:shadow="0" w:frame="0" w:color="FFFFFF" w:themeColor="background1"/>
        <w:insideV w:val="single" w:sz="4" w:space="0" w:shadow="0" w:frame="0" w:color="FFFFFF" w:themeColor="background1"/>
      </w:tblBorders>
    </w:tblPr>
    <w:trPr/>
    <w:tcPr>
      <w:shd w:val="clear" w:color="auto" w:fill="FFFFFF" w:themeFill="background1"/>
    </w:tcPr>
    <w:tblStylePr w:type="band1Horz">
      <w:tblPr/>
      <w:trPr/>
      <w:tcPr>
        <w:tcBorders>
          <w:top w:val="single" w:sz="4" w:space="0" w:shadow="0" w:frame="0" w:color="FFFFFF" w:themeColor="background1"/>
          <w:left w:val="single" w:sz="4" w:space="0" w:shadow="0" w:frame="0" w:color="FFFFFF" w:themeColor="background1"/>
          <w:bottom w:val="single" w:sz="4" w:space="0" w:shadow="0" w:frame="0" w:color="FFFFFF" w:themeColor="background1"/>
          <w:right w:val="single" w:sz="4" w:space="0" w:shadow="0" w:frame="0" w:color="FFFFFF" w:themeColor="background1"/>
          <w:insideH w:val="single" w:sz="4" w:space="0" w:shadow="0" w:frame="0" w:color="FFFFFF" w:themeColor="background1"/>
          <w:insideV w:val="single" w:sz="4" w:space="0" w:shadow="0" w:frame="0" w:color="FFFFFF" w:themeColor="background1"/>
        </w:tcBorders>
        <w:shd w:val="clear" w:color="auto" w:fill="D9D9D9" w:themeFill="background1" w:themeFillShade="D9"/>
      </w:tcPr>
    </w:tblStylePr>
    <w:tblStylePr w:type="firstCol">
      <w:rPr>
        <w:rFonts w:ascii="Calibri" w:hAnsi="Calibri"/>
        <w:b w:val="1"/>
        <w:sz w:val="20"/>
      </w:rPr>
      <w:tblPr/>
      <w:trPr/>
      <w:tcPr/>
    </w:tblStylePr>
    <w:tblStylePr w:type="firstRow">
      <w:rPr>
        <w:rFonts w:ascii="@Yu Gothic UI" w:hAnsi="@Yu Gothic UI"/>
        <w:sz w:val="20"/>
      </w:rPr>
      <w:tblPr/>
      <w:trPr/>
      <w:tcPr>
        <w:shd w:val="clear" w:color="auto" w:fill="004B6E"/>
      </w:tcPr>
    </w:tblStylePr>
  </w:style>
  <w:style w:type="table" w:styleId="T4">
    <w:name w:val="Tabellrutnät1"/>
    <w:basedOn w:val="T0"/>
    <w:tblPr>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Pr>
    <w:trPr/>
    <w:tcPr/>
  </w:style>
  <w:style w:type="table" w:styleId="T5">
    <w:name w:val="Norconsult Blue"/>
    <w:basedOn w:val="T0"/>
    <w:pPr>
      <w:spacing w:lineRule="auto" w:line="259" w:beforeAutospacing="0" w:afterAutospacing="0"/>
    </w:pPr>
    <w:rPr>
      <w:rFonts w:asciiTheme="minorHAnsi" w:hAnsiTheme="minorHAnsi" w:cstheme="minorBidi" w:eastAsiaTheme="minorHAnsi"/>
      <w:szCs w:val="22"/>
      <w:lang w:val="nb-NO" w:eastAsia="en-US"/>
    </w:rPr>
    <w:tblPr>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CellMar>
        <w:left w:w="57" w:type="dxa"/>
        <w:right w:w="57" w:type="dxa"/>
      </w:tblCellMar>
    </w:tblPr>
    <w:trPr/>
    <w:tcPr>
      <w:shd w:val="clear" w:color="auto" w:fill="FFFFFF" w:themeFill="background1"/>
    </w:tcPr>
    <w:tblStylePr w:type="firstRow">
      <w:rPr>
        <w:rFonts w:ascii="Arial" w:hAnsi="Arial"/>
        <w:b w:val="1"/>
        <w:color w:val="FFFFFF" w:themeColor="background1"/>
        <w:sz w:val="18"/>
      </w:rPr>
      <w:tblPr/>
      <w:trPr/>
      <w:tcPr>
        <w:tcBorders>
          <w:top w:val="single" w:sz="4" w:space="0" w:shadow="0" w:frame="0" w:color="C0504D" w:themeColor="accent2"/>
          <w:left w:val="single" w:sz="4" w:space="0" w:shadow="0" w:frame="0" w:color="C0504D" w:themeColor="accent2"/>
          <w:bottom w:val="single" w:sz="4" w:space="0" w:shadow="0" w:frame="0" w:color="C0504D" w:themeColor="accent2"/>
          <w:right w:val="single" w:sz="4" w:space="0" w:shadow="0" w:frame="0" w:color="C0504D" w:themeColor="accent2"/>
          <w:insideH w:val="single" w:sz="4" w:space="0" w:shadow="0" w:frame="0" w:color="FFFFFF" w:themeColor="background1"/>
          <w:insideV w:val="single" w:sz="4" w:space="0" w:shadow="0" w:frame="0" w:color="FFFFFF" w:themeColor="background1"/>
          <w:tl2br w:val="nil"/>
          <w:tr2bl w:val="nil"/>
        </w:tcBorders>
        <w:shd w:val="clear" w:color="auto" w:fill="C0504D" w:themeFill="accent2"/>
      </w:tcPr>
    </w:tblStylePr>
  </w:style>
  <w:style w:type="table" w:styleId="T6">
    <w:name w:val="Grid Table Light"/>
    <w:basedOn w:val="T0"/>
    <w:tblPr>
      <w:tblBorders>
        <w:top w:val="single" w:sz="4" w:space="0" w:shadow="0" w:frame="0" w:color="BFBFBF" w:themeColor="background1" w:themeShade="BF"/>
        <w:left w:val="single" w:sz="4" w:space="0" w:shadow="0" w:frame="0" w:color="BFBFBF" w:themeColor="background1" w:themeShade="BF"/>
        <w:bottom w:val="single" w:sz="4" w:space="0" w:shadow="0" w:frame="0" w:color="BFBFBF" w:themeColor="background1" w:themeShade="BF"/>
        <w:right w:val="single" w:sz="4" w:space="0" w:shadow="0" w:frame="0" w:color="BFBFBF" w:themeColor="background1" w:themeShade="BF"/>
        <w:insideH w:val="single" w:sz="4" w:space="0" w:shadow="0" w:frame="0" w:color="BFBFBF" w:themeColor="background1" w:themeShade="BF"/>
        <w:insideV w:val="single" w:sz="4" w:space="0" w:shadow="0" w:frame="0" w:color="BFBFBF" w:themeColor="background1" w:themeShade="BF"/>
      </w:tblBorders>
    </w:tblPr>
    <w:trPr/>
    <w:tcPr/>
  </w:style>
  <w:style w:type="table" w:styleId="T7">
    <w:name w:val="Plain Table 11"/>
    <w:basedOn w:val="T0"/>
    <w:tblPr>
      <w:tblStyleRowBandSize w:val="1"/>
      <w:tblStyleColBandSize w:val="1"/>
      <w:tblBorders>
        <w:top w:val="single" w:sz="4" w:space="0" w:shadow="0" w:frame="0" w:color="BFBFBF" w:themeColor="background1" w:themeShade="BF"/>
        <w:left w:val="single" w:sz="4" w:space="0" w:shadow="0" w:frame="0" w:color="BFBFBF" w:themeColor="background1" w:themeShade="BF"/>
        <w:bottom w:val="single" w:sz="4" w:space="0" w:shadow="0" w:frame="0" w:color="BFBFBF" w:themeColor="background1" w:themeShade="BF"/>
        <w:right w:val="single" w:sz="4" w:space="0" w:shadow="0" w:frame="0" w:color="BFBFBF" w:themeColor="background1" w:themeShade="BF"/>
        <w:insideH w:val="single" w:sz="4" w:space="0" w:shadow="0" w:frame="0" w:color="BFBFBF" w:themeColor="background1" w:themeShade="BF"/>
        <w:insideV w:val="single" w:sz="4" w:space="0" w:shadow="0" w:frame="0" w:color="BFBFBF" w:themeColor="background1" w:themeShade="BF"/>
      </w:tblBorders>
    </w:tblPr>
    <w:trPr/>
    <w:tcPr/>
    <w:tblStylePr w:type="band1Horz">
      <w:tblPr/>
      <w:trPr/>
      <w:tcPr>
        <w:shd w:val="clear" w:color="auto" w:fill="F2F2F2" w:themeFill="background1" w:themeFillShade="F2"/>
      </w:tcPr>
    </w:tblStylePr>
    <w:tblStylePr w:type="band1Vert">
      <w:tblPr/>
      <w:trPr/>
      <w:tcPr>
        <w:shd w:val="clear" w:color="auto" w:fill="F2F2F2" w:themeFill="background1" w:themeFillShade="F2"/>
      </w:tcPr>
    </w:tblStylePr>
    <w:tblStylePr w:type="lastCol">
      <w:rPr>
        <w:b w:val="1"/>
        <w:bCs w:val="1"/>
      </w:rPr>
      <w:tblPr/>
      <w:trPr/>
      <w:tcPr/>
    </w:tblStylePr>
    <w:tblStylePr w:type="firstCol">
      <w:rPr>
        <w:b w:val="1"/>
        <w:bCs w:val="1"/>
      </w:rPr>
      <w:tblPr/>
      <w:trPr/>
      <w:tcPr/>
    </w:tblStylePr>
    <w:tblStylePr w:type="lastRow">
      <w:rPr>
        <w:b w:val="1"/>
        <w:bCs w:val="1"/>
      </w:rPr>
      <w:tblPr/>
      <w:trPr/>
      <w:tcPr>
        <w:tcBorders>
          <w:top w:val="double" w:sz="4" w:space="0" w:shadow="0" w:frame="0" w:color="BFBFBF" w:themeColor="background1" w:themeShade="BF"/>
        </w:tcBorders>
      </w:tcPr>
    </w:tblStylePr>
    <w:tblStylePr w:type="firstRow">
      <w:rPr>
        <w:b w:val="1"/>
        <w:bCs w:val="1"/>
      </w:rPr>
      <w:tblPr/>
      <w:trPr/>
      <w:tcPr/>
    </w:tblStylePr>
  </w:style>
  <w:style w:type="numbering" w:styleId="N0">
    <w:name w:val="No List"/>
  </w:style>
</w:styles>
</file>

<file path=word/_rels/document.xml.rels>&#65279;<?xml version="1.0" encoding="utf-8"?><Relationships xmlns="http://schemas.openxmlformats.org/package/2006/relationships"><Relationship Id="Relimage1" Type="http://schemas.openxmlformats.org/officeDocument/2006/relationships/image" Target="/media/image1.png" /><Relationship Id="Relimage2" Type="http://schemas.openxmlformats.org/officeDocument/2006/relationships/image" Target="/media/image2.jpg" /><Relationship Id="Relimage3" Type="http://schemas.openxmlformats.org/officeDocument/2006/relationships/image" Target="/media/image3.png" /><Relationship Id="Relimage4" Type="http://schemas.openxmlformats.org/officeDocument/2006/relationships/image" Target="/media/image4.png" /><Relationship Id="Relimage5" Type="http://schemas.openxmlformats.org/officeDocument/2006/relationships/image" Target="/media/image5.png" /><Relationship Id="Relimage6" Type="http://schemas.openxmlformats.org/officeDocument/2006/relationships/image" Target="/media/image6.png" /><Relationship Id="Relimage7" Type="http://schemas.openxmlformats.org/officeDocument/2006/relationships/image" Target="/media/image7.png" /><Relationship Id="Relimage8" Type="http://schemas.openxmlformats.org/officeDocument/2006/relationships/image" Target="/media/image8.png" /><Relationship Id="Relimage9" Type="http://schemas.openxmlformats.org/officeDocument/2006/relationships/image" Target="/media/image9.png" /><Relationship Id="Relimage10" Type="http://schemas.openxmlformats.org/officeDocument/2006/relationships/image" Target="/media/image10.png" /><Relationship Id="Relimage11" Type="http://schemas.openxmlformats.org/officeDocument/2006/relationships/image" Target="/media/image11.png" /><Relationship Id="Relimage12" Type="http://schemas.openxmlformats.org/officeDocument/2006/relationships/image" Target="/media/image12.png" /><Relationship Id="Relimage13" Type="http://schemas.openxmlformats.org/officeDocument/2006/relationships/image" Target="/media/image13.png" /><Relationship Id="Relimage14" Type="http://schemas.openxmlformats.org/officeDocument/2006/relationships/image" Target="/media/image14.jpg" /><Relationship Id="Relimage15" Type="http://schemas.openxmlformats.org/officeDocument/2006/relationships/image" Target="/media/image15.png" /><Relationship Id="Relimage16" Type="http://schemas.openxmlformats.org/officeDocument/2006/relationships/image" Target="/media/image16.png" /><Relationship Id="Relimage17" Type="http://schemas.openxmlformats.org/officeDocument/2006/relationships/image" Target="/media/image17.png" /><Relationship Id="Relimage18" Type="http://schemas.openxmlformats.org/officeDocument/2006/relationships/image" Target="/media/image18.png" /><Relationship Id="Relimage19" Type="http://schemas.openxmlformats.org/officeDocument/2006/relationships/image" Target="/media/image19.png" /><Relationship Id="Relimage20" Type="http://schemas.openxmlformats.org/officeDocument/2006/relationships/image" Target="/media/image20.png" /><Relationship Id="Relimage21" Type="http://schemas.openxmlformats.org/officeDocument/2006/relationships/image" Target="/media/image21.png" /><Relationship Id="RelHdr1" Type="http://schemas.openxmlformats.org/officeDocument/2006/relationships/header" Target="header1.xml" /><Relationship Id="RelHdr2" Type="http://schemas.openxmlformats.org/officeDocument/2006/relationships/header" Target="header2.xml" /><Relationship Id="RelFtr1" Type="http://schemas.openxmlformats.org/officeDocument/2006/relationships/footer" Target="footer1.xml" /><Relationship Id="RelFtr2" Type="http://schemas.openxmlformats.org/officeDocument/2006/relationships/footer" Target="footer2.xml" /><Relationship Id="RelFnt1" Type="http://schemas.openxmlformats.org/officeDocument/2006/relationships/footnotes" Target="footnotes.xml" /><Relationship Id="RelEnt1" Type="http://schemas.openxmlformats.org/officeDocument/2006/relationships/endnotes" Target="endnotes.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 Id="RelItem2" Type="http://schemas.openxmlformats.org/officeDocument/2006/relationships/customXml" Target="../customXml/item2.xml" /><Relationship Id="RelItem3" Type="http://schemas.openxmlformats.org/officeDocument/2006/relationships/customXml" Target="../customXml/item3.xml" /><Relationship Id="RelItem4" Type="http://schemas.openxmlformats.org/officeDocument/2006/relationships/customXml" Target="../customXml/item4.xml" /><Relationship Id="RelItem5" Type="http://schemas.openxmlformats.org/officeDocument/2006/relationships/customXml" Target="../customXml/item5.xml" /></Relationships>
</file>

<file path=word/_rels/endnotes.xml.rels>&#65279;<?xml version="1.0" encoding="utf-8"?><Relationships xmlns="http://schemas.openxmlformats.org/package/2006/relationships" />
</file>

<file path=word/_rels/footer1.xml.rels>&#65279;<?xml version="1.0" encoding="utf-8"?><Relationships xmlns="http://schemas.openxmlformats.org/package/2006/relationships" />
</file>

<file path=word/_rels/footer2.xml.rels>&#65279;<?xml version="1.0" encoding="utf-8"?><Relationships xmlns="http://schemas.openxmlformats.org/package/2006/relationships" />
</file>

<file path=word/_rels/footnotes.xml.rels>&#65279;<?xml version="1.0" encoding="utf-8"?><Relationships xmlns="http://schemas.openxmlformats.org/package/2006/relationships" />
</file>

<file path=word/_rels/header1.xml.rels>&#65279;<?xml version="1.0" encoding="utf-8"?><Relationships xmlns="http://schemas.openxmlformats.org/package/2006/relationships"><Relationship Id="Relimage22" Type="http://schemas.openxmlformats.org/officeDocument/2006/relationships/image" Target="/media/image22.jpg" /></Relationships>
</file>

<file path=word/_rels/header2.xml.rels>&#65279;<?xml version="1.0" encoding="utf-8"?><Relationships xmlns="http://schemas.openxmlformats.org/package/2006/relationships" />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_rels/item4.xml.rels>&#65279;<?xml version="1.0" encoding="utf-8"?><Relationships xmlns="http://schemas.openxmlformats.org/package/2006/relationships"><Relationship Id="rId1" Type="http://schemas.openxmlformats.org/officeDocument/2006/relationships/customXmlProps" Target="itemProps4.xml" /></Relationships>
</file>

<file path=customXml/_rels/item5.xml.rels>&#65279;<?xml version="1.0" encoding="utf-8"?><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0C83825ED609E4D95E74145E2B0EB93" ma:contentTypeVersion="0" ma:contentTypeDescription="Skapa ett nytt dokument." ma:contentTypeScope="" ma:versionID="e27154bbab42327f3aa77d7df10a6bea">
  <xsd:schema xmlns:xsd="http://www.w3.org/2001/XMLSchema" xmlns:xs="http://www.w3.org/2001/XMLSchema" xmlns:p="http://schemas.microsoft.com/office/2006/metadata/properties" targetNamespace="http://schemas.microsoft.com/office/2006/metadata/properties" ma:root="true" ma:fieldsID="5e7c3a0df2a984d1f10169887be6a91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Planbeskrivning xmlns:lmg="http://namespace.lantmateriet.se/distribution/geometri/v1" xmlns:gml="http://www.opengis.net/gml/3.2" xmlns="http://namespace.lantmateriet.se/distribution/geodatakatalog/planbeskrivning/v1">
  <Omfattning>
    <identitet>be_ärendeinformation01</identitet>
    <Indelning>
      <tema>Beskrivning av detaljplanen</tema>
      <grupp>Ärendeinformation</grupp>
    </Indelning>
  </Omfattning>
  <Omfattning>
    <identitet>be_heladetaljplan01</identitet>
    <Indelning>
      <tema>Beskrivning av detaljplanen</tema>
      <grupp>Hela detaljplan</grupp>
    </Indelning>
  </Omfattning>
  <Omfattning>
    <identitet>sy_syfte01</identitet>
    <Indelning>
      <tema>Detaljplanens syfte</tema>
      <grupp>Syfte</grupp>
    </Indelning>
  </Omfattning>
  <Omfattning>
    <identitet>be_befintligt01</identitet>
    <Indelning>
      <tema>Beskrivning av detaljplanen</tema>
      <grupp>Befintligt</grupp>
    </Indelning>
  </Omfattning>
  <Omfattning>
    <identitet>be_befintligt02</identitet>
    <Indelning>
      <tema>Beskrivning av detaljplanen</tema>
      <grupp>Befintligt</grupp>
    </Indelning>
  </Omfattning>
  <Omfattning>
    <identitet>be_allmänplats01</identitet>
    <Indelning>
      <tema>Beskrivning av detaljplanen</tema>
      <grupp>Allmän plats</grupp>
    </Indelning>
  </Omfattning>
  <Omfattning>
    <identitet>be_allmänplats02</identitet>
    <Indelning>
      <tema>Beskrivning av detaljplanen</tema>
      <grupp>Allmän plats</grupp>
    </Indelning>
  </Omfattning>
  <Omfattning>
    <identitet>be_kvartersmark01</identitet>
    <Indelning>
      <tema>Beskrivning av detaljplanen</tema>
      <grupp>Kvartersmark</grupp>
    </Indelning>
  </Omfattning>
  <Omfattning>
    <identitet>be_allmänplats03</identitet>
    <Indelning>
      <tema>Beskrivning av detaljplanen</tema>
      <grupp>Allmän plats</grupp>
    </Indelning>
  </Omfattning>
  <Omfattning>
    <identitet>be_heladetaljplan02</identitet>
    <Indelning>
      <tema>Beskrivning av detaljplanen</tema>
      <grupp>Hela detaljplan</grupp>
    </Indelning>
  </Omfattning>
  <Omfattning>
    <identitet>be_heladetaljplan03</identitet>
    <Indelning>
      <tema>Beskrivning av detaljplanen</tema>
      <grupp>Hela detaljplan</grupp>
    </Indelning>
  </Omfattning>
  <Omfattning>
    <identitet>pf_miljö01</identitet>
    <Indelning>
      <tema>Planeringsförutsättningar</tema>
      <grupp>Miljö</grupp>
    </Indelning>
  </Omfattning>
  <Omfattning>
    <identitet>be_heladetaljplan04</identitet>
    <Indelning>
      <tema>Beskrivning av detaljplanen</tema>
      <grupp>Hela detaljplan</grupp>
    </Indelning>
  </Omfattning>
  <Omfattning>
    <identitet>be_heladetaljplan05</identitet>
    <Indelning>
      <tema>Beskrivning av detaljplanen</tema>
      <grupp>Hela detaljplan</grupp>
    </Indelning>
  </Omfattning>
  <Omfattning>
    <identitet>be_heladetaljplan06</identitet>
    <Indelning>
      <tema>Beskrivning av detaljplanen</tema>
      <grupp>Hela detaljplan</grupp>
    </Indelning>
  </Omfattning>
  <Omfattning>
    <identitet>mo_motivtillreglering01</identitet>
    <lmg:Ytgeometri>
      <lmg:absolutLagesosakerhetPlan>0</lmg:absolutLagesosakerhetPlan>
      <lmg:absolutLagesosakerhetHojd>0</lmg:absolutLagesosakerhetHojd>
      <lmg:koordinatsystemPlan>EPSG:3010</lmg:koordinatsystemPlan>
      <lmg:hojdsystem>RH 2000</lmg:hojdsystem>
      <lmg:dimension>2</lmg:dimension>
      <lmg:Position>
        <gml:Polygon gml:id="4d7e49dc-15ce-4aa5-a5ab-c75a1c39958b_f1">
          <gml:exterior>
            <gml:LinearRing>
              <gml:posList>6404812.376 156237.643 6404811.866 156235.838 6404811.164 156233.353 6404809.504 156230.185 6404807.141 156227.501 6404804.211 156225.451 6404795.201 156220.638 6404783.766 156214.528 6404773.882 156209.247 6404772.769 156208.653 6404762.758 156204.747 6404757.546 156204.09 6404752.458 156205.401 6404748.213 156208.495 6404746.75 156211.009 6404738.443 156225.288 6404708.666 156276.471 6404682.736 156261.386 6404700.237 156231.306 6404700.566 156230.741 6404716.472 156203.4 6404721.274 156195.147 6404724.567 156189.488 6404725.892 156187.21 6404727.242 156184.89 6404717.531 156173.264 6404717.071 156172.994 6404717.048 156172.98 6404711.053 156169.453 6404701.38 156163.476 6404698.504 156161.699 6404694.143 156159.004 6404691.912 156157.486 6404677.277 156147.53 6404676.914 156147.261 6404675.472 156146.193 6404663.939 156137.648 6404661.414 156138.188 6404656.275 156139.286 6404650.031 156134.286 6404649.937 156128.994 6404649.89 156126.395 6404645.157 156122.394 6404639.997 156117.812 6404638.205 156116.222 6404632.52 156111.174 6404632.505 156111.16 6404645.655 156096.059 6404653.83 156103.218 6404665.659 156113.576 6404665.87 156113.76 6404674.038 156104.603 6404679.685 156109.54 6404674.809 156115.605 6404678.59 156118.634 6404680.59 156120.115 6404691.176 156127.958 6404697.282 156132.112 6404707.207 156138.865 6404722.635 156148.397 6404723.448 156148.9 6404723.96 156149.201 6404731.528 156153.654 6404742.684 156150.734 6404746.472 156149.743 6404747.906 156149.367 6404754.027 156138.849 6404761.454 156126.601 6404767.926 156115.927 6404790.147 156081.882 6404790.973 156082.445 6404814.941 156098.781 6404807.394 156110.343 6404793.321 156131.907 6404779.82 156154.172 6404778.818 156155.893 6404769.572 156171.783 6404769.362 156177.258 6404770.81 156182.543 6404773.78 156187.147 6404775.267 156188.38 6404777.997 156190.644 6404779.206 156191.646 6404777.916 156194.092 6404777.836 156194.244 6404784.134 156197.95 6404806.443 156211.075 6404822.378 156220.451 6404815.329 156232.566 6404812.376 156237.643</gml:posList>
            </gml:LinearRing>
          </gml:exterior>
        </gml:Polygon>
      </lmg:Position>
    </lmg:Ytgeometri>
    <objektreferens>4d7e49dc-15ce-4aa5-a5ab-c75a1c39958b</objektreferens>
    <Indelning>
      <tema>Motiv till detaljplanens regleringar</tema>
      <grupp>Motiv till reglering</grupp>
    </Indelning>
  </Omfattning>
  <Omfattning>
    <identitet>mo_motivtillreglering02</identitet>
    <lmg:Ytgeometri>
      <lmg:absolutLagesosakerhetPlan>0</lmg:absolutLagesosakerhetPlan>
      <lmg:absolutLagesosakerhetHojd>0</lmg:absolutLagesosakerhetHojd>
      <lmg:koordinatsystemPlan>EPSG:3010</lmg:koordinatsystemPlan>
      <lmg:hojdsystem>RH 2000</lmg:hojdsystem>
      <lmg:dimension>2</lmg:dimension>
      <lmg:Position>
        <gml:Polygon gml:id="882cad17-bc16-4196-8615-b65aacb56088_f1">
          <gml:exterior>
            <gml:LinearRing>
              <gml:posList>6404653.83 156103.218 6404658.772 156097.68 6404650.591 156090.379 6404653.794 156086.692 6404674.038 156104.603 6404665.87 156113.76 6404665.659 156113.576 6404653.83 156103.218</gml:posList>
            </gml:LinearRing>
          </gml:exterior>
        </gml:Polygon>
      </lmg:Position>
    </lmg:Ytgeometri>
    <objektreferens>882cad17-bc16-4196-8615-b65aacb56088</objektreferens>
    <Indelning>
      <tema>Motiv till detaljplanens regleringar</tema>
      <grupp>Motiv till reglering</grupp>
    </Indelning>
  </Omfattning>
  <Omfattning>
    <identitet>be_allmänplats04</identitet>
    <lmg:Ytgeometri>
      <lmg:absolutLagesosakerhetPlan>0</lmg:absolutLagesosakerhetPlan>
      <lmg:absolutLagesosakerhetHojd>0</lmg:absolutLagesosakerhetHojd>
      <lmg:koordinatsystemPlan>EPSG:3010</lmg:koordinatsystemPlan>
      <lmg:hojdsystem>RH 2000</lmg:hojdsystem>
      <lmg:dimension>2</lmg:dimension>
      <lmg:Position>
        <gml:Polygon gml:id="4d7e49dc-15ce-4aa5-a5ab-c75a1c39958b_f0">
          <gml:exterior>
            <gml:LinearRing>
              <gml:posList>6404812.376 156237.643 6404811.866 156235.838 6404811.164 156233.353 6404809.504 156230.185 6404807.141 156227.501 6404804.211 156225.451 6404795.201 156220.638 6404783.766 156214.528 6404773.882 156209.247 6404772.769 156208.653 6404762.758 156204.747 6404757.546 156204.09 6404752.458 156205.401 6404748.213 156208.495 6404746.75 156211.009 6404738.443 156225.288 6404708.666 156276.471 6404682.736 156261.386 6404700.237 156231.306 6404700.566 156230.741 6404716.472 156203.4 6404721.274 156195.147 6404724.567 156189.488 6404725.892 156187.21 6404727.242 156184.89 6404717.531 156173.264 6404717.071 156172.994 6404717.048 156172.98 6404711.053 156169.453 6404701.38 156163.476 6404698.504 156161.699 6404694.143 156159.004 6404691.912 156157.486 6404677.277 156147.53 6404676.914 156147.261 6404675.472 156146.193 6404663.939 156137.648 6404661.414 156138.188 6404656.275 156139.286 6404650.031 156134.286 6404649.937 156128.994 6404649.89 156126.395 6404645.157 156122.394 6404639.997 156117.812 6404638.205 156116.222 6404632.52 156111.174 6404632.505 156111.16 6404645.655 156096.059 6404653.83 156103.218 6404665.659 156113.576 6404665.87 156113.76 6404674.038 156104.603 6404679.685 156109.54 6404674.809 156115.605 6404678.59 156118.634 6404680.59 156120.115 6404691.176 156127.958 6404697.282 156132.112 6404707.207 156138.865 6404722.635 156148.397 6404723.448 156148.9 6404723.96 156149.201 6404731.528 156153.654 6404742.684 156150.734 6404746.472 156149.743 6404747.906 156149.367 6404754.027 156138.849 6404761.454 156126.601 6404767.926 156115.927 6404790.147 156081.882 6404790.973 156082.445 6404814.941 156098.781 6404807.394 156110.343 6404793.321 156131.907 6404779.82 156154.172 6404778.818 156155.893 6404769.572 156171.783 6404769.362 156177.258 6404770.81 156182.543 6404773.78 156187.147 6404775.267 156188.38 6404777.997 156190.644 6404779.206 156191.646 6404777.916 156194.092 6404777.836 156194.244 6404784.134 156197.95 6404806.443 156211.075 6404822.378 156220.451 6404815.329 156232.566 6404812.376 156237.643</gml:posList>
            </gml:LinearRing>
          </gml:exterior>
        </gml:Polygon>
      </lmg:Position>
    </lmg:Ytgeometri>
    <objektreferens>4d7e49dc-15ce-4aa5-a5ab-c75a1c39958b</objektreferens>
    <Indelning>
      <tema>Beskrivning av detaljplanen</tema>
      <grupp>Allmän plats</grupp>
    </Indelning>
  </Omfattning>
  <Omfattning>
    <identitet>be_allmänplats05</identitet>
    <lmg:Ytgeometri>
      <lmg:absolutLagesosakerhetPlan>0</lmg:absolutLagesosakerhetPlan>
      <lmg:absolutLagesosakerhetHojd>0</lmg:absolutLagesosakerhetHojd>
      <lmg:koordinatsystemPlan>EPSG:3010</lmg:koordinatsystemPlan>
      <lmg:hojdsystem>RH 2000</lmg:hojdsystem>
      <lmg:dimension>2</lmg:dimension>
      <lmg:Position>
        <gml:Polygon gml:id="882cad17-bc16-4196-8615-b65aacb56088_f0">
          <gml:exterior>
            <gml:LinearRing>
              <gml:posList>6404653.83 156103.218 6404658.772 156097.68 6404650.591 156090.379 6404653.794 156086.692 6404674.038 156104.603 6404665.87 156113.76 6404665.659 156113.576 6404653.83 156103.218</gml:posList>
            </gml:LinearRing>
          </gml:exterior>
        </gml:Polygon>
      </lmg:Position>
    </lmg:Ytgeometri>
    <objektreferens>882cad17-bc16-4196-8615-b65aacb56088</objektreferens>
    <Indelning>
      <tema>Beskrivning av detaljplanen</tema>
      <grupp>Allmän plats</grupp>
    </Indelning>
  </Omfattning>
  <Omfattning>
    <identitet>be_kvartersmark04</identitet>
    <lmg:Ytgeometri>
      <lmg:absolutLagesosakerhetPlan>0</lmg:absolutLagesosakerhetPlan>
      <lmg:absolutLagesosakerhetHojd>0</lmg:absolutLagesosakerhetHojd>
      <lmg:koordinatsystemPlan>EPSG:3010</lmg:koordinatsystemPlan>
      <lmg:hojdsystem>RH 2000</lmg:hojdsystem>
      <lmg:dimension>2</lmg:dimension>
      <lmg:Position>
        <gml:Polygon gml:id="693a554e-3e49-4fd5-87b6-d81fdd8bac78_f0">
          <gml:exterior>
            <gml:LinearRing>
              <gml:posList>6404631.353 156112.794 6404631.2 156112.658 6404632.501 156111.164 6404632.505 156111.16 6404632.52 156111.174 6404638.205 156116.222 6404639.997 156117.812 6404645.157 156122.394 6404649.89 156126.395 6404649.937 156128.994 6404643.847 156123.905 6404631.353 156112.794</gml:posList>
            </gml:LinearRing>
          </gml:exterior>
        </gml:Polygon>
      </lmg:Position>
    </lmg:Ytgeometri>
    <lmg:Ytgeometri>
      <lmg:absolutLagesosakerhetPlan>0</lmg:absolutLagesosakerhetPlan>
      <lmg:absolutLagesosakerhetHojd>0</lmg:absolutLagesosakerhetHojd>
      <lmg:koordinatsystemPlan>EPSG:3010</lmg:koordinatsystemPlan>
      <lmg:hojdsystem>RH 2000</lmg:hojdsystem>
      <lmg:dimension>2</lmg:dimension>
      <lmg:Position>
        <gml:Polygon gml:id="4750a9a8-2420-478f-8645-3c9401892a9e_f0">
          <gml:exterior>
            <gml:LinearRing>
              <gml:posList>6404724.567 156189.488 6404716.804 156180.194 6404717.061 156177.708 6404716.564 156177.656 6404716.822 156175.168 6404714.559 156173.836 6404713.44 156173.178 6404710.02 156171.166 6404701.798 156166.085 6404697.262 156163.283 6404697.095 156163.179 6404693.054 156160.683 6404676.118 156149.161 6404661.414 156138.188 6404663.939 156137.648 6404675.472 156146.193 6404676.914 156147.261 6404677.277 156147.53 6404691.912 156157.486 6404694.143 156159.004 6404698.504 156161.699 6404701.38 156163.476 6404711.053 156169.453 6404717.048 156172.98 6404717.071 156172.994 6404717.531 156173.264 6404727.242 156184.89 6404725.892 156187.21 6404724.567 156189.488</gml:posList>
            </gml:LinearRing>
          </gml:exterior>
        </gml:Polygon>
      </lmg:Position>
    </lmg:Ytgeometri>
    <objektreferens>693a554e-3e49-4fd5-87b6-d81fdd8bac78</objektreferens>
    <objektreferens>4750a9a8-2420-478f-8645-3c9401892a9e</objektreferens>
    <Indelning>
      <tema>Beskrivning av detaljplanen</tema>
      <grupp>Kvartersmark</grupp>
    </Indelning>
  </Omfattning>
  <Omfattning>
    <identitet>mo_motivtillreglering05</identitet>
    <lmg:Ytgeometri>
      <lmg:absolutLagesosakerhetPlan>0</lmg:absolutLagesosakerhetPlan>
      <lmg:absolutLagesosakerhetHojd>0</lmg:absolutLagesosakerhetHojd>
      <lmg:koordinatsystemPlan>EPSG:3010</lmg:koordinatsystemPlan>
      <lmg:hojdsystem>RH 2000</lmg:hojdsystem>
      <lmg:dimension>2</lmg:dimension>
      <lmg:Position>
        <gml:Polygon gml:id="693a554e-3e49-4fd5-87b6-d81fdd8bac78_f1">
          <gml:exterior>
            <gml:LinearRing>
              <gml:posList>6404631.353 156112.794 6404631.2 156112.658 6404632.501 156111.164 6404632.505 156111.16 6404632.52 156111.174 6404638.205 156116.222 6404639.997 156117.812 6404645.157 156122.394 6404649.89 156126.395 6404649.937 156128.994 6404643.847 156123.905 6404631.353 156112.794</gml:posList>
            </gml:LinearRing>
          </gml:exterior>
        </gml:Polygon>
      </lmg:Position>
    </lmg:Ytgeometri>
    <lmg:Ytgeometri>
      <lmg:absolutLagesosakerhetPlan>0</lmg:absolutLagesosakerhetPlan>
      <lmg:absolutLagesosakerhetHojd>0</lmg:absolutLagesosakerhetHojd>
      <lmg:koordinatsystemPlan>EPSG:3010</lmg:koordinatsystemPlan>
      <lmg:hojdsystem>RH 2000</lmg:hojdsystem>
      <lmg:dimension>2</lmg:dimension>
      <lmg:Position>
        <gml:Polygon gml:id="4750a9a8-2420-478f-8645-3c9401892a9e_f1">
          <gml:exterior>
            <gml:LinearRing>
              <gml:posList>6404724.567 156189.488 6404716.804 156180.194 6404717.061 156177.708 6404716.564 156177.656 6404716.822 156175.168 6404714.559 156173.836 6404713.44 156173.178 6404710.02 156171.166 6404701.798 156166.085 6404697.262 156163.283 6404697.095 156163.179 6404693.054 156160.683 6404676.118 156149.161 6404661.414 156138.188 6404663.939 156137.648 6404675.472 156146.193 6404676.914 156147.261 6404677.277 156147.53 6404691.912 156157.486 6404694.143 156159.004 6404698.504 156161.699 6404701.38 156163.476 6404711.053 156169.453 6404717.048 156172.98 6404717.071 156172.994 6404717.531 156173.264 6404727.242 156184.89 6404725.892 156187.21 6404724.567 156189.488</gml:posList>
            </gml:LinearRing>
          </gml:exterior>
        </gml:Polygon>
      </lmg:Position>
    </lmg:Ytgeometri>
    <objektreferens>693a554e-3e49-4fd5-87b6-d81fdd8bac78</objektreferens>
    <objektreferens>4750a9a8-2420-478f-8645-3c9401892a9e</objektreferens>
    <Indelning>
      <tema>Motiv till detaljplanens regleringar</tema>
      <grupp>Motiv till reglering</grupp>
    </Indelning>
  </Omfattning>
  <Omfattning>
    <identitet>be_kvartersmark05</identitet>
    <lmg:Ytgeometri>
      <lmg:absolutLagesosakerhetPlan>0</lmg:absolutLagesosakerhetPlan>
      <lmg:absolutLagesosakerhetHojd>0</lmg:absolutLagesosakerhetHojd>
      <lmg:koordinatsystemPlan>EPSG:3010</lmg:koordinatsystemPlan>
      <lmg:hojdsystem>RH 2000</lmg:hojdsystem>
      <lmg:dimension>2</lmg:dimension>
      <lmg:Position>
        <gml:Polygon gml:id="560d018f-3f3d-4648-8250-918ad4511439_f0">
          <gml:exterior>
            <gml:LinearRing>
              <gml:posList>6404653.83 156103.218 6404645.655 156096.059 6404650.591 156090.379 6404658.772 156097.68 6404653.83 156103.218</gml:posList>
            </gml:LinearRing>
          </gml:exterior>
        </gml:Polygon>
      </lmg:Position>
    </lmg:Ytgeometri>
    <objektreferens>560d018f-3f3d-4648-8250-918ad4511439</objektreferens>
    <Indelning>
      <tema>Beskrivning av detaljplanen</tema>
      <grupp>Kvartersmark</grupp>
    </Indelning>
  </Omfattning>
  <Omfattning>
    <identitet>mo_motivtillreglering06</identitet>
    <lmg:Ytgeometri>
      <lmg:absolutLagesosakerhetPlan>0</lmg:absolutLagesosakerhetPlan>
      <lmg:absolutLagesosakerhetHojd>0</lmg:absolutLagesosakerhetHojd>
      <lmg:koordinatsystemPlan>EPSG:3010</lmg:koordinatsystemPlan>
      <lmg:hojdsystem>RH 2000</lmg:hojdsystem>
      <lmg:dimension>2</lmg:dimension>
      <lmg:Position>
        <gml:Polygon gml:id="560d018f-3f3d-4648-8250-918ad4511439_f1">
          <gml:exterior>
            <gml:LinearRing>
              <gml:posList>6404653.83 156103.218 6404645.655 156096.059 6404650.591 156090.379 6404658.772 156097.68 6404653.83 156103.218</gml:posList>
            </gml:LinearRing>
          </gml:exterior>
        </gml:Polygon>
      </lmg:Position>
    </lmg:Ytgeometri>
    <objektreferens>560d018f-3f3d-4648-8250-918ad4511439</objektreferens>
    <Indelning>
      <tema>Motiv till detaljplanens regleringar</tema>
      <grupp>Motiv till reglering</grupp>
    </Indelning>
  </Omfattning>
  <Omfattning>
    <identitet>be_kvartersmark06</identitet>
    <lmg:Ytgeometri>
      <lmg:absolutLagesosakerhetPlan>0</lmg:absolutLagesosakerhetPlan>
      <lmg:absolutLagesosakerhetHojd>0</lmg:absolutLagesosakerhetHojd>
      <lmg:koordinatsystemPlan>EPSG:3010</lmg:koordinatsystemPlan>
      <lmg:hojdsystem>RH 2000</lmg:hojdsystem>
      <lmg:dimension>2</lmg:dimension>
      <lmg:Position>
        <gml:Polygon gml:id="0db7d0af-34da-4a8a-96a0-76dc656df3a1_f0">
          <gml:exterior>
            <gml:LinearRing>
              <gml:posList>6404751.936 156214.026 6404746.75 156211.009 6404748.213 156208.495 6404752.458 156205.401 6404757.546 156204.09 6404762.758 156204.747 6404772.769 156208.653 6404773.882 156209.247 6404783.766 156214.528 6404795.201 156220.638 6404804.211 156225.451 6404807.141 156227.501 6404809.504 156230.185 6404811.164 156233.353 6404811.866 156235.838 6404812.376 156237.643 6404811.406 156239.31 6404811.07 156239.888 6404808.18 156244.856 6404806.602 156239.275 6404805.559 156235.585 6404804.524 156233.608 6404803.113 156232.005 6404801.067 156230.574 6404770.256 156214.113 6404761.27 156210.607 6404757.933 156210.186 6404755.066 156210.925 6404752.765 156212.601 6404752.252 156213.483 6404751.936 156214.026</gml:posList>
            </gml:LinearRing>
          </gml:exterior>
        </gml:Polygon>
      </lmg:Position>
    </lmg:Ytgeometri>
    <lmg:Ytgeometri>
      <lmg:absolutLagesosakerhetPlan>0</lmg:absolutLagesosakerhetPlan>
      <lmg:absolutLagesosakerhetHojd>0</lmg:absolutLagesosakerhetHojd>
      <lmg:koordinatsystemPlan>EPSG:3010</lmg:koordinatsystemPlan>
      <lmg:hojdsystem>RH 2000</lmg:hojdsystem>
      <lmg:dimension>2</lmg:dimension>
      <lmg:Position>
        <gml:Polygon gml:id="ded4869a-ac9c-4897-a3e5-f3c34d0a61c8_f0">
          <gml:exterior>
            <gml:LinearRing>
              <gml:posList>6404806.443 156211.075 6404784.134 156197.95 6404777.836 156194.244 6404777.916 156194.092 6404779.206 156191.646 6404779.955 156190.228 6404789.097 156195.452 6404789.801 156195.854 6404796.597 156199.737 6404804.562 156204.288 6404808.903 156206.769 6404806.443 156211.075</gml:posList>
            </gml:LinearRing>
          </gml:exterior>
        </gml:Polygon>
      </lmg:Position>
    </lmg:Ytgeometri>
    <lmg:Ytgeometri>
      <lmg:absolutLagesosakerhetPlan>0</lmg:absolutLagesosakerhetPlan>
      <lmg:absolutLagesosakerhetHojd>0</lmg:absolutLagesosakerhetHojd>
      <lmg:koordinatsystemPlan>EPSG:3010</lmg:koordinatsystemPlan>
      <lmg:hojdsystem>RH 2000</lmg:hojdsystem>
      <lmg:dimension>2</lmg:dimension>
      <lmg:Position>
        <gml:Polygon gml:id="370c297c-5009-4370-8df1-c0213ee08ebf_f0">
          <gml:exterior>
            <gml:LinearRing>
              <gml:posList>6404631.353 156112.794 6404631.2 156112.658 6404632.501 156111.164 6404632.505 156111.16 6404632.52 156111.174 6404638.205 156116.222 6404639.997 156117.812 6404645.157 156122.394 6404649.89 156126.395 6404649.937 156128.994 6404643.847 156123.905 6404631.353 156112.794</gml:posList>
            </gml:LinearRing>
          </gml:exterior>
        </gml:Polygon>
      </lmg:Position>
    </lmg:Ytgeometri>
    <lmg:Ytgeometri>
      <lmg:absolutLagesosakerhetPlan>0</lmg:absolutLagesosakerhetPlan>
      <lmg:absolutLagesosakerhetHojd>0</lmg:absolutLagesosakerhetHojd>
      <lmg:koordinatsystemPlan>EPSG:3010</lmg:koordinatsystemPlan>
      <lmg:hojdsystem>RH 2000</lmg:hojdsystem>
      <lmg:dimension>2</lmg:dimension>
      <lmg:Position>
        <gml:Polygon gml:id="bd7d3419-6d83-4a5f-ab9c-dd64b33bc330_f0">
          <gml:exterior>
            <gml:LinearRing>
              <gml:posList>6404724.567 156189.488 6404716.804 156180.194 6404717.061 156177.708 6404716.564 156177.656 6404716.822 156175.168 6404714.559 156173.836 6404713.44 156173.178 6404710.02 156171.166 6404701.798 156166.085 6404697.262 156163.283 6404697.095 156163.179 6404693.054 156160.683 6404676.118 156149.161 6404661.414 156138.188 6404663.939 156137.648 6404675.472 156146.193 6404676.914 156147.261 6404677.277 156147.53 6404691.912 156157.486 6404694.143 156159.004 6404698.504 156161.699 6404701.38 156163.476 6404711.053 156169.453 6404717.048 156172.98 6404717.071 156172.994 6404717.531 156173.264 6404727.242 156184.89 6404725.892 156187.21 6404724.567 156189.488</gml:posList>
            </gml:LinearRing>
          </gml:exterior>
        </gml:Polygon>
      </lmg:Position>
    </lmg:Ytgeometri>
    <lmg:Ytgeometri>
      <lmg:absolutLagesosakerhetPlan>0</lmg:absolutLagesosakerhetPlan>
      <lmg:absolutLagesosakerhetHojd>0</lmg:absolutLagesosakerhetHojd>
      <lmg:koordinatsystemPlan>EPSG:3010</lmg:koordinatsystemPlan>
      <lmg:hojdsystem>RH 2000</lmg:hojdsystem>
      <lmg:dimension>2</lmg:dimension>
      <lmg:Position>
        <gml:Polygon gml:id="aab361c0-0653-4180-8425-956e48f4be64_f0">
          <gml:exterior>
            <gml:LinearRing>
              <gml:posList>6404779.955 156190.228 6404779.206 156191.646 6404777.997 156190.644 6404775.267 156188.38 6404773.78 156187.147 6404770.81 156182.543 6404769.362 156177.258 6404769.572 156171.783 6404778.818 156155.893 6404779.82 156154.172 6404793.321 156131.907 6404807.394 156110.343 6404812.419 156113.623 6404798.4 156135.103 6404785.006 156157.19 6404784.978 156157.237 6404784.951 156157.284 6404775.51 156173.508 6404775.393 156176.564 6404776.352 156180.066 6404778.321 156183.118 6404781.827 156186.025 6404782.067 156186.224 6404779.955 156190.228</gml:posList>
            </gml:LinearRing>
          </gml:exterior>
        </gml:Polygon>
      </lmg:Position>
    </lmg:Ytgeometri>
    <objektreferens>0db7d0af-34da-4a8a-96a0-76dc656df3a1</objektreferens>
    <objektreferens>ded4869a-ac9c-4897-a3e5-f3c34d0a61c8</objektreferens>
    <objektreferens>370c297c-5009-4370-8df1-c0213ee08ebf</objektreferens>
    <objektreferens>bd7d3419-6d83-4a5f-ab9c-dd64b33bc330</objektreferens>
    <objektreferens>aab361c0-0653-4180-8425-956e48f4be64</objektreferens>
    <Indelning>
      <tema>Beskrivning av detaljplanen</tema>
      <grupp>Kvartersmark</grupp>
    </Indelning>
  </Omfattning>
  <Omfattning>
    <identitet>mo_motivtillreglering07</identitet>
    <lmg:Ytgeometri>
      <lmg:absolutLagesosakerhetPlan>0</lmg:absolutLagesosakerhetPlan>
      <lmg:absolutLagesosakerhetHojd>0</lmg:absolutLagesosakerhetHojd>
      <lmg:koordinatsystemPlan>EPSG:3010</lmg:koordinatsystemPlan>
      <lmg:hojdsystem>RH 2000</lmg:hojdsystem>
      <lmg:dimension>2</lmg:dimension>
      <lmg:Position>
        <gml:Polygon gml:id="0db7d0af-34da-4a8a-96a0-76dc656df3a1_f1">
          <gml:exterior>
            <gml:LinearRing>
              <gml:posList>6404751.936 156214.026 6404746.75 156211.009 6404748.213 156208.495 6404752.458 156205.401 6404757.546 156204.09 6404762.758 156204.747 6404772.769 156208.653 6404773.882 156209.247 6404783.766 156214.528 6404795.201 156220.638 6404804.211 156225.451 6404807.141 156227.501 6404809.504 156230.185 6404811.164 156233.353 6404811.866 156235.838 6404812.376 156237.643 6404811.406 156239.31 6404811.07 156239.888 6404808.18 156244.856 6404806.602 156239.275 6404805.559 156235.585 6404804.524 156233.608 6404803.113 156232.005 6404801.067 156230.574 6404770.256 156214.113 6404761.27 156210.607 6404757.933 156210.186 6404755.066 156210.925 6404752.765 156212.601 6404752.252 156213.483 6404751.936 156214.026</gml:posList>
            </gml:LinearRing>
          </gml:exterior>
        </gml:Polygon>
      </lmg:Position>
    </lmg:Ytgeometri>
    <lmg:Ytgeometri>
      <lmg:absolutLagesosakerhetPlan>0</lmg:absolutLagesosakerhetPlan>
      <lmg:absolutLagesosakerhetHojd>0</lmg:absolutLagesosakerhetHojd>
      <lmg:koordinatsystemPlan>EPSG:3010</lmg:koordinatsystemPlan>
      <lmg:hojdsystem>RH 2000</lmg:hojdsystem>
      <lmg:dimension>2</lmg:dimension>
      <lmg:Position>
        <gml:Polygon gml:id="ded4869a-ac9c-4897-a3e5-f3c34d0a61c8_f1">
          <gml:exterior>
            <gml:LinearRing>
              <gml:posList>6404806.443 156211.075 6404784.134 156197.95 6404777.836 156194.244 6404777.916 156194.092 6404779.206 156191.646 6404779.955 156190.228 6404789.097 156195.452 6404789.801 156195.854 6404796.597 156199.737 6404804.562 156204.288 6404808.903 156206.769 6404806.443 156211.075</gml:posList>
            </gml:LinearRing>
          </gml:exterior>
        </gml:Polygon>
      </lmg:Position>
    </lmg:Ytgeometri>
    <lmg:Ytgeometri>
      <lmg:absolutLagesosakerhetPlan>0</lmg:absolutLagesosakerhetPlan>
      <lmg:absolutLagesosakerhetHojd>0</lmg:absolutLagesosakerhetHojd>
      <lmg:koordinatsystemPlan>EPSG:3010</lmg:koordinatsystemPlan>
      <lmg:hojdsystem>RH 2000</lmg:hojdsystem>
      <lmg:dimension>2</lmg:dimension>
      <lmg:Position>
        <gml:Polygon gml:id="370c297c-5009-4370-8df1-c0213ee08ebf_f1">
          <gml:exterior>
            <gml:LinearRing>
              <gml:posList>6404631.353 156112.794 6404631.2 156112.658 6404632.501 156111.164 6404632.505 156111.16 6404632.52 156111.174 6404638.205 156116.222 6404639.997 156117.812 6404645.157 156122.394 6404649.89 156126.395 6404649.937 156128.994 6404643.847 156123.905 6404631.353 156112.794</gml:posList>
            </gml:LinearRing>
          </gml:exterior>
        </gml:Polygon>
      </lmg:Position>
    </lmg:Ytgeometri>
    <lmg:Ytgeometri>
      <lmg:absolutLagesosakerhetPlan>0</lmg:absolutLagesosakerhetPlan>
      <lmg:absolutLagesosakerhetHojd>0</lmg:absolutLagesosakerhetHojd>
      <lmg:koordinatsystemPlan>EPSG:3010</lmg:koordinatsystemPlan>
      <lmg:hojdsystem>RH 2000</lmg:hojdsystem>
      <lmg:dimension>2</lmg:dimension>
      <lmg:Position>
        <gml:Polygon gml:id="bd7d3419-6d83-4a5f-ab9c-dd64b33bc330_f1">
          <gml:exterior>
            <gml:LinearRing>
              <gml:posList>6404724.567 156189.488 6404716.804 156180.194 6404717.061 156177.708 6404716.564 156177.656 6404716.822 156175.168 6404714.559 156173.836 6404713.44 156173.178 6404710.02 156171.166 6404701.798 156166.085 6404697.262 156163.283 6404697.095 156163.179 6404693.054 156160.683 6404676.118 156149.161 6404661.414 156138.188 6404663.939 156137.648 6404675.472 156146.193 6404676.914 156147.261 6404677.277 156147.53 6404691.912 156157.486 6404694.143 156159.004 6404698.504 156161.699 6404701.38 156163.476 6404711.053 156169.453 6404717.048 156172.98 6404717.071 156172.994 6404717.531 156173.264 6404727.242 156184.89 6404725.892 156187.21 6404724.567 156189.488</gml:posList>
            </gml:LinearRing>
          </gml:exterior>
        </gml:Polygon>
      </lmg:Position>
    </lmg:Ytgeometri>
    <lmg:Ytgeometri>
      <lmg:absolutLagesosakerhetPlan>0</lmg:absolutLagesosakerhetPlan>
      <lmg:absolutLagesosakerhetHojd>0</lmg:absolutLagesosakerhetHojd>
      <lmg:koordinatsystemPlan>EPSG:3010</lmg:koordinatsystemPlan>
      <lmg:hojdsystem>RH 2000</lmg:hojdsystem>
      <lmg:dimension>2</lmg:dimension>
      <lmg:Position>
        <gml:Polygon gml:id="aab361c0-0653-4180-8425-956e48f4be64_f1">
          <gml:exterior>
            <gml:LinearRing>
              <gml:posList>6404779.955 156190.228 6404779.206 156191.646 6404777.997 156190.644 6404775.267 156188.38 6404773.78 156187.147 6404770.81 156182.543 6404769.362 156177.258 6404769.572 156171.783 6404778.818 156155.893 6404779.82 156154.172 6404793.321 156131.907 6404807.394 156110.343 6404812.419 156113.623 6404798.4 156135.103 6404785.006 156157.19 6404784.978 156157.237 6404784.951 156157.284 6404775.51 156173.508 6404775.393 156176.564 6404776.352 156180.066 6404778.321 156183.118 6404781.827 156186.025 6404782.067 156186.224 6404779.955 156190.228</gml:posList>
            </gml:LinearRing>
          </gml:exterior>
        </gml:Polygon>
      </lmg:Position>
    </lmg:Ytgeometri>
    <objektreferens>0db7d0af-34da-4a8a-96a0-76dc656df3a1</objektreferens>
    <objektreferens>ded4869a-ac9c-4897-a3e5-f3c34d0a61c8</objektreferens>
    <objektreferens>370c297c-5009-4370-8df1-c0213ee08ebf</objektreferens>
    <objektreferens>bd7d3419-6d83-4a5f-ab9c-dd64b33bc330</objektreferens>
    <objektreferens>aab361c0-0653-4180-8425-956e48f4be64</objektreferens>
    <Indelning>
      <tema>Motiv till detaljplanens regleringar</tema>
      <grupp>Motiv till reglering</grupp>
    </Indelning>
  </Omfattning>
  <Omfattning>
    <identitet>be_kvartersmark07</identitet>
    <lmg:Linjegeometri>
      <lmg:absolutLagesosakerhetPlan>0</lmg:absolutLagesosakerhetPlan>
      <lmg:absolutLagesosakerhetHojd>0</lmg:absolutLagesosakerhetHojd>
      <lmg:koordinatsystemPlan>EPSG:3010</lmg:koordinatsystemPlan>
      <lmg:hojdsystem>RH 2000</lmg:hojdsystem>
      <lmg:dimension>2</lmg:dimension>
      <lmg:Position>
        <gml:LineString gml:id="db80b01a-e1b2-44ff-9a86-18b6170264bf_f0">
          <gml:posList>6404746.75 156211.009 6404748.213 156208.495 6404752.458 156205.401 6404757.546 156204.09 6404762.758 156204.747 6404772.769 156208.653 6404773.882 156209.247</gml:posList>
        </gml:LineString>
      </lmg:Position>
    </lmg:Linjegeometri>
    <lmg:Linjegeometri>
      <lmg:absolutLagesosakerhetPlan>0</lmg:absolutLagesosakerhetPlan>
      <lmg:absolutLagesosakerhetHojd>0</lmg:absolutLagesosakerhetHojd>
      <lmg:koordinatsystemPlan>EPSG:3010</lmg:koordinatsystemPlan>
      <lmg:hojdsystem>RH 2000</lmg:hojdsystem>
      <lmg:dimension>2</lmg:dimension>
      <lmg:Position>
        <gml:LineString gml:id="81631474-985f-4e2d-9976-85805cd1a819_f0">
          <gml:posList>6404784.134 156197.95 6404777.836 156194.244 6404777.916 156194.092 6404779.206 156191.646 6404777.997 156190.644 6404775.267 156188.38 6404773.78 156187.147 6404770.81 156182.543 6404769.362 156177.258 6404769.572 156171.783 6404778.818 156155.893</gml:posList>
        </gml:LineString>
      </lmg:Position>
    </lmg:Linjegeometri>
    <lmg:Linjegeometri>
      <lmg:absolutLagesosakerhetPlan>0</lmg:absolutLagesosakerhetPlan>
      <lmg:absolutLagesosakerhetHojd>0</lmg:absolutLagesosakerhetHojd>
      <lmg:koordinatsystemPlan>EPSG:3010</lmg:koordinatsystemPlan>
      <lmg:hojdsystem>RH 2000</lmg:hojdsystem>
      <lmg:dimension>2</lmg:dimension>
      <lmg:Position>
        <gml:LineString gml:id="d5004ea3-fa7d-499d-b9a9-9c4613080f85_f0">
          <gml:posList>6404724.567 156189.488 6404725.892 156187.21 6404727.242 156184.89 6404717.531 156173.264 6404717.071 156172.994 6404717.048 156172.98 6404711.053 156169.453 6404701.38 156163.476 6404698.504 156161.699 6404694.143 156159.004 6404691.912 156157.486 6404677.277 156147.53 6404676.914 156147.261 6404675.472 156146.193 6404663.939 156137.648 6404661.414 156138.188</gml:posList>
        </gml:LineString>
      </lmg:Position>
    </lmg:Linjegeometri>
    <lmg:Linjegeometri>
      <lmg:absolutLagesosakerhetPlan>0</lmg:absolutLagesosakerhetPlan>
      <lmg:absolutLagesosakerhetHojd>0</lmg:absolutLagesosakerhetHojd>
      <lmg:koordinatsystemPlan>EPSG:3010</lmg:koordinatsystemPlan>
      <lmg:hojdsystem>RH 2000</lmg:hojdsystem>
      <lmg:dimension>2</lmg:dimension>
      <lmg:Position>
        <gml:LineString gml:id="3740c3e2-af93-46e4-b694-3e052475e976_f0">
          <gml:posList>6404632.505 156111.16 6404632.52 156111.174 6404638.205 156116.222 6404639.997 156117.812 6404645.157 156122.394 6404649.89 156126.395 6404649.937 156128.994</gml:posList>
        </gml:LineString>
      </lmg:Position>
    </lmg:Linjegeometri>
    <objektreferens>db80b01a-e1b2-44ff-9a86-18b6170264bf</objektreferens>
    <objektreferens>81631474-985f-4e2d-9976-85805cd1a819</objektreferens>
    <objektreferens>d5004ea3-fa7d-499d-b9a9-9c4613080f85</objektreferens>
    <objektreferens>3740c3e2-af93-46e4-b694-3e052475e976</objektreferens>
    <Indelning>
      <tema>Beskrivning av detaljplanen</tema>
      <grupp>Kvartersmark</grupp>
    </Indelning>
  </Omfattning>
  <Omfattning>
    <identitet>mo_motivtillreglering08</identitet>
    <lmg:Linjegeometri>
      <lmg:absolutLagesosakerhetPlan>0</lmg:absolutLagesosakerhetPlan>
      <lmg:absolutLagesosakerhetHojd>0</lmg:absolutLagesosakerhetHojd>
      <lmg:koordinatsystemPlan>EPSG:3010</lmg:koordinatsystemPlan>
      <lmg:hojdsystem>RH 2000</lmg:hojdsystem>
      <lmg:dimension>2</lmg:dimension>
      <lmg:Position>
        <gml:LineString gml:id="db80b01a-e1b2-44ff-9a86-18b6170264bf_f1">
          <gml:posList>6404746.75 156211.009 6404748.213 156208.495 6404752.458 156205.401 6404757.546 156204.09 6404762.758 156204.747 6404772.769 156208.653 6404773.882 156209.247</gml:posList>
        </gml:LineString>
      </lmg:Position>
    </lmg:Linjegeometri>
    <lmg:Linjegeometri>
      <lmg:absolutLagesosakerhetPlan>0</lmg:absolutLagesosakerhetPlan>
      <lmg:absolutLagesosakerhetHojd>0</lmg:absolutLagesosakerhetHojd>
      <lmg:koordinatsystemPlan>EPSG:3010</lmg:koordinatsystemPlan>
      <lmg:hojdsystem>RH 2000</lmg:hojdsystem>
      <lmg:dimension>2</lmg:dimension>
      <lmg:Position>
        <gml:LineString gml:id="81631474-985f-4e2d-9976-85805cd1a819_f1">
          <gml:posList>6404784.134 156197.95 6404777.836 156194.244 6404777.916 156194.092 6404779.206 156191.646 6404777.997 156190.644 6404775.267 156188.38 6404773.78 156187.147 6404770.81 156182.543 6404769.362 156177.258 6404769.572 156171.783 6404778.818 156155.893</gml:posList>
        </gml:LineString>
      </lmg:Position>
    </lmg:Linjegeometri>
    <lmg:Linjegeometri>
      <lmg:absolutLagesosakerhetPlan>0</lmg:absolutLagesosakerhetPlan>
      <lmg:absolutLagesosakerhetHojd>0</lmg:absolutLagesosakerhetHojd>
      <lmg:koordinatsystemPlan>EPSG:3010</lmg:koordinatsystemPlan>
      <lmg:hojdsystem>RH 2000</lmg:hojdsystem>
      <lmg:dimension>2</lmg:dimension>
      <lmg:Position>
        <gml:LineString gml:id="d5004ea3-fa7d-499d-b9a9-9c4613080f85_f1">
          <gml:posList>6404724.567 156189.488 6404725.892 156187.21 6404727.242 156184.89 6404717.531 156173.264 6404717.071 156172.994 6404717.048 156172.98 6404711.053 156169.453 6404701.38 156163.476 6404698.504 156161.699 6404694.143 156159.004 6404691.912 156157.486 6404677.277 156147.53 6404676.914 156147.261 6404675.472 156146.193 6404663.939 156137.648 6404661.414 156138.188</gml:posList>
        </gml:LineString>
      </lmg:Position>
    </lmg:Linjegeometri>
    <lmg:Linjegeometri>
      <lmg:absolutLagesosakerhetPlan>0</lmg:absolutLagesosakerhetPlan>
      <lmg:absolutLagesosakerhetHojd>0</lmg:absolutLagesosakerhetHojd>
      <lmg:koordinatsystemPlan>EPSG:3010</lmg:koordinatsystemPlan>
      <lmg:hojdsystem>RH 2000</lmg:hojdsystem>
      <lmg:dimension>2</lmg:dimension>
      <lmg:Position>
        <gml:LineString gml:id="3740c3e2-af93-46e4-b694-3e052475e976_f1">
          <gml:posList>6404632.505 156111.16 6404632.52 156111.174 6404638.205 156116.222 6404639.997 156117.812 6404645.157 156122.394 6404649.89 156126.395 6404649.937 156128.994</gml:posList>
        </gml:LineString>
      </lmg:Position>
    </lmg:Linjegeometri>
    <objektreferens>db80b01a-e1b2-44ff-9a86-18b6170264bf</objektreferens>
    <objektreferens>81631474-985f-4e2d-9976-85805cd1a819</objektreferens>
    <objektreferens>d5004ea3-fa7d-499d-b9a9-9c4613080f85</objektreferens>
    <objektreferens>3740c3e2-af93-46e4-b694-3e052475e976</objektreferens>
    <Indelning>
      <tema>Motiv till detaljplanens regleringar</tema>
      <grupp>Motiv till reglering</grupp>
    </Indelning>
  </Omfattning>
  <Omfattning>
    <identitet>mo_motivtillreglering10</identitet>
    <lmg:Ytgeometri>
      <lmg:absolutLagesosakerhetPlan>0</lmg:absolutLagesosakerhetPlan>
      <lmg:absolutLagesosakerhetHojd>0</lmg:absolutLagesosakerhetHojd>
      <lmg:koordinatsystemPlan>EPSG:3010</lmg:koordinatsystemPlan>
      <lmg:hojdsystem>RH 2000</lmg:hojdsystem>
      <lmg:dimension>2</lmg:dimension>
      <lmg:Position>
        <gml:Polygon gml:id="25abd5ea-dab6-40b7-8aa7-31cc12403f8c_f2">
          <gml:exterior>
            <gml:LinearRing>
              <gml:posList>6404751.936 156214.026 6404746.75 156211.009 6404748.213 156208.495 6404752.458 156205.401 6404757.546 156204.09 6404762.758 156204.747 6404772.769 156208.653 6404773.882 156209.247 6404783.766 156214.528 6404795.201 156220.638 6404804.211 156225.451 6404807.141 156227.501 6404809.504 156230.185 6404811.164 156233.353 6404811.866 156235.838 6404812.376 156237.643 6404811.406 156239.31 6404811.07 156239.888 6404808.18 156244.856 6404806.602 156239.275 6404805.559 156235.585 6404804.524 156233.608 6404803.113 156232.005 6404801.067 156230.574 6404770.256 156214.113 6404761.27 156210.607 6404757.933 156210.186 6404755.066 156210.925 6404752.765 156212.601 6404752.252 156213.483 6404751.936 156214.026</gml:posList>
            </gml:LinearRing>
          </gml:exterior>
        </gml:Polygon>
      </lmg:Position>
    </lmg:Ytgeometri>
    <objektreferens>25abd5ea-dab6-40b7-8aa7-31cc12403f8c</objektreferens>
    <Indelning>
      <tema>Motiv till detaljplanens regleringar</tema>
      <grupp>Motiv till reglering</grupp>
    </Indelning>
  </Omfattning>
  <Omfattning>
    <identitet>pf_översiktsplan01</identitet>
    <Indelning>
      <tema>Planeringsförutsättningar</tema>
      <grupp>Kommunala</grupp>
      <undergrupp>Översiktsplan</undergrupp>
    </Indelning>
  </Omfattning>
  <Omfattning>
    <identitet>pf_detaljplan01</identitet>
    <Indelning>
      <tema>Planeringsförutsättningar</tema>
      <grupp>Kommunala</grupp>
      <undergrupp>Detaljplan</undergrupp>
    </Indelning>
  </Omfattning>
  <Omfattning>
    <identitet>pf_planprogram01</identitet>
    <Indelning>
      <tema>Planeringsförutsättningar</tema>
      <grupp>Kommunala</grupp>
      <undergrupp>Planprogram</undergrupp>
    </Indelning>
  </Omfattning>
  <Omfattning>
    <identitet>pf_riksintressen01</identitet>
    <Indelning>
      <tema>Planeringsförutsättningar</tema>
      <grupp>Riksintressen</grupp>
    </Indelning>
  </Omfattning>
  <Omfattning>
    <identitet>pf_naturvård01</identitet>
    <Indelning>
      <tema>Planeringsförutsättningar</tema>
      <grupp>Riksintressen</grupp>
      <undergrupp>Naturvård</undergrupp>
    </Indelning>
  </Omfattning>
  <Omfattning>
    <identitet>pf_kulturmiljövård01</identitet>
    <Indelning>
      <tema>Planeringsförutsättningar</tema>
      <grupp>Riksintressen</grupp>
      <undergrupp>Kulturmiljövård</undergrupp>
    </Indelning>
  </Omfattning>
  <Omfattning>
    <identitet>pf_trafikkommunikation01</identitet>
    <Indelning>
      <tema>Planeringsförutsättningar</tema>
      <grupp>Riksintressen</grupp>
      <undergrupp>Trafikkommunikation</undergrupp>
    </Indelning>
  </Omfattning>
  <Omfattning>
    <identitet>pf_totalförsvar01</identitet>
    <Indelning>
      <tema>Planeringsförutsättningar</tema>
      <grupp>Riksintressen</grupp>
      <undergrupp>Totalförsvar</undergrupp>
    </Indelning>
  </Omfattning>
  <Omfattning>
    <identitet>pf_rörligtfriluftsliv01</identitet>
    <Indelning>
      <tema>Planeringsförutsättningar</tema>
      <grupp>Riksintressen</grupp>
      <undergrupp>Rörligt friluftsliv</undergrupp>
    </Indelning>
  </Omfattning>
  <Omfattning>
    <identitet>pf_obrutenkust01</identitet>
    <Indelning>
      <tema>Planeringsförutsättningar</tema>
      <grupp>Riksintressen</grupp>
      <undergrupp>Obruten kust</undergrupp>
    </Indelning>
  </Omfattning>
  <Omfattning>
    <identitet>pf_natura200001</identitet>
    <Indelning>
      <tema>Planeringsförutsättningar</tema>
      <grupp>Riksintressen</grupp>
      <undergrupp>Natura 2000</undergrupp>
    </Indelning>
  </Omfattning>
  <Omfattning>
    <identitet>pf_friluftsliv01</identitet>
    <Indelning>
      <tema>Planeringsförutsättningar</tema>
      <grupp>Riksintressen</grupp>
      <undergrupp>Friluftsliv</undergrupp>
    </Indelning>
  </Omfattning>
  <Omfattning>
    <identitet>pf_strandskydd01</identitet>
    <Indelning>
      <tema>Planeringsförutsättningar</tema>
      <grupp>Miljö</grupp>
      <undergrupp>Strandskydd</undergrupp>
    </Indelning>
  </Omfattning>
  <Omfattning>
    <identitet>pf_miljö02</identitet>
    <Indelning>
      <tema>Planeringsförutsättningar</tema>
      <grupp>Miljö</grupp>
    </Indelning>
  </Omfattning>
  <Omfattning>
    <identitet>pf_kulturmiljö01</identitet>
    <Indelning>
      <tema>Planeringsförutsättningar</tema>
      <grupp>Kulturmiljö</grupp>
    </Indelning>
  </Omfattning>
  <Omfattning>
    <identitet>pf_fornlämningar01</identitet>
    <Indelning>
      <tema>Planeringsförutsättningar</tema>
      <grupp>Kulturmiljö</grupp>
      <undergrupp>Fornlämningar</undergrupp>
    </Indelning>
  </Omfattning>
  <Omfattning>
    <identitet>pf_byggnadsminnen01</identitet>
    <Indelning>
      <tema>Planeringsförutsättningar</tema>
      <grupp>Kulturmiljö</grupp>
      <undergrupp>Byggnadsminnen</undergrupp>
    </Indelning>
  </Omfattning>
  <Omfattning>
    <identitet>pf_fysiskmiljö01</identitet>
    <Indelning>
      <tema>Planeringsförutsättningar</tema>
      <grupp>Fysisk miljö</grupp>
    </Indelning>
  </Omfattning>
  <Omfattning>
    <identitet>pf_miljö03</identitet>
    <Indelning>
      <tema>Planeringsförutsättningar</tema>
      <grupp>Miljö</grupp>
    </Indelning>
  </Omfattning>
  <Omfattning>
    <identitet>pf_service01</identitet>
    <Indelning>
      <tema>Planeringsförutsättningar</tema>
      <grupp>Service</grupp>
    </Indelning>
  </Omfattning>
  <Omfattning>
    <identitet>pf_trafik01</identitet>
    <Indelning>
      <tema>Planeringsförutsättningar</tema>
      <grupp>Trafik</grupp>
    </Indelning>
  </Omfattning>
  <Omfattning>
    <identitet>pf_geotekniskaförhållanden01</identitet>
    <Indelning>
      <tema>Planeringsförutsättningar</tema>
      <grupp>Geotekniska förhållanden</grupp>
    </Indelning>
  </Omfattning>
  <Omfattning>
    <identitet>pf_hälsaochsäkerhet01</identitet>
    <Indelning>
      <tema>Planeringsförutsättningar</tema>
      <grupp>Hälsa och säkerhet</grupp>
    </Indelning>
  </Omfattning>
  <Omfattning>
    <identitet>pf_hälsaochsäkerhet02</identitet>
    <Indelning>
      <tema>Planeringsförutsättningar</tema>
      <grupp>Hälsa och säkerhet</grupp>
    </Indelning>
  </Omfattning>
  <Omfattning>
    <identitet>pf_omgivningsbuller01</identitet>
    <Indelning>
      <tema>Planeringsförutsättningar</tema>
      <grupp>Hälsa och säkerhet</grupp>
      <undergrupp>Omgivningsbuller</undergrupp>
    </Indelning>
  </Omfattning>
  <Omfattning>
    <identitet>pf_riskförolyckor01</identitet>
    <Indelning>
      <tema>Planeringsförutsättningar</tema>
      <grupp>Hälsa och säkerhet</grupp>
      <undergrupp>Risk för olyckor</undergrupp>
    </Indelning>
  </Omfattning>
  <Omfattning>
    <identitet>pf_riskförolyckor02</identitet>
    <Indelning>
      <tema>Planeringsförutsättningar</tema>
      <grupp>Hälsa och säkerhet</grupp>
      <undergrupp>Risk för olyckor</undergrupp>
    </Indelning>
  </Omfattning>
  <Omfattning>
    <identitet>pf_hydrologiskaförhållanden01</identitet>
    <Indelning>
      <tema>Planeringsförutsättningar</tema>
      <grupp>Hydrologiska förhållanden</grupp>
    </Indelning>
  </Omfattning>
  <Omfattning>
    <identitet>pf_hälsaochsäkerhet03</identitet>
    <Indelning>
      <tema>Planeringsförutsättningar</tema>
      <grupp>Hälsa och säkerhet</grupp>
    </Indelning>
  </Omfattning>
  <Omfattning>
    <identitet>pf_riskförerosion01</identitet>
    <Indelning>
      <tema>Planeringsförutsättningar</tema>
      <grupp>Hälsa och säkerhet</grupp>
      <undergrupp>Risk för erosion</undergrupp>
    </Indelning>
  </Omfattning>
  <Omfattning>
    <identitet>pf_riskförras01</identitet>
    <Indelning>
      <tema>Planeringsförutsättningar</tema>
      <grupp>Hälsa och säkerhet</grupp>
      <undergrupp>Risk för ras</undergrupp>
    </Indelning>
  </Omfattning>
  <Omfattning>
    <identitet>pf_riskförskred01</identitet>
    <Indelning>
      <tema>Planeringsförutsättningar</tema>
      <grupp>Hälsa och säkerhet</grupp>
      <undergrupp>Risk för skred</undergrupp>
    </Indelning>
  </Omfattning>
  <Omfattning>
    <identitet>pf_riskföröversvämning01</identitet>
    <Indelning>
      <tema>Planeringsförutsättningar</tema>
      <grupp>Hälsa och säkerhet</grupp>
      <undergrupp>Risk för översvämning</undergrupp>
    </Indelning>
  </Omfattning>
  <Omfattning>
    <identitet>pf_hydrologiskaförhållanden02</identitet>
    <Indelning>
      <tema>Planeringsförutsättningar</tema>
      <grupp>Hydrologiska förhållanden</grupp>
    </Indelning>
  </Omfattning>
  <Omfattning>
    <identitet>pf_teknik01</identitet>
    <Indelning>
      <tema>Planeringsförutsättningar</tema>
      <grupp>Teknik</grupp>
    </Indelning>
  </Omfattning>
  <Omfattning>
    <identitet>pf_teknik02</identitet>
    <Indelning>
      <tema>Planeringsförutsättningar</tema>
      <grupp>Teknik</grupp>
    </Indelning>
  </Omfattning>
  <Omfattning>
    <identitet>pf_hydrologiskaförhållanden03</identitet>
    <Indelning>
      <tema>Planeringsförutsättningar</tema>
      <grupp>Hydrologiska förhållanden</grupp>
    </Indelning>
  </Omfattning>
  <Omfattning>
    <identitet>pf_teknik03</identitet>
    <Indelning>
      <tema>Planeringsförutsättningar</tema>
      <grupp>Teknik</grupp>
    </Indelning>
  </Omfattning>
  <Omfattning>
    <identitet>pf_teknik04</identitet>
    <Indelning>
      <tema>Planeringsförutsättningar</tema>
      <grupp>Teknik</grupp>
    </Indelning>
  </Omfattning>
  <Omfattning>
    <identitet>ko_ställningstagande4kap33b_pbl01</identitet>
    <Indelning>
      <tema>Konsekvenser</tema>
      <grupp>Miljö</grupp>
      <undergrupp>Ställningstagande 4 kap. 33 b § plan- och bygglagen (2010:900)</undergrupp>
    </Indelning>
  </Omfattning>
  <Omfattning>
    <identitet>ko_annat01</identitet>
    <Indelning>
      <tema>Konsekvenser</tema>
      <grupp>Annat</grupp>
    </Indelning>
  </Omfattning>
  <Omfattning>
    <identitet>ko_landskapsbild01</identitet>
    <Indelning>
      <tema>Konsekvenser</tema>
      <grupp>Natur</grupp>
      <undergrupp>Landskapsbild</undergrupp>
    </Indelning>
  </Omfattning>
  <Omfattning>
    <identitet>ko_fastigheterochrättigheter01</identitet>
    <Indelning>
      <tema>Konsekvenser</tema>
      <grupp>Fastigheter och rättigheter</grupp>
    </Indelning>
  </Omfattning>
  <Omfattning>
    <identitet>ko_natur01</identitet>
    <Indelning>
      <tema>Konsekvenser</tema>
      <grupp>Natur</grupp>
    </Indelning>
  </Omfattning>
  <Omfattning>
    <identitet>ko_miljöbedömning01</identitet>
    <Indelning>
      <tema>Konsekvenser</tema>
      <grupp>Miljö</grupp>
      <undergrupp>Miljöbedömning</undergrupp>
    </Indelning>
  </Omfattning>
  <Omfattning>
    <identitet>ko_miljökvalitetsnormer01</identitet>
    <Indelning>
      <tema>Konsekvenser</tema>
      <grupp>Miljökvalitetsnormer</grupp>
    </Indelning>
  </Omfattning>
  <Omfattning>
    <identitet>ko_vatten01</identitet>
    <Indelning>
      <tema>Konsekvenser</tema>
      <grupp>Miljökvalitetsnormer</grupp>
      <undergrupp>Vatten</undergrupp>
    </Indelning>
  </Omfattning>
  <Omfattning>
    <identitet>ko_luft01</identitet>
    <Indelning>
      <tema>Konsekvenser</tema>
      <grupp>Miljökvalitetsnormer</grupp>
      <undergrupp>Luft</undergrupp>
    </Indelning>
  </Omfattning>
  <Omfattning>
    <identitet>ko_buller01</identitet>
    <Indelning>
      <tema>Konsekvenser</tema>
      <grupp>Miljökvalitetsnormer</grupp>
      <undergrupp>Buller</undergrupp>
    </Indelning>
  </Omfattning>
  <Omfattning>
    <identitet>ko_barn01</identitet>
    <Indelning>
      <tema>Konsekvenser</tema>
      <grupp>Sociala</grupp>
      <undergrupp>Barn</undergrupp>
    </Indelning>
  </Omfattning>
  <Omfattning>
    <identitet>ko_jämlikhet01</identitet>
    <Indelning>
      <tema>Konsekvenser</tema>
      <grupp>Sociala</grupp>
      <undergrupp>Jämlikhet</undergrupp>
    </Indelning>
  </Omfattning>
  <Omfattning>
    <identitet>gf_tidplan01</identitet>
    <Indelning>
      <tema>Genomförandefrågor</tema>
      <grupp>Organisatoriska frågor</grupp>
      <undergrupp>Tidplan</undergrupp>
    </Indelning>
  </Omfattning>
  <Omfattning>
    <identitet>be_ärendeinformation02</identitet>
    <Indelning>
      <tema>Beskrivning av detaljplanen</tema>
      <grupp>Ärendeinformation</grupp>
    </Indelning>
  </Omfattning>
  <Omfattning>
    <identitet>be_genomförandetid02</identitet>
    <Indelning>
      <tema>Beskrivning av detaljplanen</tema>
      <grupp>Genomförandetid</grupp>
    </Indelning>
  </Omfattning>
  <Omfattning>
    <identitet>be_huvudmannaskap01</identitet>
    <Indelning>
      <tema>Beskrivning av detaljplanen</tema>
      <grupp>Allmän plats</grupp>
      <undergrupp>Huvudmannaskap</undergrupp>
    </Indelning>
  </Omfattning>
  <Omfattning>
    <identitet>gf_rätttillinlösenhuvudman01</identitet>
    <Indelning>
      <tema>Genomförandefrågor</tema>
      <grupp>Mark- och utrymmesförvärv</grupp>
      <undergrupp>Rätt till inlösen, huvudman</undergrupp>
    </Indelning>
  </Omfattning>
  <Omfattning>
    <identitet>pf_strandskydd02</identitet>
    <Indelning>
      <tema>Planeringsförutsättningar</tema>
      <grupp>Miljö</grupp>
      <undergrupp>Strandskydd</undergrupp>
    </Indelning>
  </Omfattning>
  <Omfattning>
    <identitet>gf_förändradfastighetsindelning01</identitet>
    <Indelning>
      <tema>Genomförandefrågor</tema>
      <grupp>Fastighetsrättsliga frågor</grupp>
      <undergrupp>Förändrad fastighetsindelning</undergrupp>
    </Indelning>
  </Omfattning>
  <Omfattning>
    <identitet>gf_förändradfastighetsindelning02</identitet>
    <Indelning>
      <tema>Genomförandefrågor</tema>
      <grupp>Fastighetsrättsliga frågor</grupp>
      <undergrupp>Förändrad fastighetsindelning</undergrupp>
    </Indelning>
  </Omfattning>
  <Omfattning>
    <identitet>gf_rättigheter01</identitet>
    <Indelning>
      <tema>Genomförandefrågor</tema>
      <grupp>Fastighetsrättsliga frågor</grupp>
      <undergrupp>Rättigheter</undergrupp>
    </Indelning>
  </Omfattning>
  <Omfattning>
    <identitet>gf_tekniskaåtgärder01</identitet>
    <Indelning>
      <tema>Genomförandefrågor</tema>
      <grupp>Tekniska frågor</grupp>
      <undergrupp>Tekniska åtgärder</undergrupp>
    </Indelning>
  </Omfattning>
  <Omfattning>
    <identitet>gf_utbyggnadallmänplats01</identitet>
    <Indelning>
      <tema>Genomförandefrågor</tema>
      <grupp>Tekniska frågor</grupp>
      <undergrupp>Utbyggnad allmän plats</undergrupp>
    </Indelning>
  </Omfattning>
  <Omfattning>
    <identitet>gf_ekonomiskafrågor01</identitet>
    <Indelning>
      <tema>Genomförandefrågor</tema>
      <grupp>Ekonomiska frågor</grupp>
    </Indelning>
  </Omfattning>
  <Omfattning>
    <identitet>gf_planavgift01</identitet>
    <Indelning>
      <tema>Genomförandefrågor</tema>
      <grupp>Ekonomiska frågor</grupp>
      <undergrupp>Planavgift</undergrupp>
    </Indelning>
  </Omfattning>
  <Omfattning>
    <identitet>gf_annat01</identitet>
    <Indelning>
      <tema>Genomförandefrågor</tema>
      <grupp>Annat</grupp>
    </Indelning>
  </Omfattning>
  <Omfattning>
    <identitet>gf_annat02</identitet>
    <Indelning>
      <tema>Genomförandefrågor</tema>
      <grupp>Annat</grupp>
    </Indelning>
  </Omfattning>
  <Omfattning>
    <identitet>gf_annat03</identitet>
    <Indelning>
      <tema>Genomförandefrågor</tema>
      <grupp>Annat</grupp>
    </Indelning>
  </Omfattning>
  <Omfattning>
    <identitet>ko_fastigheterochrättigheter02</identitet>
    <Indelning>
      <tema>Konsekvenser</tema>
      <grupp>Fastigheter och rättigheter</grupp>
    </Indelning>
  </Omfattning>
  <Omfattning>
    <identitet>ko_annat02</identitet>
    <Indelning>
      <tema>Konsekvenser</tema>
      <grupp>Annat</grupp>
    </Indelning>
  </Omfattning>
  <Omfattning>
    <identitet>gf_tekniskaåtgärder02</identitet>
    <Indelning>
      <tema>Genomförandefrågor</tema>
      <grupp>Tekniska frågor</grupp>
      <undergrupp>Tekniska åtgärder</undergrupp>
    </Indelning>
  </Omfattning>
  <Omfattning>
    <identitet>gf_förändradfastighetsindelning03</identitet>
    <Indelning>
      <tema>Genomförandefrågor</tema>
      <grupp>Fastighetsrättsliga frågor</grupp>
      <undergrupp>Förändrad fastighetsindelning</undergrupp>
    </Indelning>
  </Omfattning>
  <Omfattning>
    <identitet>gf_annat04</identitet>
    <Indelning>
      <tema>Genomförandefrågor</tema>
      <grupp>Annat</grupp>
    </Indelning>
  </Omfattning>
  <Omfattning>
    <identitet>be_kvartersmark08</identitet>
    <lmg:Ytgeometri>
      <lmg:absolutLagesosakerhetPlan>0</lmg:absolutLagesosakerhetPlan>
      <lmg:absolutLagesosakerhetHojd>0</lmg:absolutLagesosakerhetHojd>
      <lmg:koordinatsystemPlan>EPSG:3010</lmg:koordinatsystemPlan>
      <lmg:hojdsystem>RH 2000</lmg:hojdsystem>
      <lmg:dimension>2</lmg:dimension>
      <lmg:Position>
        <gml:Polygon gml:id="25abd5ea-dab6-40b7-8aa7-31cc12403f8c_f1">
          <gml:exterior>
            <gml:LinearRing>
              <gml:posList>6404751.936 156214.026 6404746.75 156211.009 6404748.213 156208.495 6404752.458 156205.401 6404757.546 156204.09 6404762.758 156204.747 6404772.769 156208.653 6404773.882 156209.247 6404783.766 156214.528 6404795.201 156220.638 6404804.211 156225.451 6404807.141 156227.501 6404809.504 156230.185 6404811.164 156233.353 6404811.866 156235.838 6404812.376 156237.643 6404811.406 156239.31 6404811.07 156239.888 6404808.18 156244.856 6404806.602 156239.275 6404805.559 156235.585 6404804.524 156233.608 6404803.113 156232.005 6404801.067 156230.574 6404770.256 156214.113 6404761.27 156210.607 6404757.933 156210.186 6404755.066 156210.925 6404752.765 156212.601 6404752.252 156213.483 6404751.936 156214.026</gml:posList>
            </gml:LinearRing>
          </gml:exterior>
        </gml:Polygon>
      </lmg:Position>
    </lmg:Ytgeometri>
    <objektreferens>25abd5ea-dab6-40b7-8aa7-31cc12403f8c</objektreferens>
    <Indelning>
      <tema>Beskrivning av detaljplanen</tema>
      <grupp>Kvartersmark</grupp>
    </Indelning>
  </Omfattning>
  <Omfattning>
    <identitet>be_genomförandetid01</identitet>
    <Indelning>
      <tema>Beskrivning av detaljplanen</tema>
      <grupp>Genomförandetid</grupp>
    </Indelning>
  </Omfattning>
  <Omfattning>
    <identitet>be_kvartersmark02</identitet>
    <Indelning>
      <tema>Beskrivning av detaljplanen</tema>
      <grupp>Kvartersmark</grupp>
    </Indelning>
  </Omfattning>
  <Omfattning>
    <identitet>be_kvartersmark03</identitet>
    <lmg:Ytgeometri>
      <lmg:absolutLagesosakerhetPlan>0</lmg:absolutLagesosakerhetPlan>
      <lmg:absolutLagesosakerhetHojd>0</lmg:absolutLagesosakerhetHojd>
      <lmg:koordinatsystemPlan>EPSG:3010</lmg:koordinatsystemPlan>
      <lmg:hojdsystem>RH 2000</lmg:hojdsystem>
      <lmg:dimension>2</lmg:dimension>
      <lmg:Position>
        <gml:Polygon gml:id="7a46314c-b3db-4737-a723-afdb788e49c1_f0">
          <gml:exterior>
            <gml:LinearRing>
              <gml:posList>6404784.134 156197.95 6404777.836 156194.244 6404777.916 156194.092 6404779.206 156191.646 6404777.997 156190.644 6404775.267 156188.38 6404773.78 156187.147 6404770.81 156182.543 6404769.362 156177.258 6404769.572 156171.783 6404778.818 156155.893 6404779.82 156154.172 6404793.321 156131.907 6404807.394 156110.343 6404812.419 156113.623 6404817.664 156117.046 6404848.623 156137.253 6404836.598 156158.299 6404808.903 156206.769 6404806.443 156211.075 6404784.134 156197.95</gml:posList>
            </gml:LinearRing>
          </gml:exterior>
        </gml:Polygon>
      </lmg:Position>
    </lmg:Ytgeometri>
    <lmg:Ytgeometri>
      <lmg:absolutLagesosakerhetPlan>0</lmg:absolutLagesosakerhetPlan>
      <lmg:absolutLagesosakerhetHojd>0</lmg:absolutLagesosakerhetHojd>
      <lmg:koordinatsystemPlan>EPSG:3010</lmg:koordinatsystemPlan>
      <lmg:hojdsystem>RH 2000</lmg:hojdsystem>
      <lmg:dimension>2</lmg:dimension>
      <lmg:Position>
        <gml:Polygon gml:id="2eccdc07-15d2-4483-8090-918d41868caa_f0">
          <gml:exterior>
            <gml:LinearRing>
              <gml:posList>6404751.936 156214.026 6404746.75 156211.009 6404748.213 156208.495 6404752.458 156205.401 6404757.546 156204.09 6404762.758 156204.747 6404772.769 156208.653 6404773.882 156209.247 6404783.766 156214.528 6404795.201 156220.638 6404804.211 156225.451 6404807.141 156227.501 6404809.504 156230.185 6404811.164 156233.353 6404811.866 156235.838 6404812.376 156237.643 6404811.406 156239.31 6404811.07 156239.888 6404808.18 156244.856 6404806.602 156239.275 6404805.559 156235.585 6404804.524 156233.608 6404803.113 156232.005 6404801.067 156230.574 6404770.256 156214.113 6404761.27 156210.607 6404757.933 156210.186 6404755.066 156210.925 6404752.765 156212.601 6404752.252 156213.483 6404751.936 156214.026</gml:posList>
            </gml:LinearRing>
          </gml:exterior>
        </gml:Polygon>
      </lmg:Position>
    </lmg:Ytgeometri>
    <objektreferens>7a46314c-b3db-4737-a723-afdb788e49c1</objektreferens>
    <objektreferens>2eccdc07-15d2-4483-8090-918d41868caa</objektreferens>
    <Indelning>
      <tema>Beskrivning av detaljplanen</tema>
      <grupp>Kvartersmark</grupp>
    </Indelning>
  </Omfattning>
  <Omfattning>
    <identitet>mo_motivtillreglering03</identitet>
    <lmg:Ytgeometri>
      <lmg:absolutLagesosakerhetPlan>0</lmg:absolutLagesosakerhetPlan>
      <lmg:absolutLagesosakerhetHojd>0</lmg:absolutLagesosakerhetHojd>
      <lmg:koordinatsystemPlan>EPSG:3010</lmg:koordinatsystemPlan>
      <lmg:hojdsystem>RH 2000</lmg:hojdsystem>
      <lmg:dimension>2</lmg:dimension>
      <lmg:Position>
        <gml:Polygon gml:id="7a46314c-b3db-4737-a723-afdb788e49c1_f1">
          <gml:exterior>
            <gml:LinearRing>
              <gml:posList>6404784.134 156197.95 6404777.836 156194.244 6404777.916 156194.092 6404779.206 156191.646 6404777.997 156190.644 6404775.267 156188.38 6404773.78 156187.147 6404770.81 156182.543 6404769.362 156177.258 6404769.572 156171.783 6404778.818 156155.893 6404779.82 156154.172 6404793.321 156131.907 6404807.394 156110.343 6404812.419 156113.623 6404817.664 156117.046 6404848.623 156137.253 6404836.598 156158.299 6404808.903 156206.769 6404806.443 156211.075 6404784.134 156197.95</gml:posList>
            </gml:LinearRing>
          </gml:exterior>
        </gml:Polygon>
      </lmg:Position>
    </lmg:Ytgeometri>
    <lmg:Ytgeometri>
      <lmg:absolutLagesosakerhetPlan>0</lmg:absolutLagesosakerhetPlan>
      <lmg:absolutLagesosakerhetHojd>0</lmg:absolutLagesosakerhetHojd>
      <lmg:koordinatsystemPlan>EPSG:3010</lmg:koordinatsystemPlan>
      <lmg:hojdsystem>RH 2000</lmg:hojdsystem>
      <lmg:dimension>2</lmg:dimension>
      <lmg:Position>
        <gml:Polygon gml:id="2eccdc07-15d2-4483-8090-918d41868caa_f1">
          <gml:exterior>
            <gml:LinearRing>
              <gml:posList>6404751.936 156214.026 6404746.75 156211.009 6404748.213 156208.495 6404752.458 156205.401 6404757.546 156204.09 6404762.758 156204.747 6404772.769 156208.653 6404773.882 156209.247 6404783.766 156214.528 6404795.201 156220.638 6404804.211 156225.451 6404807.141 156227.501 6404809.504 156230.185 6404811.164 156233.353 6404811.866 156235.838 6404812.376 156237.643 6404811.406 156239.31 6404811.07 156239.888 6404808.18 156244.856 6404806.602 156239.275 6404805.559 156235.585 6404804.524 156233.608 6404803.113 156232.005 6404801.067 156230.574 6404770.256 156214.113 6404761.27 156210.607 6404757.933 156210.186 6404755.066 156210.925 6404752.765 156212.601 6404752.252 156213.483 6404751.936 156214.026</gml:posList>
            </gml:LinearRing>
          </gml:exterior>
        </gml:Polygon>
      </lmg:Position>
    </lmg:Ytgeometri>
    <objektreferens>7a46314c-b3db-4737-a723-afdb788e49c1</objektreferens>
    <objektreferens>2eccdc07-15d2-4483-8090-918d41868caa</objektreferens>
    <Indelning>
      <tema>Motiv till detaljplanens regleringar</tema>
      <grupp>Motiv till reglering</grupp>
    </Indelning>
  </Omfattning>
  <Omfattning>
    <identitet>be_kvartersmark09</identitet>
    <lmg:Ytgeometri>
      <lmg:absolutLagesosakerhetPlan>0</lmg:absolutLagesosakerhetPlan>
      <lmg:absolutLagesosakerhetHojd>0</lmg:absolutLagesosakerhetHojd>
      <lmg:koordinatsystemPlan>EPSG:3010</lmg:koordinatsystemPlan>
      <lmg:hojdsystem>RH 2000</lmg:hojdsystem>
      <lmg:dimension>2</lmg:dimension>
      <lmg:Position>
        <gml:Polygon gml:id="778bc9e2-89ee-4918-adee-7c13f5435792_f0">
          <gml:exterior>
            <gml:LinearRing>
              <gml:posList>6404751.936 156214.026 6404746.75 156211.009 6404748.213 156208.495 6404752.458 156205.401 6404757.546 156204.09 6404762.758 156204.747 6404772.769 156208.653 6404773.882 156209.247 6404783.766 156214.528 6404795.201 156220.638 6404804.211 156225.451 6404807.141 156227.501 6404809.504 156230.185 6404811.164 156233.353 6404811.866 156235.838 6404812.376 156237.643 6404811.406 156239.31 6404811.07 156239.888 6404808.18 156244.856 6404806.602 156239.275 6404805.559 156235.585 6404804.524 156233.608 6404803.113 156232.005 6404801.067 156230.574 6404770.256 156214.113 6404761.27 156210.607 6404757.933 156210.186 6404755.066 156210.925 6404752.765 156212.601 6404752.252 156213.483 6404751.936 156214.026</gml:posList>
            </gml:LinearRing>
          </gml:exterior>
        </gml:Polygon>
      </lmg:Position>
    </lmg:Ytgeometri>
    <lmg:Ytgeometri>
      <lmg:absolutLagesosakerhetPlan>0</lmg:absolutLagesosakerhetPlan>
      <lmg:absolutLagesosakerhetHojd>0</lmg:absolutLagesosakerhetHojd>
      <lmg:koordinatsystemPlan>EPSG:3010</lmg:koordinatsystemPlan>
      <lmg:hojdsystem>RH 2000</lmg:hojdsystem>
      <lmg:dimension>2</lmg:dimension>
      <lmg:Position>
        <gml:Polygon gml:id="bbf1c2b1-13da-47f0-ab4b-7bdf34fd528f_f0">
          <gml:exterior>
            <gml:LinearRing>
              <gml:posList>6404784.134 156197.95 6404777.836 156194.244 6404777.916 156194.092 6404779.206 156191.646 6404777.997 156190.644 6404775.267 156188.38 6404773.78 156187.147 6404770.81 156182.543 6404769.362 156177.258 6404769.572 156171.783 6404778.818 156155.893 6404779.82 156154.172 6404793.321 156131.907 6404807.394 156110.343 6404812.419 156113.623 6404817.664 156117.046 6404848.623 156137.253 6404836.598 156158.299 6404808.903 156206.769 6404806.443 156211.075 6404784.134 156197.95</gml:posList>
            </gml:LinearRing>
          </gml:exterior>
        </gml:Polygon>
      </lmg:Position>
    </lmg:Ytgeometri>
    <objektreferens>778bc9e2-89ee-4918-adee-7c13f5435792</objektreferens>
    <objektreferens>bbf1c2b1-13da-47f0-ab4b-7bdf34fd528f</objektreferens>
    <Indelning>
      <tema>Beskrivning av detaljplanen</tema>
      <grupp>Kvartersmark</grupp>
    </Indelning>
  </Omfattning>
  <Omfattning>
    <identitet>mo_motivtillreglering04</identitet>
    <lmg:Ytgeometri>
      <lmg:absolutLagesosakerhetPlan>0</lmg:absolutLagesosakerhetPlan>
      <lmg:absolutLagesosakerhetHojd>0</lmg:absolutLagesosakerhetHojd>
      <lmg:koordinatsystemPlan>EPSG:3010</lmg:koordinatsystemPlan>
      <lmg:hojdsystem>RH 2000</lmg:hojdsystem>
      <lmg:dimension>2</lmg:dimension>
      <lmg:Position>
        <gml:Polygon gml:id="778bc9e2-89ee-4918-adee-7c13f5435792_f1">
          <gml:exterior>
            <gml:LinearRing>
              <gml:posList>6404751.936 156214.026 6404746.75 156211.009 6404748.213 156208.495 6404752.458 156205.401 6404757.546 156204.09 6404762.758 156204.747 6404772.769 156208.653 6404773.882 156209.247 6404783.766 156214.528 6404795.201 156220.638 6404804.211 156225.451 6404807.141 156227.501 6404809.504 156230.185 6404811.164 156233.353 6404811.866 156235.838 6404812.376 156237.643 6404811.406 156239.31 6404811.07 156239.888 6404808.18 156244.856 6404806.602 156239.275 6404805.559 156235.585 6404804.524 156233.608 6404803.113 156232.005 6404801.067 156230.574 6404770.256 156214.113 6404761.27 156210.607 6404757.933 156210.186 6404755.066 156210.925 6404752.765 156212.601 6404752.252 156213.483 6404751.936 156214.026</gml:posList>
            </gml:LinearRing>
          </gml:exterior>
        </gml:Polygon>
      </lmg:Position>
    </lmg:Ytgeometri>
    <lmg:Ytgeometri>
      <lmg:absolutLagesosakerhetPlan>0</lmg:absolutLagesosakerhetPlan>
      <lmg:absolutLagesosakerhetHojd>0</lmg:absolutLagesosakerhetHojd>
      <lmg:koordinatsystemPlan>EPSG:3010</lmg:koordinatsystemPlan>
      <lmg:hojdsystem>RH 2000</lmg:hojdsystem>
      <lmg:dimension>2</lmg:dimension>
      <lmg:Position>
        <gml:Polygon gml:id="bbf1c2b1-13da-47f0-ab4b-7bdf34fd528f_f1">
          <gml:exterior>
            <gml:LinearRing>
              <gml:posList>6404784.134 156197.95 6404777.836 156194.244 6404777.916 156194.092 6404779.206 156191.646 6404777.997 156190.644 6404775.267 156188.38 6404773.78 156187.147 6404770.81 156182.543 6404769.362 156177.258 6404769.572 156171.783 6404778.818 156155.893 6404779.82 156154.172 6404793.321 156131.907 6404807.394 156110.343 6404812.419 156113.623 6404817.664 156117.046 6404848.623 156137.253 6404836.598 156158.299 6404808.903 156206.769 6404806.443 156211.075 6404784.134 156197.95</gml:posList>
            </gml:LinearRing>
          </gml:exterior>
        </gml:Polygon>
      </lmg:Position>
    </lmg:Ytgeometri>
    <objektreferens>778bc9e2-89ee-4918-adee-7c13f5435792</objektreferens>
    <objektreferens>bbf1c2b1-13da-47f0-ab4b-7bdf34fd528f</objektreferens>
    <Indelning>
      <tema>Motiv till detaljplanens regleringar</tema>
      <grupp>Motiv till reglering</grupp>
    </Indelning>
  </Omfattning>
</Planbeskrivning>
</file>

<file path=customXml/itemProps1.xml><?xml version="1.0" encoding="utf-8"?>
<ds:datastoreItem xmlns:ds="http://schemas.openxmlformats.org/officeDocument/2006/customXml" ds:itemID="{5aafaa54-8c29-477f-9fb5-2060ca00781f}">
  <ds:schemaRefs>
    <ds:schemaRef ds:uri="http://schemas.microsoft.com/vsto/samples"/>
  </ds:schemaRefs>
</ds:datastoreItem>
</file>

<file path=customXml/itemProps2.xml><?xml version="1.0" encoding="utf-8"?>
<ds:datastoreItem xmlns:ds="http://schemas.openxmlformats.org/officeDocument/2006/customXml" ds:itemID="{a614a3dd-b239-4524-b368-38eaab085547}">
  <ds:schemaRefs>
    <ds:schemaRef ds:uri="http://schemas.microsoft.com/vsto/samples"/>
  </ds:schemaRefs>
</ds:datastoreItem>
</file>

<file path=customXml/itemProps3.xml><?xml version="1.0" encoding="utf-8"?>
<ds:datastoreItem xmlns:ds="http://schemas.openxmlformats.org/officeDocument/2006/customXml" ds:itemID="{d66e8131-f079-4ddd-aaaa-4ec66b61d448}">
  <ds:schemaRefs>
    <ds:schemaRef ds:uri="http://schemas.microsoft.com/vsto/samples"/>
  </ds:schemaRefs>
</ds:datastoreItem>
</file>

<file path=customXml/itemProps4.xml><?xml version="1.0" encoding="utf-8"?>
<ds:datastoreItem xmlns:ds="http://schemas.openxmlformats.org/officeDocument/2006/customXml" ds:itemID="{920aa13e-fd39-4904-ae13-6dda0beb2b06}">
  <ds:schemaRefs>
    <ds:schemaRef ds:uri="http://schemas.microsoft.com/vsto/samples"/>
  </ds:schemaRefs>
</ds:datastoreItem>
</file>

<file path=customXml/itemProps5.xml><?xml version="1.0" encoding="utf-8"?>
<ds:datastoreItem xmlns:ds="http://schemas.openxmlformats.org/officeDocument/2006/customXml" ds:itemID="7b589e58-3d22-4c86-9540-334c35e71b91">
  <ds:schemaRefs>
    <ds:schemaRef ds:uri="http://schemas.microsoft.com/vsto/samples"/>
  </ds:schemaRefs>
</ds:datastoreItem>
</file>

<file path=docProps/app.xml><?xml version="1.0" encoding="utf-8"?>
<Properties xmlns="http://schemas.openxmlformats.org/officeDocument/2006/extended-properties">
  <Application>GEOSECMA for ArcGIS</Application>
  <Company>Västerviks kommun</Company>
  <Template>Normal</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Fanny Hansso</dc:creator>
  <dcterms:created xsi:type="dcterms:W3CDTF">2023-11-24T14:14:00Z</dcterms:created>
  <cp:keywords>Mallar, brev</cp:keywords>
  <cp:lastModifiedBy>Anna Herge</cp:lastModifiedBy>
  <cp:lastPrinted>2023-12-07T07:29:00Z</cp:lastPrinted>
  <dcterms:modified xsi:type="dcterms:W3CDTF">2024-01-19T12:01:10Z</dcterms:modified>
  <cp:revision>16</cp:revision>
  <dc:title>Planbeskrivning, Detaljplan för del av Västervik 3:1, Cirkulationsplats Didrikslund, Västervik, Västerviks kommun</dc:title>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ontentTypeId">
    <vt:lpwstr>0x010100D0C83825ED609E4D95E74145E2B0EB93</vt:lpwstr>
  </property>
</Properties>
</file>