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ascii="Calibri" w:hAnsi="Calibri" w:cs="Calibri"/>
          <w:b w:val="1"/>
          <w:bCs w:val="1"/>
          <w:sz w:val="44"/>
          <w:szCs w:val="44"/>
        </w:rPr>
      </w:pPr>
      <w:bookmarkStart w:id="0" w:name="_Hlk161609321"/>
      <w:bookmarkEnd w:id="0"/>
      <w:bookmarkStart w:id="1" w:name="_Hlk103004653"/>
      <w:r>
        <w:rPr>
          <w:rFonts w:ascii="Calibri" w:hAnsi="Calibri" w:cs="Calibri"/>
          <w:b w:val="1"/>
          <w:bCs w:val="1"/>
          <w:sz w:val="44"/>
          <w:szCs w:val="44"/>
        </w:rPr>
        <w:t>Planbeskrivning</w:t>
      </w:r>
    </w:p>
    <w:p>
      <w:pPr>
        <w:rPr>
          <w:rFonts w:ascii="Calibri" w:hAnsi="Calibri" w:cs="Calibri"/>
          <w:sz w:val="32"/>
          <w:szCs w:val="32"/>
        </w:rPr>
      </w:pPr>
      <w:r>
        <w:rPr>
          <w:rFonts w:cstheme="minorHAnsi" w:eastAsia="Arial"/>
          <w:b w:val="1"/>
          <w:bCs w:val="1"/>
          <w:noProof w:val="1"/>
          <w:sz w:val="36"/>
          <w:szCs w:val="36"/>
          <w:lang w:eastAsia="sv-SE"/>
        </w:rPr>
        <w:drawing>
          <wp:anchor xmlns:wp="http://schemas.openxmlformats.org/drawingml/2006/wordprocessingDrawing" distT="0" distB="0" distL="114300" distR="114300" simplePos="0" relativeHeight="1" behindDoc="0" locked="0" layoutInCell="1" allowOverlap="1">
            <wp:simplePos x="0" y="0"/>
            <wp:positionH relativeFrom="margin">
              <wp:align>left</wp:align>
            </wp:positionH>
            <wp:positionV relativeFrom="paragraph">
              <wp:posOffset>297180</wp:posOffset>
            </wp:positionV>
            <wp:extent cx="5064125" cy="4231640"/>
            <wp:effectExtent l="0" t="0" r="3175" b="0"/>
            <wp:wrapThrough wrapText="bothSides">
              <wp:wrapPolygon edited="0">
                <wp:start x="0" y="0"/>
                <wp:lineTo x="0" y="21490"/>
                <wp:lineTo x="21532" y="21490"/>
                <wp:lineTo x="21532" y="0"/>
                <wp:lineTo x="0" y="0"/>
              </wp:wrapPolygon>
            </wp:wrapThrough>
            <wp:docPr id="2" name="Bildobjekt 2" descr="En bild som visar karta, text, flygbaserad&#10;&#10;Automatiskt genererad beskrivning med medelhög exak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karta, text, flygbaserad&#10;&#10;Automatiskt genererad beskrivning med medelhög exakthet"/>
                    <pic:cNvPicPr/>
                  </pic:nvPicPr>
                  <pic:blipFill dpi="0">
                    <a:blip xmlns:r="http://schemas.openxmlformats.org/officeDocument/2006/relationships" r:embed="Relimage1"/>
                    <a:srcRect/>
                    <a:stretch>
                      <a:fillRect/>
                    </a:stretch>
                  </pic:blipFill>
                  <pic:spPr>
                    <a:xfrm>
                      <a:off x="0" y="0"/>
                      <a:ext cx="5064125" cy="4231640"/>
                    </a:xfrm>
                    <a:prstGeom prst="rect"/>
                  </pic:spPr>
                </pic:pic>
              </a:graphicData>
            </a:graphic>
          </wp:anchor>
        </w:drawing>
      </w:r>
      <w:r>
        <w:rPr>
          <w:rFonts w:ascii="Calibri" w:hAnsi="Calibri" w:cs="Calibri"/>
          <w:sz w:val="32"/>
          <w:szCs w:val="32"/>
        </w:rPr>
        <w:t>Lagakrafthandling</w:t>
      </w:r>
    </w:p>
    <w:p>
      <w:pPr>
        <w:rPr>
          <w:rFonts w:ascii="Calibri" w:hAnsi="Calibri" w:cs="Calibri"/>
          <w:sz w:val="32"/>
          <w:szCs w:val="32"/>
        </w:rPr>
      </w:pPr>
    </w:p>
    <w:p>
      <w:pPr>
        <w:spacing w:lineRule="auto" w:line="249" w:after="48" w:beforeAutospacing="0" w:afterAutospacing="0"/>
        <w:ind w:right="1171"/>
        <w:rPr>
          <w:rFonts w:cstheme="minorHAnsi" w:eastAsia="Arial"/>
          <w:b w:val="1"/>
          <w:bCs w:val="1"/>
          <w:sz w:val="36"/>
          <w:szCs w:val="36"/>
          <w:lang w:eastAsia="sv-SE"/>
        </w:rPr>
      </w:pPr>
      <w:r>
        <w:rPr>
          <w:rFonts w:cstheme="minorHAnsi" w:eastAsia="Arial"/>
          <w:b w:val="1"/>
          <w:bCs w:val="1"/>
          <w:sz w:val="36"/>
          <w:szCs w:val="36"/>
          <w:lang w:eastAsia="sv-SE"/>
        </w:rPr>
        <w:t>Detaljplan för Flickänget</w:t>
      </w:r>
    </w:p>
    <w:p>
      <w:pPr>
        <w:spacing w:lineRule="auto" w:line="249" w:after="48" w:beforeAutospacing="0" w:afterAutospacing="0"/>
        <w:ind w:right="1171"/>
        <w:rPr>
          <w:rFonts w:cstheme="minorHAnsi" w:eastAsia="Arial"/>
          <w:b w:val="1"/>
          <w:bCs w:val="1"/>
          <w:sz w:val="36"/>
          <w:szCs w:val="36"/>
          <w:lang w:eastAsia="sv-SE"/>
        </w:rPr>
      </w:pPr>
      <w:r>
        <w:rPr>
          <w:rFonts w:cstheme="minorHAnsi" w:eastAsia="Arial"/>
          <w:b w:val="1"/>
          <w:bCs w:val="1"/>
          <w:sz w:val="36"/>
          <w:szCs w:val="36"/>
          <w:lang w:eastAsia="sv-SE"/>
        </w:rPr>
        <w:t xml:space="preserve">Del av Söderbärke Kyrkby 5:1 </w:t>
      </w:r>
    </w:p>
    <w:p>
      <w:pPr>
        <w:spacing w:after="4" w:beforeAutospacing="0" w:afterAutospacing="0"/>
        <w:rPr>
          <w:rFonts w:cstheme="minorHAnsi" w:eastAsia="Arial"/>
          <w:sz w:val="32"/>
          <w:szCs w:val="32"/>
          <w:lang w:eastAsia="sv-SE"/>
        </w:rPr>
      </w:pPr>
      <w:r>
        <w:rPr>
          <w:rFonts w:cstheme="minorHAnsi" w:eastAsia="Arial"/>
          <w:sz w:val="32"/>
          <w:szCs w:val="32"/>
          <w:lang w:eastAsia="sv-SE"/>
        </w:rPr>
        <w:t>Smedjebackens kommun</w:t>
      </w:r>
    </w:p>
    <w:p>
      <w:pPr>
        <w:spacing w:after="4" w:beforeAutospacing="0" w:afterAutospacing="0"/>
        <w:rPr>
          <w:rFonts w:ascii="Arial" w:hAnsi="Arial" w:cs="Arial" w:eastAsia="Arial"/>
          <w:color w:val="000000"/>
          <w:lang w:eastAsia="sv-SE"/>
        </w:rPr>
      </w:pPr>
    </w:p>
    <w:p>
      <w:pPr>
        <w:spacing w:after="4" w:beforeAutospacing="0" w:afterAutospacing="0"/>
        <w:rPr>
          <w:rFonts w:ascii="Calibri" w:hAnsi="Calibri" w:cs="Calibri" w:eastAsia="Arial"/>
          <w:color w:val="000000"/>
          <w:sz w:val="28"/>
          <w:szCs w:val="28"/>
          <w:lang w:eastAsia="sv-SE"/>
        </w:rPr>
      </w:pPr>
      <w:r>
        <w:rPr>
          <w:rFonts w:ascii="Calibri" w:hAnsi="Calibri" w:cs="Calibri" w:eastAsia="Arial"/>
          <w:color w:val="000000"/>
          <w:sz w:val="28"/>
          <w:szCs w:val="28"/>
          <w:lang w:eastAsia="sv-SE"/>
        </w:rPr>
        <w:t>Standardförfarande</w:t>
      </w: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Plan- och bygglagen (SFS 2010:900) </w:t>
      </w:r>
    </w:p>
    <w:p>
      <w:pPr>
        <w:spacing w:after="4" w:beforeAutospacing="0" w:afterAutospacing="0"/>
        <w:ind w:right="667"/>
        <w:rPr>
          <w:rFonts w:ascii="Calibri" w:hAnsi="Calibri" w:cs="Calibri" w:eastAsia="Arial"/>
          <w:color w:val="000000"/>
          <w:sz w:val="28"/>
          <w:szCs w:val="28"/>
          <w:lang w:eastAsia="sv-SE"/>
        </w:rPr>
      </w:pP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Diarienummer: MBN 2024–54 </w:t>
      </w: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Godkänt för samråd: 2024 – 04 – 10 </w:t>
      </w: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Godkänt för granskning:   2024 – 09 – 11 </w:t>
      </w: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Antagande: 2024 – 12 – 16 </w:t>
      </w:r>
    </w:p>
    <w:p>
      <w:pPr>
        <w:spacing w:after="4" w:beforeAutospacing="0" w:afterAutospacing="0"/>
        <w:ind w:right="667"/>
        <w:rPr>
          <w:rFonts w:ascii="Calibri" w:hAnsi="Calibri" w:cs="Calibri" w:eastAsia="Arial"/>
          <w:color w:val="000000"/>
          <w:sz w:val="28"/>
          <w:szCs w:val="28"/>
          <w:lang w:eastAsia="sv-SE"/>
        </w:rPr>
      </w:pPr>
      <w:r>
        <w:rPr>
          <w:rFonts w:ascii="Calibri" w:hAnsi="Calibri" w:cs="Calibri" w:eastAsia="Arial"/>
          <w:color w:val="000000"/>
          <w:sz w:val="28"/>
          <w:szCs w:val="28"/>
          <w:lang w:eastAsia="sv-SE"/>
        </w:rPr>
        <w:t xml:space="preserve">Laga kraft: 2025 – 01 – 08  </w:t>
      </w:r>
    </w:p>
    <w:p>
      <w:pPr>
        <w:rPr>
          <w:rFonts w:ascii="Times New Roman" w:hAnsi="Times New Roman" w:cs="Times New Roman"/>
          <w:sz w:val="28"/>
          <w:szCs w:val="28"/>
        </w:rPr>
      </w:pPr>
      <w:bookmarkEnd w:id="1"/>
    </w:p>
    <w:p>
      <w:pPr>
        <w:rPr>
          <w:rFonts w:ascii="Times New Roman" w:hAnsi="Times New Roman" w:cs="Times New Roman"/>
          <w:sz w:val="28"/>
          <w:szCs w:val="28"/>
        </w:rPr>
      </w:pPr>
    </w:p>
    <w:p>
      <w:pPr>
        <w:jc w:val="both"/>
        <w:rPr>
          <w:rFonts w:cstheme="minorHAnsi"/>
          <w:color w:val="C00000"/>
          <w:sz w:val="32"/>
          <w:szCs w:val="32"/>
        </w:rPr>
      </w:pPr>
      <w:r>
        <w:rPr>
          <w:rFonts w:cstheme="minorHAnsi"/>
          <w:color w:val="C00000"/>
          <w:sz w:val="32"/>
          <w:szCs w:val="32"/>
        </w:rPr>
        <w:t>PLANARKITEKT</w:t>
      </w:r>
    </w:p>
    <w:p>
      <w:pPr>
        <w:spacing w:lineRule="auto" w:line="240" w:beforeAutospacing="0" w:afterAutospacing="0"/>
        <w:jc w:val="both"/>
        <w:rPr>
          <w:rFonts w:cstheme="minorHAnsi"/>
          <w:szCs w:val="24"/>
        </w:rPr>
      </w:pPr>
      <w:r>
        <w:rPr>
          <w:rFonts w:cstheme="minorHAnsi"/>
          <w:szCs w:val="24"/>
        </w:rPr>
        <w:t>Samir Hazrat</w:t>
      </w:r>
    </w:p>
    <w:p>
      <w:pPr>
        <w:spacing w:lineRule="auto" w:line="240" w:beforeAutospacing="0" w:afterAutospacing="0"/>
        <w:jc w:val="both"/>
        <w:rPr>
          <w:rFonts w:cstheme="minorHAnsi"/>
          <w:color w:val="C00000"/>
          <w:sz w:val="32"/>
          <w:szCs w:val="32"/>
        </w:rPr>
      </w:pPr>
      <w:r>
        <w:rPr>
          <w:rFonts w:cstheme="minorHAnsi"/>
          <w:color w:val="C00000"/>
          <w:sz w:val="32"/>
          <w:szCs w:val="32"/>
        </w:rPr>
        <w:t xml:space="preserve">MILJÖ-OCH BYGGCHEF </w:t>
      </w:r>
    </w:p>
    <w:p>
      <w:pPr>
        <w:spacing w:lineRule="auto" w:line="240" w:beforeAutospacing="0" w:afterAutospacing="0"/>
        <w:jc w:val="both"/>
        <w:rPr>
          <w:rFonts w:cstheme="minorHAnsi"/>
          <w:color w:val="000000" w:themeColor="text1"/>
          <w:szCs w:val="24"/>
        </w:rPr>
      </w:pPr>
      <w:r>
        <w:rPr>
          <w:rFonts w:cstheme="minorHAnsi"/>
          <w:color w:val="000000" w:themeColor="text1"/>
          <w:szCs w:val="24"/>
        </w:rPr>
        <w:t>Gunilla Skoog</w:t>
      </w:r>
    </w:p>
    <w:p>
      <w:pPr>
        <w:jc w:val="both"/>
        <w:rPr>
          <w:rFonts w:cstheme="minorHAnsi"/>
          <w:color w:val="C00000"/>
          <w:sz w:val="32"/>
          <w:szCs w:val="32"/>
        </w:rPr>
      </w:pPr>
      <w:bookmarkStart w:id="2" w:name="_Hlk103070339"/>
      <w:r>
        <w:rPr>
          <w:rFonts w:cstheme="minorHAnsi"/>
          <w:color w:val="C00000"/>
          <w:sz w:val="32"/>
          <w:szCs w:val="32"/>
        </w:rPr>
        <w:t>PLANHANDLINGAR</w:t>
      </w:r>
    </w:p>
    <w:p>
      <w:pPr>
        <w:jc w:val="both"/>
        <w:rPr>
          <w:rFonts w:cstheme="minorHAnsi"/>
          <w:szCs w:val="24"/>
        </w:rPr>
      </w:pPr>
      <w:bookmarkEnd w:id="2"/>
      <w:r>
        <w:rPr>
          <w:rFonts w:cstheme="minorHAnsi"/>
          <w:szCs w:val="24"/>
        </w:rPr>
        <w:t xml:space="preserve">Planbeskrivning </w:t>
      </w:r>
    </w:p>
    <w:p>
      <w:pPr>
        <w:jc w:val="both"/>
        <w:rPr>
          <w:rFonts w:cstheme="minorHAnsi"/>
          <w:szCs w:val="24"/>
        </w:rPr>
      </w:pPr>
      <w:r>
        <w:rPr>
          <w:rFonts w:cstheme="minorHAnsi"/>
          <w:szCs w:val="24"/>
        </w:rPr>
        <w:t>Plankarta i skala 1:1 000</w:t>
      </w:r>
    </w:p>
    <w:p>
      <w:pPr>
        <w:jc w:val="both"/>
        <w:rPr>
          <w:rFonts w:cstheme="minorHAnsi"/>
          <w:szCs w:val="24"/>
        </w:rPr>
      </w:pPr>
      <w:r>
        <w:rPr>
          <w:rFonts w:cstheme="minorHAnsi"/>
          <w:szCs w:val="24"/>
        </w:rPr>
        <w:t>Samrådsredogörelse</w:t>
      </w:r>
    </w:p>
    <w:p>
      <w:pPr>
        <w:jc w:val="both"/>
        <w:rPr>
          <w:rFonts w:cstheme="minorHAnsi"/>
          <w:szCs w:val="24"/>
        </w:rPr>
      </w:pPr>
      <w:r>
        <w:rPr>
          <w:rFonts w:cstheme="minorHAnsi"/>
          <w:szCs w:val="24"/>
        </w:rPr>
        <w:t>Granskningsutlåtande</w:t>
      </w:r>
    </w:p>
    <w:p>
      <w:pPr>
        <w:jc w:val="both"/>
        <w:rPr>
          <w:rFonts w:cstheme="minorHAnsi"/>
          <w:szCs w:val="24"/>
        </w:rPr>
      </w:pPr>
      <w:r>
        <w:rPr>
          <w:rFonts w:cstheme="minorHAnsi"/>
          <w:szCs w:val="24"/>
        </w:rPr>
        <w:t>Grundkarta</w:t>
      </w:r>
    </w:p>
    <w:p>
      <w:pPr>
        <w:jc w:val="both"/>
        <w:rPr>
          <w:rFonts w:cstheme="minorHAnsi"/>
          <w:szCs w:val="24"/>
        </w:rPr>
      </w:pPr>
      <w:r>
        <w:rPr>
          <w:rFonts w:cstheme="minorHAnsi"/>
          <w:szCs w:val="24"/>
        </w:rPr>
        <w:t>Fastighetsförteckning</w:t>
      </w:r>
    </w:p>
    <w:p>
      <w:pPr>
        <w:jc w:val="both"/>
        <w:rPr>
          <w:rFonts w:cstheme="minorHAnsi"/>
          <w:color w:val="C00000"/>
          <w:sz w:val="32"/>
          <w:szCs w:val="32"/>
        </w:rPr>
      </w:pPr>
      <w:r>
        <w:rPr>
          <w:rFonts w:cstheme="minorHAnsi"/>
          <w:color w:val="C00000"/>
          <w:sz w:val="32"/>
          <w:szCs w:val="32"/>
        </w:rPr>
        <w:t>Övriga handlingar</w:t>
      </w:r>
    </w:p>
    <w:p>
      <w:pPr>
        <w:jc w:val="both"/>
        <w:rPr>
          <w:rFonts w:cstheme="minorHAnsi"/>
          <w:szCs w:val="24"/>
        </w:rPr>
      </w:pPr>
      <w:r>
        <w:rPr>
          <w:rFonts w:cstheme="minorHAnsi"/>
          <w:szCs w:val="24"/>
        </w:rPr>
        <w:t>Barnchecklista</w:t>
      </w:r>
    </w:p>
    <w:p>
      <w:pPr>
        <w:jc w:val="both"/>
        <w:rPr>
          <w:rFonts w:cstheme="minorHAnsi"/>
          <w:szCs w:val="24"/>
        </w:rPr>
      </w:pPr>
      <w:r>
        <w:rPr>
          <w:rFonts w:cstheme="minorHAnsi"/>
          <w:szCs w:val="24"/>
        </w:rPr>
        <w:t>Bullerutredning</w:t>
      </w:r>
    </w:p>
    <w:p>
      <w:pPr>
        <w:jc w:val="both"/>
        <w:rPr>
          <w:rFonts w:cstheme="minorHAnsi"/>
          <w:szCs w:val="24"/>
        </w:rPr>
      </w:pPr>
      <w:r>
        <w:rPr>
          <w:rFonts w:cstheme="minorHAnsi"/>
          <w:szCs w:val="24"/>
        </w:rPr>
        <w:t>Undersökning om betydande miljöpåverkan</w:t>
      </w:r>
    </w:p>
    <w:p>
      <w:pPr>
        <w:jc w:val="both"/>
        <w:rPr>
          <w:rFonts w:cstheme="minorHAnsi"/>
          <w:color w:val="C00000"/>
          <w:sz w:val="32"/>
          <w:szCs w:val="32"/>
        </w:rPr>
      </w:pPr>
      <w:r>
        <w:rPr>
          <w:rFonts w:cstheme="minorHAnsi"/>
          <w:color w:val="C00000"/>
          <w:sz w:val="32"/>
          <w:szCs w:val="32"/>
        </w:rPr>
        <w:t>VAD ÄR EN DETALJPLAN</w:t>
      </w:r>
    </w:p>
    <w:p>
      <w:pPr>
        <w:jc w:val="both"/>
        <w:rPr>
          <w:rFonts w:cstheme="minorHAnsi"/>
          <w:szCs w:val="24"/>
        </w:rPr>
      </w:pPr>
      <w:r>
        <w:rPr>
          <w:rFonts w:cstheme="minorHAnsi"/>
          <w:szCs w:val="24"/>
        </w:rPr>
        <w:t xml:space="preserve">En detaljplan är ett juridiskt bindande dokument där kommunen reglerar hur mark och vattenområden får användas och hur området får bebyggas. I detaljplanen redovisas gränser för allmänna platser, kvartersmark samt vattenområden. </w:t>
      </w:r>
    </w:p>
    <w:p>
      <w:pPr>
        <w:jc w:val="both"/>
        <w:rPr>
          <w:rFonts w:cstheme="minorHAnsi"/>
          <w:color w:val="C00000"/>
          <w:sz w:val="32"/>
          <w:szCs w:val="32"/>
        </w:rPr>
      </w:pPr>
      <w:r>
        <w:rPr>
          <w:rFonts w:cstheme="minorHAnsi"/>
          <w:color w:val="C00000"/>
          <w:sz w:val="32"/>
          <w:szCs w:val="32"/>
        </w:rPr>
        <w:t>SÅ HÄR LÄSER DU DETALJPLANEN</w:t>
      </w:r>
    </w:p>
    <w:p>
      <w:pPr>
        <w:jc w:val="both"/>
        <w:rPr>
          <w:rFonts w:cstheme="minorHAnsi"/>
          <w:szCs w:val="24"/>
        </w:rPr>
      </w:pPr>
      <w:r>
        <w:rPr>
          <w:rFonts w:cstheme="minorHAnsi"/>
          <w:szCs w:val="24"/>
        </w:rPr>
        <w:t xml:space="preserve">Detaljplanen består av en plankarta med olika planbestämmelser. Med plankartan följer även en planbeskrivning (det här dokumentet) som förklarar syftet och innehållet i plankartan. </w:t>
      </w:r>
    </w:p>
    <w:p>
      <w:pPr>
        <w:jc w:val="both"/>
        <w:rPr>
          <w:rFonts w:cstheme="minorHAnsi"/>
          <w:color w:val="C00000"/>
          <w:sz w:val="32"/>
          <w:szCs w:val="32"/>
        </w:rPr>
      </w:pPr>
      <w:r>
        <w:rPr>
          <w:rFonts w:cstheme="minorHAnsi"/>
          <w:color w:val="C00000"/>
          <w:sz w:val="32"/>
          <w:szCs w:val="32"/>
        </w:rPr>
        <w:t>PLANPROCESS</w:t>
      </w:r>
    </w:p>
    <w:p>
      <w:pPr>
        <w:jc w:val="both"/>
        <w:rPr>
          <w:rFonts w:cstheme="minorHAnsi"/>
          <w:szCs w:val="24"/>
        </w:rPr>
      </w:pPr>
      <w:bookmarkStart w:id="3" w:name="_Hlk86318565"/>
      <w:r>
        <w:rPr>
          <w:rFonts w:cstheme="minorHAnsi"/>
          <w:szCs w:val="24"/>
        </w:rPr>
        <w:t>Detaljplanen tas fram med standardförfarande i överensstämmelse med översiktsplanen samt enligt plan- och bygglagen 2010:900</w:t>
      </w:r>
      <w:bookmarkEnd w:id="3"/>
      <w:r>
        <w:rPr>
          <w:rFonts w:cstheme="minorHAnsi"/>
          <w:szCs w:val="24"/>
        </w:rPr>
        <w:t xml:space="preserve">. Planhandlingarna har upprättats i enlighet med Boverkets föreskrifter om detaljplan (BFS 2020:5) och planbeskrivning (BFS 2020:8). Planprocessen ser ut som följande: </w:t>
      </w:r>
    </w:p>
    <w:p>
      <w:pPr>
        <w:jc w:val="both"/>
        <w:rPr>
          <w:rFonts w:cstheme="minorHAnsi"/>
          <w:szCs w:val="24"/>
        </w:rPr>
      </w:pPr>
      <w:r>
        <w:rPr>
          <w:noProof w:val="1"/>
        </w:rPr>
        <w:drawing>
          <wp:inline xmlns:wp="http://schemas.openxmlformats.org/drawingml/2006/wordprocessingDrawing" distT="0" distB="0" distL="0" distR="0">
            <wp:extent cx="5760720" cy="448945"/>
            <wp:effectExtent l="0" t="0" r="0" b="8255"/>
            <wp:docPr id="465512774" name="Bildobjekt 1" descr="En bild som visar text, skärmbild, Grafik,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12774" name="Bildobjekt 1" descr="En bild som visar text, skärmbild, Grafik, Teckensnitt&#10;&#10;Automatiskt genererad beskrivning"/>
                    <pic:cNvPicPr/>
                  </pic:nvPicPr>
                  <pic:blipFill dpi="0">
                    <a:blip xmlns:r="http://schemas.openxmlformats.org/officeDocument/2006/relationships" r:embed="Relimage2" cstate="print"/>
                    <a:srcRect/>
                    <a:stretch>
                      <a:fillRect/>
                    </a:stretch>
                  </pic:blipFill>
                  <pic:spPr>
                    <a:xfrm>
                      <a:off x="0" y="0"/>
                      <a:ext cx="5760720" cy="448945"/>
                    </a:xfrm>
                    <a:prstGeom prst="rect"/>
                  </pic:spPr>
                </pic:pic>
              </a:graphicData>
            </a:graphic>
          </wp:inline>
        </w:drawing>
      </w:r>
    </w:p>
    <w:p>
      <w:pPr>
        <w:pStyle w:val="P14"/>
        <w:numPr>
          <w:ilvl w:val="0"/>
          <w:numId w:val="0"/>
        </w:numPr>
        <w:ind w:firstLine="0" w:left="0"/>
      </w:pPr>
    </w:p>
    <w:p>
      <w:pPr>
        <w:pStyle w:val="P22"/>
        <w:tabs>
          <w:tab w:val="left" w:pos="440" w:leader="none"/>
          <w:tab w:val="right" w:pos="9062" w:leader="dot"/>
        </w:tabs>
        <w:rPr>
          <w:rFonts w:cstheme="minorBidi"/>
          <w:b w:val="0"/>
          <w:bCs w:val="0"/>
          <w:caps w:val="0"/>
          <w:noProof w:val="1"/>
          <w:sz w:val="22"/>
          <w:szCs w:val="22"/>
          <w:kern w:val="2"/>
          <w:lang w:eastAsia="sv-SE"/>
        </w:rPr>
      </w:pPr>
      <w:r>
        <w:fldChar w:fldCharType="begin"/>
      </w:r>
      <w:r>
        <w:instrText xml:space="preserve"> TOC \o "1-2" \h \z \u </w:instrText>
      </w:r>
      <w:r>
        <w:fldChar w:fldCharType="separate"/>
      </w:r>
      <w:hyperlink w:anchor="_Toc184651394">
        <w:r>
          <w:rPr>
            <w:rStyle w:val="C2"/>
            <w:noProof w:val="1"/>
          </w:rPr>
          <w:t>1</w:t>
        </w:r>
        <w:r>
          <w:rPr>
            <w:rFonts w:cstheme="minorBidi"/>
            <w:b w:val="0"/>
            <w:bCs w:val="0"/>
            <w:caps w:val="0"/>
            <w:noProof w:val="1"/>
            <w:sz w:val="22"/>
            <w:szCs w:val="22"/>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_Toc184651394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395">
        <w:r>
          <w:rPr>
            <w:rStyle w:val="C2"/>
            <w:noProof w:val="1"/>
          </w:rPr>
          <w:t>1.1</w:t>
        </w:r>
        <w:r>
          <w:rPr>
            <w:rFonts w:cstheme="minorBidi"/>
            <w:smallCaps w:val="0"/>
            <w:noProof w:val="1"/>
            <w:sz w:val="22"/>
            <w:szCs w:val="22"/>
            <w:kern w:val="2"/>
            <w:lang w:eastAsia="sv-SE"/>
          </w:rPr>
          <w:tab/>
        </w:r>
        <w:r>
          <w:rPr>
            <w:rStyle w:val="C2"/>
            <w:noProof w:val="1"/>
          </w:rPr>
          <w:t>Detaljplanens syfte</w:t>
        </w:r>
        <w:r>
          <w:rPr>
            <w:noProof w:val="1"/>
          </w:rPr>
          <w:tab/>
        </w:r>
        <w:r>
          <w:rPr>
            <w:noProof w:val="1"/>
          </w:rPr>
          <w:fldChar w:fldCharType="begin"/>
        </w:r>
        <w:r>
          <w:rPr>
            <w:noProof w:val="1"/>
          </w:rPr>
          <w:instrText xml:space="preserve"> PAGEREF _Toc184651395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396">
        <w:r>
          <w:rPr>
            <w:rStyle w:val="C2"/>
            <w:noProof w:val="1"/>
          </w:rPr>
          <w:t>1.2</w:t>
        </w:r>
        <w:r>
          <w:rPr>
            <w:rFonts w:cstheme="minorBidi"/>
            <w:smallCaps w:val="0"/>
            <w:noProof w:val="1"/>
            <w:sz w:val="22"/>
            <w:szCs w:val="22"/>
            <w:kern w:val="2"/>
            <w:lang w:eastAsia="sv-SE"/>
          </w:rPr>
          <w:tab/>
        </w:r>
        <w:r>
          <w:rPr>
            <w:rStyle w:val="C2"/>
            <w:noProof w:val="1"/>
          </w:rPr>
          <w:t>Hela detaljplanen</w:t>
        </w:r>
        <w:r>
          <w:rPr>
            <w:noProof w:val="1"/>
          </w:rPr>
          <w:tab/>
        </w:r>
        <w:r>
          <w:rPr>
            <w:noProof w:val="1"/>
          </w:rPr>
          <w:fldChar w:fldCharType="begin"/>
        </w:r>
        <w:r>
          <w:rPr>
            <w:noProof w:val="1"/>
          </w:rPr>
          <w:instrText xml:space="preserve"> PAGEREF _Toc184651396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397">
        <w:r>
          <w:rPr>
            <w:rStyle w:val="C2"/>
            <w:noProof w:val="1"/>
          </w:rPr>
          <w:t>1.3</w:t>
        </w:r>
        <w:r>
          <w:rPr>
            <w:rFonts w:cstheme="minorBidi"/>
            <w:smallCaps w:val="0"/>
            <w:noProof w:val="1"/>
            <w:sz w:val="22"/>
            <w:szCs w:val="22"/>
            <w:kern w:val="2"/>
            <w:lang w:eastAsia="sv-SE"/>
          </w:rPr>
          <w:tab/>
        </w:r>
        <w:r>
          <w:rPr>
            <w:rStyle w:val="C2"/>
            <w:noProof w:val="1"/>
          </w:rPr>
          <w:t>Kvartersmark</w:t>
        </w:r>
        <w:r>
          <w:rPr>
            <w:noProof w:val="1"/>
          </w:rPr>
          <w:tab/>
        </w:r>
        <w:r>
          <w:rPr>
            <w:noProof w:val="1"/>
          </w:rPr>
          <w:fldChar w:fldCharType="begin"/>
        </w:r>
        <w:r>
          <w:rPr>
            <w:noProof w:val="1"/>
          </w:rPr>
          <w:instrText xml:space="preserve"> PAGEREF _Toc184651397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398">
        <w:r>
          <w:rPr>
            <w:rStyle w:val="C2"/>
            <w:noProof w:val="1"/>
          </w:rPr>
          <w:t>1.4</w:t>
        </w:r>
        <w:r>
          <w:rPr>
            <w:rFonts w:cstheme="minorBidi"/>
            <w:smallCaps w:val="0"/>
            <w:noProof w:val="1"/>
            <w:sz w:val="22"/>
            <w:szCs w:val="22"/>
            <w:kern w:val="2"/>
            <w:lang w:eastAsia="sv-SE"/>
          </w:rPr>
          <w:tab/>
        </w:r>
        <w:r>
          <w:rPr>
            <w:rStyle w:val="C2"/>
            <w:noProof w:val="1"/>
          </w:rPr>
          <w:t>Allmän plats</w:t>
        </w:r>
        <w:r>
          <w:rPr>
            <w:noProof w:val="1"/>
          </w:rPr>
          <w:tab/>
        </w:r>
        <w:r>
          <w:rPr>
            <w:noProof w:val="1"/>
          </w:rPr>
          <w:fldChar w:fldCharType="begin"/>
        </w:r>
        <w:r>
          <w:rPr>
            <w:noProof w:val="1"/>
          </w:rPr>
          <w:instrText xml:space="preserve"> PAGEREF _Toc184651398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399">
        <w:r>
          <w:rPr>
            <w:rStyle w:val="C2"/>
            <w:noProof w:val="1"/>
          </w:rPr>
          <w:t>1.5</w:t>
        </w:r>
        <w:r>
          <w:rPr>
            <w:rFonts w:cstheme="minorBidi"/>
            <w:smallCaps w:val="0"/>
            <w:noProof w:val="1"/>
            <w:sz w:val="22"/>
            <w:szCs w:val="22"/>
            <w:kern w:val="2"/>
            <w:lang w:eastAsia="sv-SE"/>
          </w:rPr>
          <w:tab/>
        </w:r>
        <w:r>
          <w:rPr>
            <w:rStyle w:val="C2"/>
            <w:noProof w:val="1"/>
          </w:rPr>
          <w:t>Vattenområden</w:t>
        </w:r>
        <w:r>
          <w:rPr>
            <w:noProof w:val="1"/>
          </w:rPr>
          <w:tab/>
        </w:r>
        <w:r>
          <w:rPr>
            <w:noProof w:val="1"/>
          </w:rPr>
          <w:fldChar w:fldCharType="begin"/>
        </w:r>
        <w:r>
          <w:rPr>
            <w:noProof w:val="1"/>
          </w:rPr>
          <w:instrText xml:space="preserve"> PAGEREF _Toc184651399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0">
        <w:r>
          <w:rPr>
            <w:rStyle w:val="C2"/>
            <w:noProof w:val="1"/>
          </w:rPr>
          <w:t>1.6</w:t>
        </w:r>
        <w:r>
          <w:rPr>
            <w:rFonts w:cstheme="minorBidi"/>
            <w:smallCaps w:val="0"/>
            <w:noProof w:val="1"/>
            <w:sz w:val="22"/>
            <w:szCs w:val="22"/>
            <w:kern w:val="2"/>
            <w:lang w:eastAsia="sv-SE"/>
          </w:rPr>
          <w:tab/>
        </w:r>
        <w:r>
          <w:rPr>
            <w:rStyle w:val="C2"/>
            <w:noProof w:val="1"/>
          </w:rPr>
          <w:t>Befintligt</w:t>
        </w:r>
        <w:r>
          <w:rPr>
            <w:noProof w:val="1"/>
          </w:rPr>
          <w:tab/>
        </w:r>
        <w:r>
          <w:rPr>
            <w:noProof w:val="1"/>
          </w:rPr>
          <w:fldChar w:fldCharType="begin"/>
        </w:r>
        <w:r>
          <w:rPr>
            <w:noProof w:val="1"/>
          </w:rPr>
          <w:instrText xml:space="preserve"> PAGEREF _Toc184651400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1">
        <w:r>
          <w:rPr>
            <w:rStyle w:val="C2"/>
            <w:noProof w:val="1"/>
          </w:rPr>
          <w:t>1.7</w:t>
        </w:r>
        <w:r>
          <w:rPr>
            <w:rFonts w:cstheme="minorBidi"/>
            <w:smallCaps w:val="0"/>
            <w:noProof w:val="1"/>
            <w:sz w:val="22"/>
            <w:szCs w:val="22"/>
            <w:kern w:val="2"/>
            <w:lang w:eastAsia="sv-SE"/>
          </w:rPr>
          <w:tab/>
        </w:r>
        <w:r>
          <w:rPr>
            <w:rStyle w:val="C2"/>
            <w:noProof w:val="1"/>
          </w:rPr>
          <w:t>Ärendeinformation</w:t>
        </w:r>
        <w:r>
          <w:rPr>
            <w:noProof w:val="1"/>
          </w:rPr>
          <w:tab/>
        </w:r>
        <w:r>
          <w:rPr>
            <w:noProof w:val="1"/>
          </w:rPr>
          <w:fldChar w:fldCharType="begin"/>
        </w:r>
        <w:r>
          <w:rPr>
            <w:noProof w:val="1"/>
          </w:rPr>
          <w:instrText xml:space="preserve"> PAGEREF _Toc184651401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2">
        <w:r>
          <w:rPr>
            <w:rStyle w:val="C2"/>
            <w:noProof w:val="1"/>
          </w:rPr>
          <w:t>1.8</w:t>
        </w:r>
        <w:r>
          <w:rPr>
            <w:rFonts w:cstheme="minorBidi"/>
            <w:smallCaps w:val="0"/>
            <w:noProof w:val="1"/>
            <w:sz w:val="22"/>
            <w:szCs w:val="22"/>
            <w:kern w:val="2"/>
            <w:lang w:eastAsia="sv-SE"/>
          </w:rPr>
          <w:tab/>
        </w:r>
        <w:r>
          <w:rPr>
            <w:rStyle w:val="C2"/>
            <w:noProof w:val="1"/>
          </w:rPr>
          <w:t>Genomförandetid</w:t>
        </w:r>
        <w:r>
          <w:rPr>
            <w:noProof w:val="1"/>
          </w:rPr>
          <w:tab/>
        </w:r>
        <w:r>
          <w:rPr>
            <w:noProof w:val="1"/>
          </w:rPr>
          <w:fldChar w:fldCharType="begin"/>
        </w:r>
        <w:r>
          <w:rPr>
            <w:noProof w:val="1"/>
          </w:rPr>
          <w:instrText xml:space="preserve"> PAGEREF _Toc184651402 \h </w:instrText>
        </w:r>
        <w:r>
          <w:rPr>
            <w:noProof w:val="1"/>
          </w:rPr>
          <w:fldChar w:fldCharType="separate"/>
        </w:r>
        <w:r>
          <w:rPr>
            <w:noProof w:val="1"/>
          </w:rPr>
          <w:t>6</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84651403">
        <w:r>
          <w:rPr>
            <w:rStyle w:val="C2"/>
            <w:noProof w:val="1"/>
          </w:rPr>
          <w:t>2</w:t>
        </w:r>
        <w:r>
          <w:rPr>
            <w:rFonts w:cstheme="minorBidi"/>
            <w:b w:val="0"/>
            <w:bCs w:val="0"/>
            <w:caps w:val="0"/>
            <w:noProof w:val="1"/>
            <w:sz w:val="22"/>
            <w:szCs w:val="22"/>
            <w:kern w:val="2"/>
            <w:lang w:eastAsia="sv-SE"/>
          </w:rPr>
          <w:tab/>
        </w:r>
        <w:r>
          <w:rPr>
            <w:rStyle w:val="C2"/>
            <w:noProof w:val="1"/>
          </w:rPr>
          <w:t>Planeringsunderlag</w:t>
        </w:r>
        <w:r>
          <w:rPr>
            <w:noProof w:val="1"/>
          </w:rPr>
          <w:tab/>
        </w:r>
        <w:r>
          <w:rPr>
            <w:noProof w:val="1"/>
          </w:rPr>
          <w:fldChar w:fldCharType="begin"/>
        </w:r>
        <w:r>
          <w:rPr>
            <w:noProof w:val="1"/>
          </w:rPr>
          <w:instrText xml:space="preserve"> PAGEREF _Toc184651403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4">
        <w:r>
          <w:rPr>
            <w:rStyle w:val="C2"/>
            <w:noProof w:val="1"/>
          </w:rPr>
          <w:t>2.1</w:t>
        </w:r>
        <w:r>
          <w:rPr>
            <w:rFonts w:cstheme="minorBidi"/>
            <w:smallCaps w:val="0"/>
            <w:noProof w:val="1"/>
            <w:sz w:val="22"/>
            <w:szCs w:val="22"/>
            <w:kern w:val="2"/>
            <w:lang w:eastAsia="sv-SE"/>
          </w:rPr>
          <w:tab/>
        </w:r>
        <w:r>
          <w:rPr>
            <w:rStyle w:val="C2"/>
            <w:noProof w:val="1"/>
          </w:rPr>
          <w:t>Kommunala underlag</w:t>
        </w:r>
        <w:r>
          <w:rPr>
            <w:noProof w:val="1"/>
          </w:rPr>
          <w:tab/>
        </w:r>
        <w:r>
          <w:rPr>
            <w:noProof w:val="1"/>
          </w:rPr>
          <w:fldChar w:fldCharType="begin"/>
        </w:r>
        <w:r>
          <w:rPr>
            <w:noProof w:val="1"/>
          </w:rPr>
          <w:instrText xml:space="preserve"> PAGEREF _Toc184651404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5">
        <w:r>
          <w:rPr>
            <w:rStyle w:val="C2"/>
            <w:noProof w:val="1"/>
          </w:rPr>
          <w:t>2.2</w:t>
        </w:r>
        <w:r>
          <w:rPr>
            <w:rFonts w:cstheme="minorBidi"/>
            <w:smallCaps w:val="0"/>
            <w:noProof w:val="1"/>
            <w:sz w:val="22"/>
            <w:szCs w:val="22"/>
            <w:kern w:val="2"/>
            <w:lang w:eastAsia="sv-SE"/>
          </w:rPr>
          <w:tab/>
        </w:r>
        <w:r>
          <w:rPr>
            <w:rStyle w:val="C2"/>
            <w:noProof w:val="1"/>
          </w:rPr>
          <w:t>Utredningar</w:t>
        </w:r>
        <w:r>
          <w:rPr>
            <w:noProof w:val="1"/>
          </w:rPr>
          <w:tab/>
        </w:r>
        <w:r>
          <w:rPr>
            <w:noProof w:val="1"/>
          </w:rPr>
          <w:fldChar w:fldCharType="begin"/>
        </w:r>
        <w:r>
          <w:rPr>
            <w:noProof w:val="1"/>
          </w:rPr>
          <w:instrText xml:space="preserve"> PAGEREF _Toc184651405 \h </w:instrText>
        </w:r>
        <w:r>
          <w:rPr>
            <w:noProof w:val="1"/>
          </w:rPr>
          <w:fldChar w:fldCharType="separate"/>
        </w:r>
        <w:r>
          <w:rPr>
            <w:noProof w:val="1"/>
          </w:rPr>
          <w:t>7</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84651406">
        <w:r>
          <w:rPr>
            <w:rStyle w:val="C2"/>
            <w:noProof w:val="1"/>
          </w:rPr>
          <w:t>3</w:t>
        </w:r>
        <w:r>
          <w:rPr>
            <w:rFonts w:cstheme="minorBidi"/>
            <w:b w:val="0"/>
            <w:bCs w:val="0"/>
            <w:caps w:val="0"/>
            <w:noProof w:val="1"/>
            <w:sz w:val="22"/>
            <w:szCs w:val="22"/>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_Toc184651406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7">
        <w:r>
          <w:rPr>
            <w:rStyle w:val="C2"/>
            <w:noProof w:val="1"/>
          </w:rPr>
          <w:t>3.1</w:t>
        </w:r>
        <w:r>
          <w:rPr>
            <w:rFonts w:cstheme="minorBidi"/>
            <w:smallCaps w:val="0"/>
            <w:noProof w:val="1"/>
            <w:sz w:val="22"/>
            <w:szCs w:val="22"/>
            <w:kern w:val="2"/>
            <w:lang w:eastAsia="sv-SE"/>
          </w:rPr>
          <w:tab/>
        </w:r>
        <w:r>
          <w:rPr>
            <w:rStyle w:val="C2"/>
            <w:noProof w:val="1"/>
          </w:rPr>
          <w:t>Användning av allmän plats</w:t>
        </w:r>
        <w:r>
          <w:rPr>
            <w:noProof w:val="1"/>
          </w:rPr>
          <w:tab/>
        </w:r>
        <w:r>
          <w:rPr>
            <w:noProof w:val="1"/>
          </w:rPr>
          <w:fldChar w:fldCharType="begin"/>
        </w:r>
        <w:r>
          <w:rPr>
            <w:noProof w:val="1"/>
          </w:rPr>
          <w:instrText xml:space="preserve"> PAGEREF _Toc184651407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8">
        <w:r>
          <w:rPr>
            <w:rStyle w:val="C2"/>
            <w:noProof w:val="1"/>
          </w:rPr>
          <w:t>3.2</w:t>
        </w:r>
        <w:r>
          <w:rPr>
            <w:rFonts w:cstheme="minorBidi"/>
            <w:smallCaps w:val="0"/>
            <w:noProof w:val="1"/>
            <w:sz w:val="22"/>
            <w:szCs w:val="22"/>
            <w:kern w:val="2"/>
            <w:lang w:eastAsia="sv-SE"/>
          </w:rPr>
          <w:tab/>
        </w:r>
        <w:r>
          <w:rPr>
            <w:rStyle w:val="C2"/>
            <w:noProof w:val="1"/>
          </w:rPr>
          <w:t>Egenskapsbestämmelse för allmän plats</w:t>
        </w:r>
        <w:r>
          <w:rPr>
            <w:noProof w:val="1"/>
          </w:rPr>
          <w:tab/>
        </w:r>
        <w:r>
          <w:rPr>
            <w:noProof w:val="1"/>
          </w:rPr>
          <w:fldChar w:fldCharType="begin"/>
        </w:r>
        <w:r>
          <w:rPr>
            <w:noProof w:val="1"/>
          </w:rPr>
          <w:instrText xml:space="preserve"> PAGEREF _Toc184651408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09">
        <w:r>
          <w:rPr>
            <w:rStyle w:val="C2"/>
            <w:noProof w:val="1"/>
          </w:rPr>
          <w:t>3.3</w:t>
        </w:r>
        <w:r>
          <w:rPr>
            <w:rFonts w:cstheme="minorBidi"/>
            <w:smallCaps w:val="0"/>
            <w:noProof w:val="1"/>
            <w:sz w:val="22"/>
            <w:szCs w:val="22"/>
            <w:kern w:val="2"/>
            <w:lang w:eastAsia="sv-SE"/>
          </w:rPr>
          <w:tab/>
        </w:r>
        <w:r>
          <w:rPr>
            <w:rStyle w:val="C2"/>
            <w:noProof w:val="1"/>
          </w:rPr>
          <w:t>Användning av kvartersmark</w:t>
        </w:r>
        <w:r>
          <w:rPr>
            <w:noProof w:val="1"/>
          </w:rPr>
          <w:tab/>
        </w:r>
        <w:r>
          <w:rPr>
            <w:noProof w:val="1"/>
          </w:rPr>
          <w:fldChar w:fldCharType="begin"/>
        </w:r>
        <w:r>
          <w:rPr>
            <w:noProof w:val="1"/>
          </w:rPr>
          <w:instrText xml:space="preserve"> PAGEREF _Toc184651409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0">
        <w:r>
          <w:rPr>
            <w:rStyle w:val="C2"/>
            <w:noProof w:val="1"/>
          </w:rPr>
          <w:t>3.4</w:t>
        </w:r>
        <w:r>
          <w:rPr>
            <w:rFonts w:cstheme="minorBidi"/>
            <w:smallCaps w:val="0"/>
            <w:noProof w:val="1"/>
            <w:sz w:val="22"/>
            <w:szCs w:val="22"/>
            <w:kern w:val="2"/>
            <w:lang w:eastAsia="sv-SE"/>
          </w:rPr>
          <w:tab/>
        </w:r>
        <w:r>
          <w:rPr>
            <w:rStyle w:val="C2"/>
            <w:noProof w:val="1"/>
          </w:rPr>
          <w:t>Egenskapsbestämmelser för kvartersmark</w:t>
        </w:r>
        <w:r>
          <w:rPr>
            <w:noProof w:val="1"/>
          </w:rPr>
          <w:tab/>
        </w:r>
        <w:r>
          <w:rPr>
            <w:noProof w:val="1"/>
          </w:rPr>
          <w:fldChar w:fldCharType="begin"/>
        </w:r>
        <w:r>
          <w:rPr>
            <w:noProof w:val="1"/>
          </w:rPr>
          <w:instrText xml:space="preserve"> PAGEREF _Toc184651410 \h </w:instrText>
        </w:r>
        <w:r>
          <w:rPr>
            <w:noProof w:val="1"/>
          </w:rPr>
          <w:fldChar w:fldCharType="separate"/>
        </w:r>
        <w:r>
          <w:rPr>
            <w:noProof w:val="1"/>
          </w:rPr>
          <w:t>8</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84651411">
        <w:r>
          <w:rPr>
            <w:rStyle w:val="C2"/>
            <w:noProof w:val="1"/>
          </w:rPr>
          <w:t>4</w:t>
        </w:r>
        <w:r>
          <w:rPr>
            <w:rFonts w:cstheme="minorBidi"/>
            <w:b w:val="0"/>
            <w:bCs w:val="0"/>
            <w:caps w:val="0"/>
            <w:noProof w:val="1"/>
            <w:sz w:val="22"/>
            <w:szCs w:val="22"/>
            <w:kern w:val="2"/>
            <w:lang w:eastAsia="sv-SE"/>
          </w:rPr>
          <w:tab/>
        </w:r>
        <w:r>
          <w:rPr>
            <w:rStyle w:val="C2"/>
            <w:noProof w:val="1"/>
          </w:rPr>
          <w:t>Ställningstaganden</w:t>
        </w:r>
        <w:r>
          <w:rPr>
            <w:noProof w:val="1"/>
          </w:rPr>
          <w:tab/>
        </w:r>
        <w:r>
          <w:rPr>
            <w:noProof w:val="1"/>
          </w:rPr>
          <w:fldChar w:fldCharType="begin"/>
        </w:r>
        <w:r>
          <w:rPr>
            <w:noProof w:val="1"/>
          </w:rPr>
          <w:instrText xml:space="preserve"> PAGEREF _Toc184651411 \h </w:instrText>
        </w:r>
        <w:r>
          <w:rPr>
            <w:noProof w:val="1"/>
          </w:rPr>
          <w:fldChar w:fldCharType="separate"/>
        </w:r>
        <w:r>
          <w:rPr>
            <w:noProof w:val="1"/>
          </w:rPr>
          <w:t>10</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2">
        <w:r>
          <w:rPr>
            <w:rStyle w:val="C2"/>
            <w:noProof w:val="1"/>
          </w:rPr>
          <w:t>4.1</w:t>
        </w:r>
        <w:r>
          <w:rPr>
            <w:rFonts w:cstheme="minorBidi"/>
            <w:smallCaps w:val="0"/>
            <w:noProof w:val="1"/>
            <w:sz w:val="22"/>
            <w:szCs w:val="22"/>
            <w:kern w:val="2"/>
            <w:lang w:eastAsia="sv-SE"/>
          </w:rPr>
          <w:tab/>
        </w:r>
        <w:r>
          <w:rPr>
            <w:rStyle w:val="C2"/>
            <w:noProof w:val="1"/>
          </w:rPr>
          <w:t>Kommunala</w:t>
        </w:r>
        <w:r>
          <w:rPr>
            <w:noProof w:val="1"/>
          </w:rPr>
          <w:tab/>
        </w:r>
        <w:r>
          <w:rPr>
            <w:noProof w:val="1"/>
          </w:rPr>
          <w:fldChar w:fldCharType="begin"/>
        </w:r>
        <w:r>
          <w:rPr>
            <w:noProof w:val="1"/>
          </w:rPr>
          <w:instrText xml:space="preserve"> PAGEREF _Toc184651412 \h </w:instrText>
        </w:r>
        <w:r>
          <w:rPr>
            <w:noProof w:val="1"/>
          </w:rPr>
          <w:fldChar w:fldCharType="separate"/>
        </w:r>
        <w:r>
          <w:rPr>
            <w:noProof w:val="1"/>
          </w:rPr>
          <w:t>10</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3">
        <w:r>
          <w:rPr>
            <w:rStyle w:val="C2"/>
            <w:noProof w:val="1"/>
          </w:rPr>
          <w:t>4.2</w:t>
        </w:r>
        <w:r>
          <w:rPr>
            <w:rFonts w:cstheme="minorBidi"/>
            <w:smallCaps w:val="0"/>
            <w:noProof w:val="1"/>
            <w:sz w:val="22"/>
            <w:szCs w:val="22"/>
            <w:kern w:val="2"/>
            <w:lang w:eastAsia="sv-SE"/>
          </w:rPr>
          <w:tab/>
        </w:r>
        <w:r>
          <w:rPr>
            <w:rStyle w:val="C2"/>
            <w:noProof w:val="1"/>
          </w:rPr>
          <w:t>Regionala</w:t>
        </w:r>
        <w:r>
          <w:rPr>
            <w:noProof w:val="1"/>
          </w:rPr>
          <w:tab/>
        </w:r>
        <w:r>
          <w:rPr>
            <w:noProof w:val="1"/>
          </w:rPr>
          <w:fldChar w:fldCharType="begin"/>
        </w:r>
        <w:r>
          <w:rPr>
            <w:noProof w:val="1"/>
          </w:rPr>
          <w:instrText xml:space="preserve"> PAGEREF _Toc184651413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4">
        <w:r>
          <w:rPr>
            <w:rStyle w:val="C2"/>
            <w:noProof w:val="1"/>
          </w:rPr>
          <w:t>4.3</w:t>
        </w:r>
        <w:r>
          <w:rPr>
            <w:rFonts w:cstheme="minorBidi"/>
            <w:smallCaps w:val="0"/>
            <w:noProof w:val="1"/>
            <w:sz w:val="22"/>
            <w:szCs w:val="22"/>
            <w:kern w:val="2"/>
            <w:lang w:eastAsia="sv-SE"/>
          </w:rPr>
          <w:tab/>
        </w:r>
        <w:r>
          <w:rPr>
            <w:rStyle w:val="C2"/>
            <w:noProof w:val="1"/>
          </w:rPr>
          <w:t>Riksintressen</w:t>
        </w:r>
        <w:r>
          <w:rPr>
            <w:noProof w:val="1"/>
          </w:rPr>
          <w:tab/>
        </w:r>
        <w:r>
          <w:rPr>
            <w:noProof w:val="1"/>
          </w:rPr>
          <w:fldChar w:fldCharType="begin"/>
        </w:r>
        <w:r>
          <w:rPr>
            <w:noProof w:val="1"/>
          </w:rPr>
          <w:instrText xml:space="preserve"> PAGEREF _Toc184651414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5">
        <w:r>
          <w:rPr>
            <w:rStyle w:val="C2"/>
            <w:noProof w:val="1"/>
          </w:rPr>
          <w:t>4.4</w:t>
        </w:r>
        <w:r>
          <w:rPr>
            <w:rFonts w:cstheme="minorBidi"/>
            <w:smallCaps w:val="0"/>
            <w:noProof w:val="1"/>
            <w:sz w:val="22"/>
            <w:szCs w:val="22"/>
            <w:kern w:val="2"/>
            <w:lang w:eastAsia="sv-SE"/>
          </w:rPr>
          <w:tab/>
        </w:r>
        <w:r>
          <w:rPr>
            <w:rStyle w:val="C2"/>
            <w:noProof w:val="1"/>
          </w:rPr>
          <w:t>Hushållningsbestämmelser enligt 3 kap. Miljöbalken</w:t>
        </w:r>
        <w:r>
          <w:rPr>
            <w:noProof w:val="1"/>
          </w:rPr>
          <w:tab/>
        </w:r>
        <w:r>
          <w:rPr>
            <w:noProof w:val="1"/>
          </w:rPr>
          <w:fldChar w:fldCharType="begin"/>
        </w:r>
        <w:r>
          <w:rPr>
            <w:noProof w:val="1"/>
          </w:rPr>
          <w:instrText xml:space="preserve"> PAGEREF _Toc184651415 \h </w:instrText>
        </w:r>
        <w:r>
          <w:rPr>
            <w:noProof w:val="1"/>
          </w:rPr>
          <w:fldChar w:fldCharType="separate"/>
        </w:r>
        <w:r>
          <w:rPr>
            <w:noProof w:val="1"/>
          </w:rPr>
          <w:t>11</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84651416">
        <w:r>
          <w:rPr>
            <w:rStyle w:val="C2"/>
            <w:noProof w:val="1"/>
          </w:rPr>
          <w:t>5</w:t>
        </w:r>
        <w:r>
          <w:rPr>
            <w:rFonts w:cstheme="minorBidi"/>
            <w:b w:val="0"/>
            <w:bCs w:val="0"/>
            <w:caps w:val="0"/>
            <w:noProof w:val="1"/>
            <w:sz w:val="22"/>
            <w:szCs w:val="22"/>
            <w:kern w:val="2"/>
            <w:lang w:eastAsia="sv-SE"/>
          </w:rPr>
          <w:tab/>
        </w:r>
        <w:r>
          <w:rPr>
            <w:rStyle w:val="C2"/>
            <w:noProof w:val="1"/>
          </w:rPr>
          <w:t>Förutsättningar, förändringar och konsekvenser</w:t>
        </w:r>
        <w:r>
          <w:rPr>
            <w:noProof w:val="1"/>
          </w:rPr>
          <w:tab/>
        </w:r>
        <w:r>
          <w:rPr>
            <w:noProof w:val="1"/>
          </w:rPr>
          <w:fldChar w:fldCharType="begin"/>
        </w:r>
        <w:r>
          <w:rPr>
            <w:noProof w:val="1"/>
          </w:rPr>
          <w:instrText xml:space="preserve"> PAGEREF _Toc184651416 \h </w:instrText>
        </w:r>
        <w:r>
          <w:rPr>
            <w:noProof w:val="1"/>
          </w:rPr>
          <w:fldChar w:fldCharType="separate"/>
        </w:r>
        <w:r>
          <w:rPr>
            <w:noProof w:val="1"/>
          </w:rPr>
          <w:t>13</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7">
        <w:r>
          <w:rPr>
            <w:rStyle w:val="C2"/>
            <w:noProof w:val="1"/>
          </w:rPr>
          <w:t>5.1</w:t>
        </w:r>
        <w:r>
          <w:rPr>
            <w:rFonts w:cstheme="minorBidi"/>
            <w:smallCaps w:val="0"/>
            <w:noProof w:val="1"/>
            <w:sz w:val="22"/>
            <w:szCs w:val="22"/>
            <w:kern w:val="2"/>
            <w:lang w:eastAsia="sv-SE"/>
          </w:rPr>
          <w:tab/>
        </w:r>
        <w:r>
          <w:rPr>
            <w:rStyle w:val="C2"/>
            <w:noProof w:val="1"/>
          </w:rPr>
          <w:t>Natur</w:t>
        </w:r>
        <w:r>
          <w:rPr>
            <w:noProof w:val="1"/>
          </w:rPr>
          <w:tab/>
        </w:r>
        <w:r>
          <w:rPr>
            <w:noProof w:val="1"/>
          </w:rPr>
          <w:fldChar w:fldCharType="begin"/>
        </w:r>
        <w:r>
          <w:rPr>
            <w:noProof w:val="1"/>
          </w:rPr>
          <w:instrText xml:space="preserve"> PAGEREF _Toc184651417 \h </w:instrText>
        </w:r>
        <w:r>
          <w:rPr>
            <w:noProof w:val="1"/>
          </w:rPr>
          <w:fldChar w:fldCharType="separate"/>
        </w:r>
        <w:r>
          <w:rPr>
            <w:noProof w:val="1"/>
          </w:rPr>
          <w:t>13</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8">
        <w:r>
          <w:rPr>
            <w:rStyle w:val="C2"/>
            <w:noProof w:val="1"/>
          </w:rPr>
          <w:t>5.2</w:t>
        </w:r>
        <w:r>
          <w:rPr>
            <w:rFonts w:cstheme="minorBidi"/>
            <w:smallCaps w:val="0"/>
            <w:noProof w:val="1"/>
            <w:sz w:val="22"/>
            <w:szCs w:val="22"/>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_Toc184651418 \h </w:instrText>
        </w:r>
        <w:r>
          <w:rPr>
            <w:noProof w:val="1"/>
          </w:rPr>
          <w:fldChar w:fldCharType="separate"/>
        </w:r>
        <w:r>
          <w:rPr>
            <w:noProof w:val="1"/>
          </w:rPr>
          <w:t>14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19">
        <w:r>
          <w:rPr>
            <w:rStyle w:val="C2"/>
            <w:noProof w:val="1"/>
          </w:rPr>
          <w:t>5.3</w:t>
        </w:r>
        <w:r>
          <w:rPr>
            <w:rFonts w:cstheme="minorBidi"/>
            <w:smallCaps w:val="0"/>
            <w:noProof w:val="1"/>
            <w:sz w:val="22"/>
            <w:szCs w:val="22"/>
            <w:kern w:val="2"/>
            <w:lang w:eastAsia="sv-SE"/>
          </w:rPr>
          <w:tab/>
        </w:r>
        <w:r>
          <w:rPr>
            <w:rStyle w:val="C2"/>
            <w:noProof w:val="1"/>
          </w:rPr>
          <w:t>bebyggelse</w:t>
        </w:r>
        <w:r>
          <w:rPr>
            <w:noProof w:val="1"/>
          </w:rPr>
          <w:tab/>
        </w:r>
        <w:r>
          <w:rPr>
            <w:noProof w:val="1"/>
          </w:rPr>
          <w:fldChar w:fldCharType="begin"/>
        </w:r>
        <w:r>
          <w:rPr>
            <w:noProof w:val="1"/>
          </w:rPr>
          <w:instrText xml:space="preserve"> PAGEREF _Toc184651419 \h </w:instrText>
        </w:r>
        <w:r>
          <w:rPr>
            <w:noProof w:val="1"/>
          </w:rPr>
          <w:fldChar w:fldCharType="separate"/>
        </w:r>
        <w:r>
          <w:rPr>
            <w:noProof w:val="1"/>
          </w:rPr>
          <w:t>14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0">
        <w:r>
          <w:rPr>
            <w:rStyle w:val="C2"/>
            <w:noProof w:val="1"/>
          </w:rPr>
          <w:t>5.4</w:t>
        </w:r>
        <w:r>
          <w:rPr>
            <w:rFonts w:cstheme="minorBidi"/>
            <w:smallCaps w:val="0"/>
            <w:noProof w:val="1"/>
            <w:sz w:val="22"/>
            <w:szCs w:val="22"/>
            <w:kern w:val="2"/>
            <w:lang w:eastAsia="sv-SE"/>
          </w:rPr>
          <w:tab/>
        </w:r>
        <w:r>
          <w:rPr>
            <w:rStyle w:val="C2"/>
            <w:noProof w:val="1"/>
          </w:rPr>
          <w:t>vattenområden</w:t>
        </w:r>
        <w:r>
          <w:rPr>
            <w:noProof w:val="1"/>
          </w:rPr>
          <w:tab/>
        </w:r>
        <w:r>
          <w:rPr>
            <w:noProof w:val="1"/>
          </w:rPr>
          <w:fldChar w:fldCharType="begin"/>
        </w:r>
        <w:r>
          <w:rPr>
            <w:noProof w:val="1"/>
          </w:rPr>
          <w:instrText xml:space="preserve"> PAGEREF _Toc184651420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1">
        <w:r>
          <w:rPr>
            <w:rStyle w:val="C2"/>
            <w:noProof w:val="1"/>
          </w:rPr>
          <w:t>5.5</w:t>
        </w:r>
        <w:r>
          <w:rPr>
            <w:rFonts w:cstheme="minorBidi"/>
            <w:smallCaps w:val="0"/>
            <w:noProof w:val="1"/>
            <w:sz w:val="22"/>
            <w:szCs w:val="22"/>
            <w:kern w:val="2"/>
            <w:lang w:eastAsia="sv-SE"/>
          </w:rPr>
          <w:tab/>
        </w:r>
        <w:r>
          <w:rPr>
            <w:rStyle w:val="C2"/>
            <w:noProof w:val="1"/>
          </w:rPr>
          <w:t>Fornlämningar och värdefull kulturhistorisk miljö</w:t>
        </w:r>
        <w:r>
          <w:rPr>
            <w:noProof w:val="1"/>
          </w:rPr>
          <w:tab/>
        </w:r>
        <w:r>
          <w:rPr>
            <w:noProof w:val="1"/>
          </w:rPr>
          <w:fldChar w:fldCharType="begin"/>
        </w:r>
        <w:r>
          <w:rPr>
            <w:noProof w:val="1"/>
          </w:rPr>
          <w:instrText xml:space="preserve"> PAGEREF _Toc184651421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2">
        <w:r>
          <w:rPr>
            <w:rStyle w:val="C2"/>
            <w:noProof w:val="1"/>
          </w:rPr>
          <w:t>5.6</w:t>
        </w:r>
        <w:r>
          <w:rPr>
            <w:rFonts w:cstheme="minorBidi"/>
            <w:smallCaps w:val="0"/>
            <w:noProof w:val="1"/>
            <w:sz w:val="22"/>
            <w:szCs w:val="22"/>
            <w:kern w:val="2"/>
            <w:lang w:eastAsia="sv-SE"/>
          </w:rPr>
          <w:tab/>
        </w:r>
        <w:r>
          <w:rPr>
            <w:rStyle w:val="C2"/>
            <w:noProof w:val="1"/>
          </w:rPr>
          <w:t>Gator och trafik</w:t>
        </w:r>
        <w:r>
          <w:rPr>
            <w:noProof w:val="1"/>
          </w:rPr>
          <w:tab/>
        </w:r>
        <w:r>
          <w:rPr>
            <w:noProof w:val="1"/>
          </w:rPr>
          <w:fldChar w:fldCharType="begin"/>
        </w:r>
        <w:r>
          <w:rPr>
            <w:noProof w:val="1"/>
          </w:rPr>
          <w:instrText xml:space="preserve"> PAGEREF _Toc184651422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3">
        <w:r>
          <w:rPr>
            <w:rStyle w:val="C2"/>
            <w:noProof w:val="1"/>
          </w:rPr>
          <w:t>5.7</w:t>
        </w:r>
        <w:r>
          <w:rPr>
            <w:rFonts w:cstheme="minorBidi"/>
            <w:smallCaps w:val="0"/>
            <w:noProof w:val="1"/>
            <w:sz w:val="22"/>
            <w:szCs w:val="22"/>
            <w:kern w:val="2"/>
            <w:lang w:eastAsia="sv-SE"/>
          </w:rPr>
          <w:tab/>
        </w:r>
        <w:r>
          <w:rPr>
            <w:rStyle w:val="C2"/>
            <w:noProof w:val="1"/>
          </w:rPr>
          <w:t>Sociala</w:t>
        </w:r>
        <w:r>
          <w:rPr>
            <w:noProof w:val="1"/>
          </w:rPr>
          <w:tab/>
        </w:r>
        <w:r>
          <w:rPr>
            <w:noProof w:val="1"/>
          </w:rPr>
          <w:fldChar w:fldCharType="begin"/>
        </w:r>
        <w:r>
          <w:rPr>
            <w:noProof w:val="1"/>
          </w:rPr>
          <w:instrText xml:space="preserve"> PAGEREF _Toc184651423 \h </w:instrText>
        </w:r>
        <w:r>
          <w:rPr>
            <w:noProof w:val="1"/>
          </w:rPr>
          <w:fldChar w:fldCharType="separate"/>
        </w:r>
        <w:r>
          <w:rPr>
            <w:noProof w:val="1"/>
          </w:rPr>
          <w:t>17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4">
        <w:r>
          <w:rPr>
            <w:rStyle w:val="C2"/>
            <w:noProof w:val="1"/>
          </w:rPr>
          <w:t>5.8</w:t>
        </w:r>
        <w:r>
          <w:rPr>
            <w:rFonts w:cstheme="minorBidi"/>
            <w:smallCaps w:val="0"/>
            <w:noProof w:val="1"/>
            <w:sz w:val="22"/>
            <w:szCs w:val="22"/>
            <w:kern w:val="2"/>
            <w:lang w:eastAsia="sv-SE"/>
          </w:rPr>
          <w:tab/>
        </w:r>
        <w:r>
          <w:rPr>
            <w:rStyle w:val="C2"/>
            <w:noProof w:val="1"/>
          </w:rPr>
          <w:t>Teknisk försörjning</w:t>
        </w:r>
        <w:r>
          <w:rPr>
            <w:noProof w:val="1"/>
          </w:rPr>
          <w:tab/>
        </w:r>
        <w:r>
          <w:rPr>
            <w:noProof w:val="1"/>
          </w:rPr>
          <w:fldChar w:fldCharType="begin"/>
        </w:r>
        <w:r>
          <w:rPr>
            <w:noProof w:val="1"/>
          </w:rPr>
          <w:instrText xml:space="preserve"> PAGEREF _Toc184651424 \h </w:instrText>
        </w:r>
        <w:r>
          <w:rPr>
            <w:noProof w:val="1"/>
          </w:rPr>
          <w:fldChar w:fldCharType="separate"/>
        </w:r>
        <w:r>
          <w:rPr>
            <w:noProof w:val="1"/>
          </w:rPr>
          <w:t>17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5">
        <w:r>
          <w:rPr>
            <w:rStyle w:val="C2"/>
            <w:noProof w:val="1"/>
          </w:rPr>
          <w:t>5.9</w:t>
        </w:r>
        <w:r>
          <w:rPr>
            <w:rFonts w:cstheme="minorBidi"/>
            <w:smallCaps w:val="0"/>
            <w:noProof w:val="1"/>
            <w:sz w:val="22"/>
            <w:szCs w:val="22"/>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_Toc184651425 \h </w:instrText>
        </w:r>
        <w:r>
          <w:rPr>
            <w:noProof w:val="1"/>
          </w:rPr>
          <w:fldChar w:fldCharType="separate"/>
        </w:r>
        <w:r>
          <w:rPr>
            <w:noProof w:val="1"/>
          </w:rPr>
          <w:t>19</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6">
        <w:r>
          <w:rPr>
            <w:rStyle w:val="C2"/>
            <w:noProof w:val="1"/>
          </w:rPr>
          <w:t>5.10</w:t>
        </w:r>
        <w:r>
          <w:rPr>
            <w:rFonts w:cstheme="minorBidi"/>
            <w:smallCaps w:val="0"/>
            <w:noProof w:val="1"/>
            <w:sz w:val="22"/>
            <w:szCs w:val="22"/>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_Toc184651426 \h </w:instrText>
        </w:r>
        <w:r>
          <w:rPr>
            <w:noProof w:val="1"/>
          </w:rPr>
          <w:fldChar w:fldCharType="separate"/>
        </w:r>
        <w:r>
          <w:rPr>
            <w:noProof w:val="1"/>
          </w:rPr>
          <w:t>20</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84651427">
        <w:r>
          <w:rPr>
            <w:rStyle w:val="C2"/>
            <w:noProof w:val="1"/>
          </w:rPr>
          <w:t>6</w:t>
        </w:r>
        <w:r>
          <w:rPr>
            <w:rFonts w:cstheme="minorBidi"/>
            <w:b w:val="0"/>
            <w:bCs w:val="0"/>
            <w:caps w:val="0"/>
            <w:noProof w:val="1"/>
            <w:sz w:val="22"/>
            <w:szCs w:val="22"/>
            <w:kern w:val="2"/>
            <w:lang w:eastAsia="sv-SE"/>
          </w:rPr>
          <w:tab/>
        </w:r>
        <w:r>
          <w:rPr>
            <w:rStyle w:val="C2"/>
            <w:noProof w:val="1"/>
          </w:rPr>
          <w:t>Genomförandefrågor</w:t>
        </w:r>
        <w:r>
          <w:rPr>
            <w:noProof w:val="1"/>
          </w:rPr>
          <w:tab/>
        </w:r>
        <w:r>
          <w:rPr>
            <w:noProof w:val="1"/>
          </w:rPr>
          <w:fldChar w:fldCharType="begin"/>
        </w:r>
        <w:r>
          <w:rPr>
            <w:noProof w:val="1"/>
          </w:rPr>
          <w:instrText xml:space="preserve"> PAGEREF _Toc184651427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8">
        <w:r>
          <w:rPr>
            <w:rStyle w:val="C2"/>
            <w:noProof w:val="1"/>
          </w:rPr>
          <w:t>6.1</w:t>
        </w:r>
        <w:r>
          <w:rPr>
            <w:rFonts w:cstheme="minorBidi"/>
            <w:smallCaps w:val="0"/>
            <w:noProof w:val="1"/>
            <w:sz w:val="22"/>
            <w:szCs w:val="22"/>
            <w:kern w:val="2"/>
            <w:lang w:eastAsia="sv-SE"/>
          </w:rPr>
          <w:tab/>
        </w:r>
        <w:r>
          <w:rPr>
            <w:rStyle w:val="C2"/>
            <w:noProof w:val="1"/>
          </w:rPr>
          <w:t>Fastighetsrättsliga frågor</w:t>
        </w:r>
        <w:r>
          <w:rPr>
            <w:noProof w:val="1"/>
          </w:rPr>
          <w:tab/>
        </w:r>
        <w:r>
          <w:rPr>
            <w:noProof w:val="1"/>
          </w:rPr>
          <w:fldChar w:fldCharType="begin"/>
        </w:r>
        <w:r>
          <w:rPr>
            <w:noProof w:val="1"/>
          </w:rPr>
          <w:instrText xml:space="preserve"> PAGEREF _Toc184651428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29">
        <w:r>
          <w:rPr>
            <w:rStyle w:val="C2"/>
            <w:noProof w:val="1"/>
          </w:rPr>
          <w:t>6.2</w:t>
        </w:r>
        <w:r>
          <w:rPr>
            <w:rFonts w:cstheme="minorBidi"/>
            <w:smallCaps w:val="0"/>
            <w:noProof w:val="1"/>
            <w:sz w:val="22"/>
            <w:szCs w:val="22"/>
            <w:kern w:val="2"/>
            <w:lang w:eastAsia="sv-SE"/>
          </w:rPr>
          <w:tab/>
        </w:r>
        <w:r>
          <w:rPr>
            <w:rStyle w:val="C2"/>
            <w:noProof w:val="1"/>
          </w:rPr>
          <w:t>Tekniska frågor</w:t>
        </w:r>
        <w:r>
          <w:rPr>
            <w:noProof w:val="1"/>
          </w:rPr>
          <w:tab/>
        </w:r>
        <w:r>
          <w:rPr>
            <w:noProof w:val="1"/>
          </w:rPr>
          <w:fldChar w:fldCharType="begin"/>
        </w:r>
        <w:r>
          <w:rPr>
            <w:noProof w:val="1"/>
          </w:rPr>
          <w:instrText xml:space="preserve"> PAGEREF _Toc184651429 \h </w:instrText>
        </w:r>
        <w:r>
          <w:rPr>
            <w:noProof w:val="1"/>
          </w:rPr>
          <w:fldChar w:fldCharType="separate"/>
        </w:r>
        <w:r>
          <w:rPr>
            <w:noProof w:val="1"/>
          </w:rPr>
          <w:t>25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30">
        <w:r>
          <w:rPr>
            <w:rStyle w:val="C2"/>
            <w:noProof w:val="1"/>
          </w:rPr>
          <w:t>6.3</w:t>
        </w:r>
        <w:r>
          <w:rPr>
            <w:rFonts w:cstheme="minorBidi"/>
            <w:smallCaps w:val="0"/>
            <w:noProof w:val="1"/>
            <w:sz w:val="22"/>
            <w:szCs w:val="22"/>
            <w:kern w:val="2"/>
            <w:lang w:eastAsia="sv-SE"/>
          </w:rPr>
          <w:tab/>
        </w:r>
        <w:r>
          <w:rPr>
            <w:rStyle w:val="C2"/>
            <w:noProof w:val="1"/>
          </w:rPr>
          <w:t>Ekonomiska frågor</w:t>
        </w:r>
        <w:r>
          <w:rPr>
            <w:noProof w:val="1"/>
          </w:rPr>
          <w:tab/>
        </w:r>
        <w:r>
          <w:rPr>
            <w:noProof w:val="1"/>
          </w:rPr>
          <w:fldChar w:fldCharType="begin"/>
        </w:r>
        <w:r>
          <w:rPr>
            <w:noProof w:val="1"/>
          </w:rPr>
          <w:instrText xml:space="preserve"> PAGEREF _Toc184651430 \h </w:instrText>
        </w:r>
        <w:r>
          <w:rPr>
            <w:noProof w:val="1"/>
          </w:rPr>
          <w:fldChar w:fldCharType="separate"/>
        </w:r>
        <w:r>
          <w:rPr>
            <w:noProof w:val="1"/>
          </w:rPr>
          <w:t>25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84651431">
        <w:r>
          <w:rPr>
            <w:rStyle w:val="C2"/>
            <w:noProof w:val="1"/>
          </w:rPr>
          <w:t>6.4</w:t>
        </w:r>
        <w:r>
          <w:rPr>
            <w:rFonts w:cstheme="minorBidi"/>
            <w:smallCaps w:val="0"/>
            <w:noProof w:val="1"/>
            <w:sz w:val="22"/>
            <w:szCs w:val="22"/>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_Toc184651431 \h </w:instrText>
        </w:r>
        <w:r>
          <w:rPr>
            <w:noProof w:val="1"/>
          </w:rPr>
          <w:fldChar w:fldCharType="separate"/>
        </w:r>
        <w:r>
          <w:rPr>
            <w:noProof w:val="1"/>
          </w:rPr>
          <w:t>26</w:t>
        </w:r>
        <w:r>
          <w:rPr>
            <w:noProof w:val="1"/>
          </w:rPr>
          <w:fldChar w:fldCharType="end"/>
        </w:r>
      </w:hyperlink>
    </w:p>
    <w:p>
      <w:r>
        <w:fldChar w:fldCharType="end"/>
      </w:r>
    </w:p>
    <w:p/>
    <w:p/>
    <w:p>
      <w:pPr>
        <w:pStyle w:val="P1"/>
      </w:pPr>
      <w:bookmarkStart w:id="4" w:name="_Toc184651394"/>
      <w:r>
        <w:t>Beskrivning av detaljplanen</w:t>
      </w:r>
      <w:bookmarkEnd w:id="4"/>
      <w:r>
        <w:t xml:space="preserve"> </w:t>
      </w:r>
    </w:p>
    <w:p>
      <w:pPr>
        <w:ind w:left="576"/>
      </w:pPr>
      <w:r>
        <w:t xml:space="preserve">Detta avsnitt innehåller en redovisning av detaljplanens huvuddrag med vilka förändringar som möjliggörs i området när detaljplanen vunnit laga kraft, samt de överväganden som legat till grund för detaljplanens utformning. </w:t>
      </w:r>
    </w:p>
    <w:p>
      <w:pPr>
        <w:pStyle w:val="P2"/>
        <w:spacing w:lineRule="auto" w:line="360" w:beforeAutospacing="0" w:afterAutospacing="0"/>
      </w:pPr>
      <w:bookmarkStart w:id="5" w:name="_Toc184651395"/>
      <w:r>
        <w:t>Detaljplanens syfte</w:t>
      </w:r>
      <w:bookmarkEnd w:id="5"/>
    </w:p>
    <w:p>
      <w:pPr>
        <w:ind w:left="576"/>
      </w:pPr>
      <w:bookmarkStart w:id="6" w:name="sy_syfte01"/>
      <w:r>
        <w:t xml:space="preserve">Detaljplanens syfte är att skapa ett nytt bostadsområde genom att möjliggöra för uppförandet av ungefär 21–28 nya bostäder. Genom att främja en mångfald av boendeformer strävar planen efter att tillgodose olika behov och önskemål hos invånarna. </w:t>
      </w:r>
    </w:p>
    <w:p>
      <w:pPr>
        <w:pStyle w:val="P2"/>
        <w:spacing w:lineRule="auto" w:line="360" w:beforeAutospacing="0" w:afterAutospacing="0"/>
      </w:pPr>
      <w:bookmarkEnd w:id="6"/>
      <w:bookmarkStart w:id="7" w:name="_Toc184651396"/>
      <w:r>
        <w:t>Hela detaljplanen</w:t>
      </w:r>
      <w:bookmarkEnd w:id="7"/>
    </w:p>
    <w:p>
      <w:pPr>
        <w:ind w:left="576"/>
      </w:pPr>
      <w:bookmarkStart w:id="8" w:name="_Hlk160624934"/>
      <w:bookmarkStart w:id="9" w:name="be_heladetaljplan01"/>
      <w:r>
        <w:t xml:space="preserve">Detaljplanen möjliggör markanvändningen för bostadsändamål. Vid genomförande av planen kan 21–28 nya bostäder uppföras. Utformningen regleras med en- och tvåbostadshus för att möjliggöra variation av boendeformer. Denna variation av bostadstyper syftar till att skapa en attraktiv boendemiljö och kunna tillgodose olika behov och preferenser. </w:t>
      </w:r>
    </w:p>
    <w:p>
      <w:pPr>
        <w:pStyle w:val="P3"/>
      </w:pPr>
      <w:bookmarkEnd w:id="8"/>
      <w:bookmarkEnd w:id="9"/>
      <w:r>
        <w:t>Plandata</w:t>
      </w:r>
    </w:p>
    <w:p>
      <w:pPr>
        <w:ind w:left="720"/>
      </w:pPr>
      <w:r>
        <w:rPr>
          <w:noProof w:val="1"/>
        </w:rPr>
        <w:drawing>
          <wp:anchor xmlns:wp="http://schemas.openxmlformats.org/drawingml/2006/wordprocessingDrawing" distT="0" distB="0" distL="114300" distR="114300" simplePos="0" relativeHeight="2" behindDoc="0" locked="0" layoutInCell="1" allowOverlap="1">
            <wp:simplePos x="0" y="0"/>
            <wp:positionH relativeFrom="margin">
              <wp:posOffset>454025</wp:posOffset>
            </wp:positionH>
            <wp:positionV relativeFrom="paragraph">
              <wp:posOffset>824865</wp:posOffset>
            </wp:positionV>
            <wp:extent cx="4131945" cy="3291840"/>
            <wp:effectExtent l="0" t="0" r="1905" b="3810"/>
            <wp:wrapThrough wrapText="bothSides">
              <wp:wrapPolygon edited="0">
                <wp:start x="0" y="0"/>
                <wp:lineTo x="0" y="21500"/>
                <wp:lineTo x="21510" y="21500"/>
                <wp:lineTo x="21510" y="0"/>
                <wp:lineTo x="0" y="0"/>
              </wp:wrapPolygon>
            </wp:wrapThrough>
            <wp:docPr id="1" name="Bildobjekt 1"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karta, text, kartbok&#10;&#10;Automatiskt genererad beskrivning"/>
                    <pic:cNvPicPr/>
                  </pic:nvPicPr>
                  <pic:blipFill dpi="0">
                    <a:blip xmlns:r="http://schemas.openxmlformats.org/officeDocument/2006/relationships" r:embed="Relimage3"/>
                    <a:srcRect/>
                    <a:stretch>
                      <a:fillRect/>
                    </a:stretch>
                  </pic:blipFill>
                  <pic:spPr>
                    <a:xfrm>
                      <a:off x="0" y="0"/>
                      <a:ext cx="4131945" cy="3291840"/>
                    </a:xfrm>
                    <a:prstGeom prst="rect"/>
                  </pic:spPr>
                </pic:pic>
              </a:graphicData>
            </a:graphic>
          </wp:anchor>
        </w:drawing>
      </w:r>
      <w:bookmarkStart w:id="10" w:name="be_heladetaljplan02"/>
      <w:r>
        <w:t xml:space="preserve">Planområdet omfattar cirka 3 hektar mark som är en del av fastigheten Söderbärke Kyrkby 5:1 och är beläget i Söderbärke, ungefär 15 km från Smedjebackens tätort. Området är lokaliserat cirka 2 km från Söderbärke centrum längs med Bergmansvägen och i närheten av riksväg 66. </w:t>
      </w:r>
    </w:p>
    <w:p>
      <w:pPr>
        <w:ind w:left="720"/>
      </w:pPr>
      <w:bookmarkEnd w:id="10"/>
    </w:p>
    <w:p>
      <w:pPr>
        <w:pStyle w:val="P2"/>
      </w:pPr>
      <w:bookmarkStart w:id="11" w:name="_Toc184651397"/>
      <w:r>
        <w:t>Kvartersmark</w:t>
      </w:r>
      <w:bookmarkEnd w:id="11"/>
    </w:p>
    <w:p>
      <w:pPr>
        <w:ind w:left="576"/>
      </w:pPr>
      <w:bookmarkStart w:id="12" w:name="be_kvartersmark01"/>
      <w:r>
        <w:rPr>
          <w:b w:val="1"/>
          <w:bCs w:val="1"/>
        </w:rPr>
        <w:t>B Bostäder</w:t>
      </w:r>
      <w:r>
        <w:t xml:space="preserve"> Kvartersmarken inom planområdet regleras som kvartersmark för bostäder. Området regleras genom olika egenskapsbestämmelser för att säkerställa att området utvecklas i linje med planens intentioner att skapa en sammanhängande och attraktiv boendemiljö som harmoniserar med omgivande landskap och bebyggelse. </w:t>
      </w:r>
    </w:p>
    <w:p>
      <w:pPr>
        <w:ind w:left="576"/>
      </w:pPr>
      <w:r>
        <w:rPr>
          <w:b w:val="1"/>
          <w:bCs w:val="1"/>
        </w:rPr>
        <w:t>E Tekniska anläggningar</w:t>
      </w:r>
      <w:r>
        <w:t xml:space="preserve"> är avsedd för områdets olika tekniska behov.</w:t>
      </w:r>
    </w:p>
    <w:p>
      <w:pPr>
        <w:pStyle w:val="P2"/>
      </w:pPr>
      <w:bookmarkEnd w:id="12"/>
      <w:bookmarkStart w:id="13" w:name="_Toc184651398"/>
      <w:r>
        <w:t>Allmän plats</w:t>
      </w:r>
      <w:bookmarkEnd w:id="13"/>
    </w:p>
    <w:p>
      <w:pPr>
        <w:ind w:left="576"/>
      </w:pPr>
      <w:bookmarkStart w:id="14" w:name="be_allmänplats01"/>
      <w:r>
        <w:t xml:space="preserve">Den allmänna platsen inom planområdet omfattar </w:t>
      </w:r>
      <w:r>
        <w:rPr>
          <w:b w:val="1"/>
          <w:bCs w:val="1"/>
        </w:rPr>
        <w:t>GATA</w:t>
      </w:r>
      <w:r>
        <w:t xml:space="preserve"> som säkerställs med planbestämmelse. Bergsmansvägen sträcker sig längs med planområdets västra gräns, norr om planområdets gräns.   </w:t>
      </w:r>
    </w:p>
    <w:p>
      <w:pPr>
        <w:pStyle w:val="P3"/>
      </w:pPr>
      <w:bookmarkEnd w:id="14"/>
      <w:r>
        <w:t xml:space="preserve">Huvudmannaskap </w:t>
      </w:r>
    </w:p>
    <w:p>
      <w:pPr>
        <w:ind w:left="720"/>
      </w:pPr>
      <w:bookmarkStart w:id="15" w:name="be_huvudmannaskap01"/>
      <w:r>
        <w:t xml:space="preserve">Enligt 4 kap. 7§ plan- och bygglagen (SFS 2010:900) ska all allmän platsmark i detaljplanelagda områden ha en huvudman. Huvudmannen är den som har ansvar för att ställa i ordning och förvalta platserna. Huvudregeln i plan- och bygglagen (SFS 2010:900) är ett kommunalt huvudmannaskap för allmän platsmark. Det är kommunen som bestämmer om det ska vara en annan huvudman eller olika huvudmän i detaljplanen. Det regleras genom egenskapsbestämmelser på de områden där det ska vara enskilt huvudmannaskap och kommunalt huvudmannaskap. För att använda sig av enskilt huvudmannaskap ska det finnas särskilda skäl. Särskilda skäl kan exempelvis vara: </w:t>
      </w:r>
    </w:p>
    <w:p>
      <w:pPr>
        <w:pStyle w:val="P31"/>
        <w:numPr>
          <w:ilvl w:val="0"/>
          <w:numId w:val="27"/>
        </w:numPr>
      </w:pPr>
      <w:r>
        <w:t xml:space="preserve">Området är avsett för bostadsbebyggelse som endast används under delar av året </w:t>
      </w:r>
    </w:p>
    <w:p>
      <w:pPr>
        <w:pStyle w:val="P31"/>
        <w:numPr>
          <w:ilvl w:val="0"/>
          <w:numId w:val="27"/>
        </w:numPr>
      </w:pPr>
      <w:r>
        <w:t xml:space="preserve">Industriområde </w:t>
      </w:r>
    </w:p>
    <w:p>
      <w:pPr>
        <w:pStyle w:val="P31"/>
        <w:numPr>
          <w:ilvl w:val="0"/>
          <w:numId w:val="27"/>
        </w:numPr>
      </w:pPr>
      <w:r>
        <w:t>Få en enhetlig förvaltning vid ny eller kompletterande detaljplaneläggning i ett område där det finns enskilt huvudmannaskap sedan tidigare</w:t>
      </w:r>
    </w:p>
    <w:p>
      <w:pPr>
        <w:ind w:left="720"/>
      </w:pPr>
      <w:r>
        <w:t>Inom planområdet blir huvudmannaskapet enskilt. Syftet är att skapa en enhetlig väghållning inom områden, eftersom planområdet ansluter till områden där det redan är enskilt huvudmannaskap. Inom området finns befintlig enskilt huvudmannaskap för väghållning på Bergsmansvägen.</w:t>
      </w:r>
    </w:p>
    <w:p>
      <w:pPr>
        <w:pStyle w:val="P2"/>
      </w:pPr>
      <w:bookmarkEnd w:id="15"/>
      <w:bookmarkStart w:id="16" w:name="_Toc184651399"/>
      <w:r>
        <w:t>Vattenområden</w:t>
      </w:r>
      <w:bookmarkEnd w:id="16"/>
    </w:p>
    <w:p>
      <w:pPr>
        <w:ind w:left="576"/>
      </w:pPr>
      <w:bookmarkStart w:id="17" w:name="be_vattenområde01"/>
      <w:r>
        <w:t xml:space="preserve">Planområdet omfattas inte av vattenområden. </w:t>
      </w:r>
    </w:p>
    <w:p>
      <w:pPr>
        <w:pStyle w:val="P2"/>
      </w:pPr>
      <w:bookmarkEnd w:id="17"/>
      <w:bookmarkStart w:id="18" w:name="_Toc184651400"/>
      <w:r>
        <w:t>Befintligt</w:t>
      </w:r>
      <w:bookmarkEnd w:id="18"/>
    </w:p>
    <w:p>
      <w:pPr>
        <w:ind w:left="576"/>
      </w:pPr>
      <w:bookmarkStart w:id="19" w:name="be_befintligt01"/>
      <w:r>
        <w:t xml:space="preserve">Fastigheten som berörs är del av Söderbärke Kyrkby 5:1 och för närvarande huvudsakligen bestående av gles skogsmark. Öster om planområdet sträcker sig ett sammanhängande jordbrukslandskap, vilket inte kommer att påverkas av den planerade exploateringen. Planområdet gränsar till några få fastigheter samt även gränsar till Bergmansvägen. </w:t>
      </w:r>
    </w:p>
    <w:p>
      <w:pPr>
        <w:pStyle w:val="P2"/>
        <w:spacing w:lineRule="auto" w:line="360" w:beforeAutospacing="0" w:afterAutospacing="0"/>
      </w:pPr>
      <w:bookmarkEnd w:id="19"/>
      <w:bookmarkStart w:id="20" w:name="_Toc184651401"/>
      <w:r>
        <w:t>Ärendeinformation</w:t>
      </w:r>
      <w:bookmarkEnd w:id="20"/>
    </w:p>
    <w:tbl>
      <w:tblPr>
        <w:tblStyle w:val="T3"/>
        <w:tblW w:w="0" w:type="auto"/>
        <w:tblInd w:w="576" w:type="dxa"/>
        <w:tblLook w:val="04A0"/>
      </w:tblPr>
      <w:tblGrid/>
      <w:tr>
        <w:tc>
          <w:tcPr>
            <w:tcW w:w="4531" w:type="dxa"/>
          </w:tcPr>
          <w:p>
            <w:pPr>
              <w:spacing w:lineRule="auto" w:line="276" w:beforeAutospacing="0" w:afterAutospacing="0"/>
            </w:pPr>
            <w:bookmarkStart w:id="21" w:name="be_ärendeinformation01" w:colFirst="0" w:colLast="1"/>
            <w:r>
              <w:rPr>
                <w:b w:val="1"/>
                <w:bCs w:val="1"/>
              </w:rPr>
              <w:t>Namn:</w:t>
            </w:r>
            <w:r>
              <w:t xml:space="preserve"> Detaljplan för Flickänget</w:t>
            </w:r>
          </w:p>
          <w:p>
            <w:pPr>
              <w:spacing w:lineRule="auto" w:line="276" w:beforeAutospacing="0" w:afterAutospacing="0"/>
            </w:pPr>
            <w:r>
              <w:t>Del av Söderbärke Kyrkby 5:1</w:t>
            </w:r>
          </w:p>
        </w:tc>
        <w:tc>
          <w:tcPr>
            <w:tcW w:w="4531" w:type="dxa"/>
          </w:tcPr>
          <w:p>
            <w:pPr>
              <w:spacing w:lineRule="auto" w:line="276" w:beforeAutospacing="0" w:afterAutospacing="0"/>
            </w:pPr>
            <w:r>
              <w:rPr>
                <w:b w:val="1"/>
                <w:bCs w:val="1"/>
              </w:rPr>
              <w:t>Beslut om planbesked:</w:t>
            </w:r>
            <w:r>
              <w:t xml:space="preserve"> 2024 – 02 – 14 </w:t>
            </w:r>
          </w:p>
          <w:p>
            <w:pPr>
              <w:spacing w:lineRule="auto" w:line="276" w:beforeAutospacing="0" w:afterAutospacing="0"/>
            </w:pPr>
            <w:r>
              <w:t>Miljö – och byggnadsnämnden § 6</w:t>
            </w:r>
          </w:p>
        </w:tc>
      </w:tr>
      <w:tr>
        <w:tc>
          <w:tcPr>
            <w:tcW w:w="4531" w:type="dxa"/>
          </w:tcPr>
          <w:p>
            <w:pPr>
              <w:spacing w:lineRule="auto" w:line="276" w:beforeAutospacing="0" w:afterAutospacing="0"/>
            </w:pPr>
            <w:bookmarkEnd w:id="21"/>
            <w:bookmarkStart w:id="22" w:name="be_ärendeinformation02" w:colFirst="0" w:colLast="1"/>
            <w:r>
              <w:rPr>
                <w:b w:val="1"/>
                <w:bCs w:val="1"/>
              </w:rPr>
              <w:t>Dnr:</w:t>
            </w:r>
            <w:r>
              <w:t xml:space="preserve"> MBN 2024 – 54</w:t>
            </w:r>
          </w:p>
        </w:tc>
        <w:tc>
          <w:tcPr>
            <w:tcW w:w="4531" w:type="dxa"/>
          </w:tcPr>
          <w:p>
            <w:pPr>
              <w:spacing w:lineRule="auto" w:line="276" w:beforeAutospacing="0" w:afterAutospacing="0"/>
            </w:pPr>
            <w:r>
              <w:rPr>
                <w:b w:val="1"/>
                <w:bCs w:val="1"/>
              </w:rPr>
              <w:t>Planstart:</w:t>
            </w:r>
            <w:r>
              <w:t xml:space="preserve"> 2024 – 02 – 14 </w:t>
            </w:r>
          </w:p>
        </w:tc>
      </w:tr>
      <w:tr>
        <w:tc>
          <w:tcPr>
            <w:tcW w:w="4531" w:type="dxa"/>
          </w:tcPr>
          <w:p>
            <w:pPr>
              <w:spacing w:lineRule="auto" w:line="276" w:beforeAutospacing="0" w:afterAutospacing="0"/>
            </w:pPr>
            <w:bookmarkEnd w:id="22"/>
            <w:bookmarkStart w:id="23" w:name="be_ärendeinformation03" w:colFirst="0" w:colLast="1"/>
            <w:r>
              <w:rPr>
                <w:b w:val="1"/>
                <w:bCs w:val="1"/>
              </w:rPr>
              <w:t>Kommundel:</w:t>
            </w:r>
            <w:r>
              <w:t xml:space="preserve"> Söderbärke</w:t>
            </w:r>
          </w:p>
        </w:tc>
        <w:tc>
          <w:tcPr>
            <w:tcW w:w="4531" w:type="dxa"/>
          </w:tcPr>
          <w:p>
            <w:pPr>
              <w:spacing w:lineRule="auto" w:line="276" w:beforeAutospacing="0" w:afterAutospacing="0"/>
            </w:pPr>
            <w:r>
              <w:rPr>
                <w:b w:val="1"/>
                <w:bCs w:val="1"/>
              </w:rPr>
              <w:t>Samråd:</w:t>
            </w:r>
            <w:r>
              <w:t xml:space="preserve"> 2024 – 04 – 15</w:t>
            </w:r>
          </w:p>
        </w:tc>
      </w:tr>
      <w:tr>
        <w:tc>
          <w:tcPr>
            <w:tcW w:w="4531" w:type="dxa"/>
          </w:tcPr>
          <w:p>
            <w:pPr>
              <w:spacing w:lineRule="auto" w:line="276" w:beforeAutospacing="0" w:afterAutospacing="0"/>
            </w:pPr>
            <w:bookmarkEnd w:id="23"/>
            <w:bookmarkStart w:id="24" w:name="be_ärendeinformation04" w:colFirst="0" w:colLast="1"/>
            <w:r>
              <w:rPr>
                <w:b w:val="1"/>
                <w:bCs w:val="1"/>
              </w:rPr>
              <w:t>Kommun:</w:t>
            </w:r>
            <w:r>
              <w:t xml:space="preserve"> Smedjebacken</w:t>
            </w:r>
          </w:p>
        </w:tc>
        <w:tc>
          <w:tcPr>
            <w:tcW w:w="4531" w:type="dxa"/>
          </w:tcPr>
          <w:p>
            <w:pPr>
              <w:spacing w:lineRule="auto" w:line="276" w:beforeAutospacing="0" w:afterAutospacing="0"/>
            </w:pPr>
            <w:r>
              <w:rPr>
                <w:b w:val="1"/>
                <w:bCs w:val="1"/>
              </w:rPr>
              <w:t>Granskning:</w:t>
            </w:r>
            <w:r>
              <w:t xml:space="preserve"> 2024 – 09 – 11 </w:t>
            </w:r>
          </w:p>
        </w:tc>
      </w:tr>
      <w:tr>
        <w:tc>
          <w:tcPr>
            <w:tcW w:w="4531" w:type="dxa"/>
          </w:tcPr>
          <w:p>
            <w:pPr>
              <w:spacing w:lineRule="auto" w:line="276" w:beforeAutospacing="0" w:afterAutospacing="0"/>
            </w:pPr>
            <w:bookmarkEnd w:id="24"/>
            <w:bookmarkStart w:id="25" w:name="be_ärendeinformation05" w:colFirst="0" w:colLast="1"/>
            <w:r>
              <w:rPr>
                <w:b w:val="1"/>
                <w:bCs w:val="1"/>
              </w:rPr>
              <w:t>Län:</w:t>
            </w:r>
            <w:r>
              <w:t xml:space="preserve"> Dalarnas län</w:t>
            </w:r>
          </w:p>
        </w:tc>
        <w:tc>
          <w:tcPr>
            <w:tcW w:w="4531" w:type="dxa"/>
          </w:tcPr>
          <w:p>
            <w:pPr>
              <w:spacing w:lineRule="auto" w:line="276" w:beforeAutospacing="0" w:afterAutospacing="0"/>
            </w:pPr>
            <w:r>
              <w:rPr>
                <w:b w:val="1"/>
                <w:bCs w:val="1"/>
              </w:rPr>
              <w:t>Antagande:</w:t>
            </w:r>
            <w:r>
              <w:t xml:space="preserve"> 2024 – 12 – 16  </w:t>
            </w:r>
          </w:p>
        </w:tc>
      </w:tr>
      <w:tr>
        <w:tc>
          <w:tcPr>
            <w:tcW w:w="4531" w:type="dxa"/>
          </w:tcPr>
          <w:p>
            <w:pPr>
              <w:spacing w:lineRule="auto" w:line="276" w:beforeAutospacing="0" w:afterAutospacing="0"/>
            </w:pPr>
            <w:bookmarkEnd w:id="25"/>
            <w:bookmarkStart w:id="26" w:name="be_ärendeinformation06" w:colFirst="0" w:colLast="1"/>
            <w:r>
              <w:rPr>
                <w:b w:val="1"/>
                <w:bCs w:val="1"/>
              </w:rPr>
              <w:t>Planförfarande:</w:t>
            </w:r>
            <w:r>
              <w:t xml:space="preserve"> Standardförfarande</w:t>
            </w:r>
          </w:p>
        </w:tc>
        <w:tc>
          <w:tcPr>
            <w:tcW w:w="4531" w:type="dxa"/>
          </w:tcPr>
          <w:p>
            <w:pPr>
              <w:spacing w:lineRule="auto" w:line="276" w:beforeAutospacing="0" w:afterAutospacing="0"/>
            </w:pPr>
            <w:r>
              <w:rPr>
                <w:b w:val="1"/>
                <w:bCs w:val="1"/>
              </w:rPr>
              <w:t>Laga kraft:</w:t>
            </w:r>
            <w:r>
              <w:t xml:space="preserve"> 2025 – 01 – 08 </w:t>
            </w:r>
          </w:p>
        </w:tc>
      </w:tr>
    </w:tbl>
    <w:p>
      <w:pPr>
        <w:spacing w:lineRule="auto" w:line="276" w:beforeAutospacing="0" w:afterAutospacing="0"/>
      </w:pPr>
      <w:bookmarkEnd w:id="26"/>
    </w:p>
    <w:p>
      <w:pPr>
        <w:pStyle w:val="P2"/>
        <w:spacing w:lineRule="auto" w:line="360" w:beforeAutospacing="0" w:afterAutospacing="0"/>
      </w:pPr>
      <w:bookmarkStart w:id="27" w:name="_Toc184651402"/>
      <w:r>
        <w:t>Genomförandetid</w:t>
      </w:r>
      <w:bookmarkEnd w:id="27"/>
      <w:r>
        <w:t xml:space="preserve"> </w:t>
      </w:r>
    </w:p>
    <w:p>
      <w:pPr>
        <w:spacing w:lineRule="auto" w:line="276" w:beforeAutospacing="0" w:afterAutospacing="0"/>
        <w:ind w:left="576"/>
      </w:pPr>
      <w:bookmarkStart w:id="28" w:name="be_genomförandetid01"/>
      <w:r>
        <w:t xml:space="preserve">Genomförandetiden för detaljplanen är 10 år från den dag detaljplanen får laga kraft. Innan genomförandetiden har gått ut får planen i regel inte ändras, ersättas eller upphävas mot berörda fastighetsägares vilja. Under genomförandetiden får planen dock ändras mot berörda fastighetsägares vilja om det är av stor allmän vikt eller av nya förhållanden av stor vikt som inte kunde förutses vid planläggning. </w:t>
      </w:r>
    </w:p>
    <w:p>
      <w:pPr>
        <w:spacing w:lineRule="auto" w:line="276" w:beforeAutospacing="0" w:afterAutospacing="0"/>
        <w:ind w:left="576"/>
      </w:pPr>
      <w:r>
        <w:t xml:space="preserve">Ändras eller upphävs planen under genomförandetiden har fastighetsägare rätt till ersättning från kommunen för den skada det medför. Efter genomförandetiden fortsätter detaljplanen att gälla med sina befintliga rättigheter. Vid efterföljande ändringar eller upphävande av detaljplanen kommer ingen rätt till ersättning att ges för de förlorade rättigheterna. </w:t>
      </w:r>
    </w:p>
    <w:p>
      <w:pPr>
        <w:pStyle w:val="P1"/>
      </w:pPr>
      <w:bookmarkEnd w:id="28"/>
      <w:bookmarkStart w:id="29" w:name="_Toc184651403"/>
      <w:r>
        <w:t>Planeringsunderlag</w:t>
      </w:r>
      <w:bookmarkEnd w:id="29"/>
      <w:r>
        <w:t xml:space="preserve">  </w:t>
      </w:r>
    </w:p>
    <w:p>
      <w:r>
        <w:t xml:space="preserve">Detta avsnitt redovisar en sammanställning av de planeringsunderlag som legat till grund för detaljplanens omfattning och utformning. </w:t>
      </w:r>
    </w:p>
    <w:p>
      <w:pPr>
        <w:pStyle w:val="P2"/>
        <w:spacing w:lineRule="auto" w:line="240" w:beforeAutospacing="0" w:afterAutospacing="0"/>
      </w:pPr>
      <w:bookmarkStart w:id="30" w:name="_Toc184651404"/>
      <w:r>
        <w:t>Kommunala underlag</w:t>
      </w:r>
      <w:bookmarkEnd w:id="30"/>
      <w:r>
        <w:t xml:space="preserve"> </w:t>
      </w:r>
    </w:p>
    <w:p>
      <w:pPr>
        <w:pStyle w:val="P3"/>
        <w:spacing w:lineRule="auto" w:line="360" w:beforeAutospacing="0" w:afterAutospacing="0"/>
      </w:pPr>
      <w:r>
        <w:t>Översiktsplan</w:t>
      </w:r>
    </w:p>
    <w:p>
      <w:pPr>
        <w:ind w:left="720"/>
      </w:pPr>
      <w:bookmarkStart w:id="31" w:name="pu_översiktsplan01"/>
      <w:r>
        <w:t xml:space="preserve">Området är inte specifikt utpekat i översiktsplanen antagen 2018-09-17.   Detaljplanen bedöms följa översiktsplanens övergripande mål och intentioner. </w:t>
      </w:r>
    </w:p>
    <w:p>
      <w:pPr>
        <w:pStyle w:val="P3"/>
        <w:spacing w:lineRule="auto" w:line="360" w:beforeAutospacing="0" w:afterAutospacing="0"/>
      </w:pPr>
      <w:bookmarkEnd w:id="31"/>
      <w:r>
        <w:t>Fördjupad översiktsplan för Söderbärke</w:t>
      </w:r>
    </w:p>
    <w:p>
      <w:pPr>
        <w:ind w:left="720"/>
      </w:pPr>
      <w:bookmarkStart w:id="32" w:name="pu_översiktsplan02"/>
      <w:r>
        <w:t xml:space="preserve">Området omfattas inte av den fördjupade översiktsplanen för Söderbärke tätort antagen 1999-04-22. Enligt förslaget till mark- och vattenanvändning konstateras det att områden längs med Bergmansvägen omfattas av integrerade bebyggelseområden. Exploateringen av Flickänget anses vara en naturlig förlängning av de integrerade bebyggelseområdena. </w:t>
      </w:r>
    </w:p>
    <w:p>
      <w:pPr>
        <w:pStyle w:val="P3"/>
      </w:pPr>
      <w:bookmarkEnd w:id="32"/>
      <w:r>
        <w:t>Detaljplan</w:t>
      </w:r>
    </w:p>
    <w:p>
      <w:pPr>
        <w:ind w:left="720"/>
      </w:pPr>
      <w:bookmarkStart w:id="33" w:name="pu_detaljplan01"/>
      <w:r>
        <w:t xml:space="preserve">Det finns inga befintliga och angränsande detaljplaner i området.  </w:t>
      </w:r>
    </w:p>
    <w:p>
      <w:pPr>
        <w:pStyle w:val="P3"/>
        <w:spacing w:lineRule="auto" w:line="360" w:beforeAutospacing="0" w:afterAutospacing="0"/>
      </w:pPr>
      <w:bookmarkEnd w:id="33"/>
      <w:r>
        <w:t>Barnchecklista</w:t>
      </w:r>
    </w:p>
    <w:p>
      <w:pPr>
        <w:ind w:left="720"/>
      </w:pPr>
      <w:bookmarkStart w:id="34" w:name="pu_barnkonsekvensanalys01"/>
      <w:r>
        <w:t xml:space="preserve">Smedjebackens kommun har en checklista som ett obligatoriskt underlag under planprocessen för bedömning av hur barn berörs av planförslaget. Resultaten av checklistan redovisas under avsnitt </w:t>
      </w:r>
      <w:r>
        <w:rPr>
          <w:i w:val="1"/>
          <w:iCs w:val="1"/>
        </w:rPr>
        <w:t>5.7.1</w:t>
      </w:r>
      <w:r>
        <w:t xml:space="preserve"> </w:t>
      </w:r>
      <w:r>
        <w:rPr>
          <w:i w:val="1"/>
          <w:iCs w:val="1"/>
        </w:rPr>
        <w:t>Barn, trygghet och jämlikhet</w:t>
      </w:r>
      <w:r>
        <w:t xml:space="preserve">.  </w:t>
      </w:r>
    </w:p>
    <w:p>
      <w:pPr>
        <w:pStyle w:val="P3"/>
        <w:spacing w:lineRule="auto" w:line="360" w:beforeAutospacing="0" w:afterAutospacing="0"/>
      </w:pPr>
      <w:bookmarkEnd w:id="34"/>
      <w:r>
        <w:t>Undersökning av betydande miljöpåverkan</w:t>
      </w:r>
    </w:p>
    <w:p>
      <w:pPr>
        <w:ind w:left="720"/>
      </w:pPr>
      <w:bookmarkStart w:id="35" w:name="pu_undersökningenl6kap6_mb01"/>
      <w:r>
        <w:t xml:space="preserve">En undersökning om betydande miljöpåverkan har tagits fram som gör bedömningen att genomförande av detaljplanen inte anses innebära någon betydande miljöpåverkan. </w:t>
      </w:r>
    </w:p>
    <w:p>
      <w:pPr>
        <w:ind w:left="720"/>
      </w:pPr>
      <w:r>
        <w:t>Olika avvägningar har gjorts mellan olika intressen och har resulterat i en samlad bedömning. Utifrån denna undersökning bedöms genomförandet av planen inte medföra betydande miljöpåverkan.</w:t>
      </w:r>
    </w:p>
    <w:p>
      <w:pPr>
        <w:ind w:left="720"/>
      </w:pPr>
      <w:r>
        <w:t xml:space="preserve">Ingen miljöbedömning behöver därför genomföras och därmed ingen MKB upprättas. För fördjupad information hänvisas till bilagan om </w:t>
      </w:r>
      <w:r>
        <w:rPr>
          <w:i w:val="1"/>
          <w:iCs w:val="1"/>
        </w:rPr>
        <w:t>Undersökning av betydande miljöpåverkan</w:t>
      </w:r>
      <w:r>
        <w:t xml:space="preserve">.  </w:t>
      </w:r>
    </w:p>
    <w:p>
      <w:pPr>
        <w:pStyle w:val="P2"/>
      </w:pPr>
      <w:bookmarkEnd w:id="35"/>
      <w:bookmarkStart w:id="36" w:name="_Toc184651405"/>
      <w:r>
        <w:t>Utredningar</w:t>
      </w:r>
      <w:bookmarkEnd w:id="36"/>
    </w:p>
    <w:p>
      <w:pPr>
        <w:ind w:left="576"/>
      </w:pPr>
      <w:r>
        <w:t xml:space="preserve">Nedanstående utredningar har legat till grund för detaljplanens omfattning och utformning. </w:t>
      </w:r>
    </w:p>
    <w:p>
      <w:pPr>
        <w:pStyle w:val="P3"/>
      </w:pPr>
      <w:r>
        <w:t>Trafikbullerutredning</w:t>
      </w:r>
    </w:p>
    <w:p>
      <w:pPr>
        <w:ind w:left="720"/>
      </w:pPr>
      <w:bookmarkStart w:id="37" w:name="pu_bullerutredning01"/>
      <w:r>
        <w:t>En trafikbullerutredning har utförts av Efterklang Part of Afry för detaljplanen Flickänget. Trafikverket planerar att bygga om väg 66 mellan Smedjebacken och Fagersta kommun, området påverkas av vägplanen där bland annat hastigheten på vägen kan komma att ökas. En trafikbullerutredning var nödvändig för att säkerställa att riktvärden för trafikbuller inte överskrids.</w:t>
      </w:r>
    </w:p>
    <w:p>
      <w:pPr>
        <w:pStyle w:val="P1"/>
      </w:pPr>
      <w:bookmarkEnd w:id="37"/>
      <w:bookmarkStart w:id="38" w:name="_Toc184651406"/>
      <w:r>
        <w:t>Motiv till detaljplanens regleringar</w:t>
      </w:r>
      <w:bookmarkEnd w:id="38"/>
      <w:r>
        <w:t xml:space="preserve"> </w:t>
      </w:r>
    </w:p>
    <w:p>
      <w:r>
        <w:t xml:space="preserve">I detta kapitel listas de planbestämmelser som ingår i plankartan. Syftet med respektive bestämmelse beskrivs för att öka förståelsen för vad och hur detaljplanen regleras. Samtliga planbestämmelser är formulerade enligt plan och bygglagen (2010:900). </w:t>
      </w:r>
    </w:p>
    <w:p>
      <w:r>
        <w:t>Detaljplanen upprättas enligt Boverkets föreskrifter (2020:5) om detaljplan samt Boverkets allmänna råd (2020:8) om redovisning av reglering i detaljplan.</w:t>
      </w:r>
    </w:p>
    <w:p/>
    <w:p/>
    <w:p>
      <w:pPr>
        <w:pStyle w:val="P2"/>
      </w:pPr>
      <w:bookmarkStart w:id="39" w:name="_Toc184651407"/>
      <w:r>
        <w:t>Användning av allmän plats</w:t>
      </w:r>
      <w:bookmarkEnd w:id="39"/>
    </w:p>
    <w:p>
      <w:pPr>
        <w:ind w:left="576"/>
        <w:rPr>
          <w:b w:val="1"/>
          <w:bCs w:val="1"/>
        </w:rPr>
      </w:pPr>
      <w:r>
        <w:rPr>
          <w:b w:val="1"/>
          <w:bCs w:val="1"/>
        </w:rPr>
        <w:t>GATA</w:t>
      </w:r>
    </w:p>
    <w:p>
      <w:pPr>
        <w:ind w:left="576"/>
      </w:pPr>
      <w:bookmarkStart w:id="40" w:name="mo_motivtillreglering01"/>
      <w:r>
        <w:t xml:space="preserve">Detaljplanen möjliggör för 8 meter brett område för gata, där slänter och diken inkluderas. Inom gatumarken ryms även anordningar för underjordiska ledningar. Syftet med bestämmelsen är att säkerställa möjligheten att angöra planområdet, vid infarten är gatan breddare till 9 meter för att en viss grönska och diken ska ingå i vägområdet mot fastighetsgränsen Västerby 1:13.  </w:t>
      </w:r>
    </w:p>
    <w:p>
      <w:pPr>
        <w:pStyle w:val="P2"/>
      </w:pPr>
      <w:bookmarkEnd w:id="40"/>
      <w:bookmarkStart w:id="41" w:name="_Toc184651408"/>
      <w:r>
        <w:t>Egenskapsbestämmelse för allmän plats</w:t>
      </w:r>
      <w:bookmarkEnd w:id="41"/>
    </w:p>
    <w:p>
      <w:pPr>
        <w:ind w:left="576"/>
        <w:rPr>
          <w:b w:val="1"/>
          <w:bCs w:val="1"/>
        </w:rPr>
      </w:pPr>
      <w:r>
        <w:rPr>
          <w:b w:val="1"/>
          <w:bCs w:val="1"/>
        </w:rPr>
        <w:t>a1 Huvudmannaskapet är enskilt för den allmänna platsen</w:t>
      </w:r>
    </w:p>
    <w:p>
      <w:pPr>
        <w:ind w:left="576"/>
      </w:pPr>
      <w:bookmarkStart w:id="42" w:name="mo_motivtillreglering02"/>
      <w:r>
        <w:t xml:space="preserve">Den allmänna platsen som består av GATA ska ha enskilt huvudmannaskap. Syftet med egenskapsbestämmelsen är att fastställa enskilt huvudmannaskap inom den allmänna platsmarken.  </w:t>
      </w:r>
    </w:p>
    <w:p>
      <w:pPr>
        <w:pStyle w:val="P2"/>
      </w:pPr>
      <w:bookmarkEnd w:id="42"/>
      <w:bookmarkStart w:id="43" w:name="_Toc184651409"/>
      <w:r>
        <w:t>Användning av kvartersmark</w:t>
      </w:r>
      <w:bookmarkEnd w:id="43"/>
      <w:r>
        <w:t xml:space="preserve"> </w:t>
      </w:r>
    </w:p>
    <w:p>
      <w:pPr>
        <w:ind w:left="576"/>
        <w:rPr>
          <w:b w:val="1"/>
          <w:bCs w:val="1"/>
        </w:rPr>
      </w:pPr>
      <w:r>
        <w:rPr>
          <w:b w:val="1"/>
          <w:bCs w:val="1"/>
        </w:rPr>
        <w:t xml:space="preserve">B - Bostäder </w:t>
      </w:r>
    </w:p>
    <w:p>
      <w:pPr>
        <w:ind w:left="576"/>
      </w:pPr>
      <w:bookmarkStart w:id="44" w:name="mo_motivtillreglering03"/>
      <w:r>
        <w:t>Detaljplanens syfte är att möjliggöra för uppförande av bostäder inom planområdet, kvartersmarken inom planområdet regleras som kvartersmark för bostäder för att uppfylla syftet.</w:t>
      </w:r>
      <w:bookmarkEnd w:id="44"/>
      <w:r>
        <w:t xml:space="preserve">  </w:t>
      </w:r>
    </w:p>
    <w:p>
      <w:pPr>
        <w:ind w:left="576"/>
        <w:rPr>
          <w:b w:val="1"/>
          <w:bCs w:val="1"/>
        </w:rPr>
      </w:pPr>
      <w:r>
        <w:rPr>
          <w:b w:val="1"/>
          <w:bCs w:val="1"/>
        </w:rPr>
        <w:t>E - Tekniska anläggningar</w:t>
      </w:r>
    </w:p>
    <w:p>
      <w:pPr>
        <w:ind w:left="576"/>
      </w:pPr>
      <w:bookmarkStart w:id="45" w:name="mo_motivtillreglering04"/>
      <w:r>
        <w:t xml:space="preserve">Syftet med användningsbestämmelsen är att avsätta mark för teknisk försörjning som exempelvis transformatorstation. </w:t>
      </w:r>
    </w:p>
    <w:p>
      <w:pPr>
        <w:pStyle w:val="P2"/>
      </w:pPr>
      <w:bookmarkEnd w:id="45"/>
      <w:bookmarkStart w:id="46" w:name="_Toc184651410"/>
      <w:r>
        <w:t>Egenskapsbestämmelser för kvartersmark</w:t>
      </w:r>
      <w:bookmarkEnd w:id="46"/>
      <w:r>
        <w:t xml:space="preserve">  </w:t>
      </w:r>
    </w:p>
    <w:p>
      <w:pPr>
        <w:ind w:left="576"/>
        <w:rPr>
          <w:b w:val="1"/>
          <w:bCs w:val="1"/>
        </w:rPr>
      </w:pPr>
      <w:r>
        <w:rPr>
          <w:b w:val="1"/>
          <w:bCs w:val="1"/>
        </w:rPr>
        <w:t xml:space="preserve">h1 9,0 högsta nockhöjd på huvudbyggnad är angivet värde i meter </w:t>
      </w:r>
    </w:p>
    <w:p>
      <w:pPr>
        <w:ind w:left="576"/>
      </w:pPr>
      <w:r>
        <w:t xml:space="preserve">Högsta nockhöjd på huvudbyggnader är 9 meter för huvudbyggnader. Syftet med egenskapsbestämmelsen är att möjliggöra för bebyggelse i två våningar. </w:t>
      </w:r>
    </w:p>
    <w:p>
      <w:pPr>
        <w:ind w:left="576"/>
        <w:rPr>
          <w:b w:val="1"/>
          <w:bCs w:val="1"/>
        </w:rPr>
      </w:pPr>
      <w:r>
        <w:rPr>
          <w:b w:val="1"/>
          <w:bCs w:val="1"/>
        </w:rPr>
        <w:t xml:space="preserve">h2 4,5 högsta nockhöjd på komplementbyggnad är angivet värde i meter </w:t>
      </w:r>
    </w:p>
    <w:p>
      <w:pPr>
        <w:ind w:left="576"/>
      </w:pPr>
      <w:bookmarkStart w:id="47" w:name="mo_motivtillreglering06"/>
      <w:r>
        <w:t xml:space="preserve">Högsta nockhöjd på komplementbyggnad är 4,5 meter. Syftet med egenskapsbestämmelsen är att begränsa höjden för komplementbyggnader. </w:t>
      </w:r>
    </w:p>
    <w:p>
      <w:pPr>
        <w:ind w:left="576"/>
        <w:rPr>
          <w:b w:val="1"/>
          <w:bCs w:val="1"/>
        </w:rPr>
      </w:pPr>
      <w:bookmarkEnd w:id="47"/>
      <w:r>
        <w:rPr>
          <w:b w:val="1"/>
          <w:bCs w:val="1"/>
        </w:rPr>
        <w:t xml:space="preserve">o1 Minsta takvinkel för huvudbyggnader är 25,0 grader </w:t>
      </w:r>
    </w:p>
    <w:p>
      <w:pPr>
        <w:ind w:left="576"/>
      </w:pPr>
      <w:bookmarkStart w:id="48" w:name="mo_motivtillreglering07"/>
      <w:r>
        <w:t xml:space="preserve">Egenskapsbestämmelsen om minsta takvinkel för huvudbyggnader syftar till att förhindra att det byggs platta tak. </w:t>
      </w:r>
    </w:p>
    <w:p>
      <w:pPr>
        <w:ind w:left="576"/>
      </w:pPr>
      <w:bookmarkEnd w:id="48"/>
    </w:p>
    <w:p>
      <w:pPr>
        <w:ind w:left="576"/>
      </w:pPr>
    </w:p>
    <w:p>
      <w:pPr>
        <w:ind w:left="576"/>
      </w:pPr>
    </w:p>
    <w:p>
      <w:pPr>
        <w:ind w:left="576"/>
        <w:rPr>
          <w:b w:val="1"/>
          <w:bCs w:val="1"/>
        </w:rPr>
      </w:pPr>
      <w:r>
        <w:rPr>
          <w:b w:val="1"/>
          <w:bCs w:val="1"/>
        </w:rPr>
        <w:t xml:space="preserve">o2 Minsta takvinkel för komplementbyggnader är 20,0 grader </w:t>
      </w:r>
    </w:p>
    <w:p>
      <w:pPr>
        <w:ind w:left="576"/>
      </w:pPr>
      <w:bookmarkStart w:id="49" w:name="mo_motivtillreglering08"/>
      <w:r>
        <w:t xml:space="preserve">Egenskapsbestämmelsen om minsta takvinkel för komplementbyggnad syftar till att säkerställa att komplementbyggnader inte bebyggs med platta tak och för att passa in ur gestaltningsperspektiv till huvudbyggnader och omgivningen. </w:t>
      </w:r>
    </w:p>
    <w:p>
      <w:pPr>
        <w:ind w:left="576"/>
        <w:rPr>
          <w:b w:val="1"/>
          <w:bCs w:val="1"/>
        </w:rPr>
      </w:pPr>
      <w:bookmarkEnd w:id="49"/>
      <w:r>
        <w:rPr>
          <w:b w:val="1"/>
          <w:bCs w:val="1"/>
        </w:rPr>
        <w:t>e1 Största byggnadsarea är 25 % av fastighetsarean inom användningsområdet för sammanbyggda en- och tvåbostadshus</w:t>
      </w:r>
    </w:p>
    <w:p>
      <w:pPr>
        <w:ind w:left="576"/>
      </w:pPr>
      <w:bookmarkStart w:id="50" w:name="mo_motivtillreglering09"/>
      <w:r>
        <w:t xml:space="preserve">Syftet med egenskapsbestämmelsen är att reglera största byggnadsarea för sammanbyggda en- och tvåbostadshus. </w:t>
      </w:r>
    </w:p>
    <w:p>
      <w:pPr>
        <w:ind w:left="576"/>
        <w:rPr>
          <w:b w:val="1"/>
          <w:bCs w:val="1"/>
        </w:rPr>
      </w:pPr>
      <w:bookmarkEnd w:id="50"/>
      <w:r>
        <w:rPr>
          <w:b w:val="1"/>
          <w:bCs w:val="1"/>
        </w:rPr>
        <w:t xml:space="preserve">e2 Största byggnadsarea är 260m² för friliggande en - och tvåbostadshus </w:t>
      </w:r>
    </w:p>
    <w:p>
      <w:pPr>
        <w:ind w:left="576"/>
      </w:pPr>
      <w:bookmarkStart w:id="51" w:name="mo_motivtillreglering10"/>
      <w:r>
        <w:t xml:space="preserve">Syftet med egenskapsbestämmelsen är att reglera största byggnadsarea för friliggande en- och tvåbostadshus. Egenskapsbestämmelsen möjliggör för en lämplig byggrätt vid friliggande en- och tvåbostadshus bebyggelse samtidigt som den begränsar att exploateringsgraden i området. </w:t>
      </w:r>
    </w:p>
    <w:p>
      <w:pPr>
        <w:ind w:left="576"/>
        <w:rPr>
          <w:b w:val="1"/>
          <w:bCs w:val="1"/>
        </w:rPr>
      </w:pPr>
      <w:bookmarkEnd w:id="51"/>
      <w:r>
        <w:rPr>
          <w:b w:val="1"/>
          <w:bCs w:val="1"/>
        </w:rPr>
        <w:t xml:space="preserve">f1 En – och tvåbostadshus </w:t>
      </w:r>
    </w:p>
    <w:p>
      <w:pPr>
        <w:ind w:left="576"/>
      </w:pPr>
      <w:bookmarkStart w:id="52" w:name="mo_motivtillreglering11"/>
      <w:r>
        <w:t xml:space="preserve">Syftet med egenskapsbestämmelsen är att styra utformningen av bebyggelse, där endast en – och tvåbostadshus får uppföras.  </w:t>
      </w:r>
    </w:p>
    <w:p>
      <w:pPr>
        <w:ind w:left="576"/>
        <w:rPr>
          <w:b w:val="1"/>
          <w:bCs w:val="1"/>
        </w:rPr>
      </w:pPr>
      <w:bookmarkEnd w:id="52"/>
      <w:r>
        <w:rPr>
          <w:b w:val="1"/>
          <w:bCs w:val="1"/>
        </w:rPr>
        <w:t>p1 Huvudbyggnad ska placeras minst 4,5 meter från fastighetsgräns, alternativt sammanbyggas i fastighetsgräns. Komplementbyggnad ska placeras minst 2 meter från fastighetsgräns, alternativt sammanbyggas i fastighetsgräns. Garage, carport eller garagedel av huvudbyggnad ska placeras så att garageport/öppning ligger minst 6 meter från gata</w:t>
      </w:r>
    </w:p>
    <w:p>
      <w:pPr>
        <w:ind w:left="576"/>
      </w:pPr>
      <w:bookmarkStart w:id="53" w:name="mo_motivtillreglering12"/>
      <w:r>
        <w:t xml:space="preserve">Syftet med egenskapsbestämmelsen är att reglera placeringen av huvudbyggnad, komplementbyggnad samt tillräckligt med avstånd från garageport/öppning från gatan. </w:t>
      </w:r>
    </w:p>
    <w:p>
      <w:pPr>
        <w:ind w:left="576"/>
        <w:rPr>
          <w:b w:val="1"/>
          <w:bCs w:val="1"/>
        </w:rPr>
      </w:pPr>
      <w:bookmarkEnd w:id="53"/>
      <w:r>
        <w:rPr>
          <w:b w:val="1"/>
          <w:bCs w:val="1"/>
        </w:rPr>
        <w:t>d1 800,0 Minsta fastighetsstorlek är angivet värde i m ²</w:t>
      </w:r>
    </w:p>
    <w:p>
      <w:pPr>
        <w:ind w:left="576"/>
      </w:pPr>
      <w:bookmarkStart w:id="54" w:name="mo_motivtillreglering13"/>
      <w:r>
        <w:t xml:space="preserve">Syftet med egenskapsbestämmelsen är att förhindra att området styckas av till mindre fastigheter än 800 m².  </w:t>
      </w:r>
    </w:p>
    <w:p>
      <w:pPr>
        <w:ind w:left="576"/>
      </w:pPr>
      <w:bookmarkEnd w:id="54"/>
    </w:p>
    <w:p>
      <w:pPr>
        <w:ind w:left="576"/>
      </w:pPr>
    </w:p>
    <w:p>
      <w:pPr>
        <w:ind w:left="576"/>
      </w:pPr>
    </w:p>
    <w:p>
      <w:pPr>
        <w:ind w:left="576"/>
      </w:pPr>
    </w:p>
    <w:p>
      <w:pPr>
        <w:ind w:left="576"/>
      </w:pPr>
    </w:p>
    <w:p>
      <w:pPr>
        <w:ind w:left="576"/>
      </w:pPr>
    </w:p>
    <w:p/>
    <w:p>
      <w:pPr>
        <w:pStyle w:val="P1"/>
      </w:pPr>
      <w:bookmarkStart w:id="55" w:name="_Toc184651411"/>
      <w:r>
        <w:t>Ställningstaganden</w:t>
      </w:r>
      <w:bookmarkEnd w:id="55"/>
    </w:p>
    <w:p>
      <w:r>
        <w:t xml:space="preserve">Detta avsnitt innehåller en redovisning av tidigare nationella, regionala och lokala ställningstaganden. </w:t>
      </w:r>
    </w:p>
    <w:p>
      <w:pPr>
        <w:pStyle w:val="P2"/>
      </w:pPr>
      <w:bookmarkStart w:id="56" w:name="_Toc184651412"/>
      <w:r>
        <w:t>Kommunala</w:t>
      </w:r>
      <w:bookmarkEnd w:id="56"/>
      <w:r>
        <w:t xml:space="preserve"> </w:t>
      </w:r>
    </w:p>
    <w:p>
      <w:pPr>
        <w:pStyle w:val="P3"/>
        <w:spacing w:lineRule="auto" w:line="360" w:beforeAutospacing="0" w:afterAutospacing="0"/>
      </w:pPr>
      <w:r>
        <w:t>Planbesked</w:t>
      </w:r>
    </w:p>
    <w:p>
      <w:pPr>
        <w:ind w:left="720"/>
      </w:pPr>
      <w:bookmarkStart w:id="57" w:name="pf_planbesked01"/>
      <w:r>
        <w:t xml:space="preserve">Miljö – och byggnadsnämnden beslutade den 2024-02-14 att ge ett positivt planbesked samt ge i uppdrag till Miljö-och byggkontoret att upprätta detaljplaneförslag för Flickänget. </w:t>
      </w:r>
    </w:p>
    <w:p>
      <w:pPr>
        <w:pStyle w:val="P3"/>
        <w:spacing w:lineRule="auto" w:line="360" w:beforeAutospacing="0" w:afterAutospacing="0"/>
      </w:pPr>
      <w:bookmarkEnd w:id="57"/>
      <w:r>
        <w:t xml:space="preserve">Översiktsplan </w:t>
      </w:r>
    </w:p>
    <w:p>
      <w:pPr>
        <w:ind w:left="720"/>
      </w:pPr>
      <w:bookmarkStart w:id="58" w:name="pf_översiktsplan01"/>
      <w:r>
        <w:t xml:space="preserve">Området är inte specifikt utpekat i översiktsplanen antagen 2018-09-17. Detaljplanen bedöms följa översiktsplanens övergripande mål och intentioner. Detta innebär att trots avsaknaden av en specifik markering i översiktsplanen har detaljplanen utformats med hänsyn till och i enlighet med de riktlinjer och mål som fastställts i den kommuntäckande översiktsplanen. </w:t>
      </w:r>
    </w:p>
    <w:p>
      <w:pPr>
        <w:pStyle w:val="P3"/>
        <w:spacing w:lineRule="auto" w:line="360" w:beforeAutospacing="0" w:afterAutospacing="0"/>
      </w:pPr>
      <w:bookmarkEnd w:id="58"/>
      <w:r>
        <w:t>FÖP Söderbärke</w:t>
      </w:r>
    </w:p>
    <w:p>
      <w:pPr>
        <w:ind w:left="720"/>
      </w:pPr>
      <w:bookmarkStart w:id="59" w:name="pf_fördjupadöversiktsplanförsöderbärke01"/>
      <w:r>
        <w:t xml:space="preserve">Syftet med den fördjupade översiktsplanen för Söderbärke är att ge de fysiska förutsättningarna för en positiv utveckling av kommunens näst största tätort. </w:t>
      </w:r>
    </w:p>
    <w:p>
      <w:pPr>
        <w:ind w:left="720"/>
      </w:pPr>
      <w:r>
        <w:rPr>
          <w:noProof w:val="1"/>
        </w:rPr>
        <w:drawing>
          <wp:anchor xmlns:wp="http://schemas.openxmlformats.org/drawingml/2006/wordprocessingDrawing" distT="0" distB="0" distL="114300" distR="114300" simplePos="0" relativeHeight="4" behindDoc="0" locked="0" layoutInCell="1" allowOverlap="1">
            <wp:simplePos x="0" y="0"/>
            <wp:positionH relativeFrom="margin">
              <wp:posOffset>3847465</wp:posOffset>
            </wp:positionH>
            <wp:positionV relativeFrom="paragraph">
              <wp:posOffset>845185</wp:posOffset>
            </wp:positionV>
            <wp:extent cx="1910715" cy="3387725"/>
            <wp:effectExtent l="0" t="0" r="0" b="3175"/>
            <wp:wrapThrough wrapText="bothSides">
              <wp:wrapPolygon edited="0">
                <wp:start x="0" y="0"/>
                <wp:lineTo x="0" y="21499"/>
                <wp:lineTo x="21320" y="21499"/>
                <wp:lineTo x="21320" y="0"/>
                <wp:lineTo x="0" y="0"/>
              </wp:wrapPolygon>
            </wp:wrapThrough>
            <wp:docPr id="6" name="Bildobjekt 6" descr="En bild som visar text, skärmbild,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text, skärmbild, design&#10;&#10;Automatiskt genererad beskrivning"/>
                    <pic:cNvPicPr/>
                  </pic:nvPicPr>
                  <pic:blipFill dpi="0">
                    <a:blip xmlns:r="http://schemas.openxmlformats.org/officeDocument/2006/relationships" r:embed="Relimage4"/>
                    <a:srcRect t="2918" b="7669"/>
                    <a:stretch>
                      <a:fillRect/>
                    </a:stretch>
                  </pic:blipFill>
                  <pic:spPr bwMode="auto">
                    <a:xfrm>
                      <a:off x="0" y="0"/>
                      <a:ext cx="1910715" cy="3387725"/>
                    </a:xfrm>
                    <a:prstGeom prst="rect"/>
                    <a:ln>
                      <a:noFill/>
                    </a:ln>
                  </pic:spPr>
                </pic:pic>
              </a:graphicData>
            </a:graphic>
          </wp:anchor>
        </w:drawing>
      </w:r>
      <w:r>
        <w:t>Området omfattas inte av den fördjupade översiktsplanen för Söderbärke tätort antagen 1999-04-22. Enligt förslaget till mark- och vattenanvändning konstateras det att områden längs med Bergmansvägen omfattas av integrerade bebyggelseområden. Exploateringen av Flickänget anses vara en naturlig förlängning av de integrerade bebyggelseområdena. Genom att koncentrera bebyggelse längs med Bergmansvägen kan brukningsvärd jordbruksmark bevaras.</w:t>
      </w:r>
    </w:p>
    <w:p>
      <w:bookmarkEnd w:id="59"/>
      <w:r>
        <w:rPr>
          <w:noProof w:val="1"/>
        </w:rPr>
        <w:drawing>
          <wp:anchor xmlns:wp="http://schemas.openxmlformats.org/drawingml/2006/wordprocessingDrawing" distT="0" distB="0" distL="114300" distR="114300" simplePos="0" relativeHeight="3" behindDoc="0" locked="0" layoutInCell="1" allowOverlap="1">
            <wp:simplePos x="0" y="0"/>
            <wp:positionH relativeFrom="column">
              <wp:posOffset>450850</wp:posOffset>
            </wp:positionH>
            <wp:positionV relativeFrom="paragraph">
              <wp:posOffset>125730</wp:posOffset>
            </wp:positionV>
            <wp:extent cx="2920365" cy="2606040"/>
            <wp:effectExtent l="0" t="0" r="0" b="3810"/>
            <wp:wrapThrough wrapText="bothSides">
              <wp:wrapPolygon edited="0">
                <wp:start x="0" y="0"/>
                <wp:lineTo x="0" y="21474"/>
                <wp:lineTo x="21417" y="21474"/>
                <wp:lineTo x="21417"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dpi="0">
                    <a:blip xmlns:r="http://schemas.openxmlformats.org/officeDocument/2006/relationships" r:embed="Relimage5" cstate="print"/>
                    <a:srcRect/>
                    <a:stretch>
                      <a:fillRect/>
                    </a:stretch>
                  </pic:blipFill>
                  <pic:spPr>
                    <a:xfrm>
                      <a:off x="0" y="0"/>
                      <a:ext cx="2920365" cy="2606040"/>
                    </a:xfrm>
                    <a:prstGeom prst="rect"/>
                  </pic:spPr>
                </pic:pic>
              </a:graphicData>
            </a:graphic>
          </wp:anchor>
        </w:drawing>
      </w:r>
    </w:p>
    <w:p>
      <w:pPr>
        <w:pStyle w:val="P2"/>
      </w:pPr>
      <w:bookmarkStart w:id="60" w:name="_Toc184651413"/>
      <w:r>
        <w:t>Regionala</w:t>
      </w:r>
      <w:bookmarkEnd w:id="60"/>
      <w:r>
        <w:t xml:space="preserve"> </w:t>
      </w:r>
    </w:p>
    <w:p>
      <w:pPr>
        <w:pStyle w:val="P3"/>
      </w:pPr>
      <w:r>
        <w:t xml:space="preserve">Dalastrategi 2030 </w:t>
      </w:r>
    </w:p>
    <w:p>
      <w:pPr>
        <w:ind w:left="720"/>
      </w:pPr>
      <w:bookmarkStart w:id="61" w:name="pf_regionplan01"/>
      <w:r>
        <w:t xml:space="preserve">Den regionala utvecklingsstrategin Dalastrategin 2030 anger att satsningar inom ett klimatsmart, ett konkurrenskraftigt och ett sammanhållet Dalarna, som ska bidra till det övergripande målet om ett hållbart Dalarna. Detaljplanen är förenligt med den regionala utvecklingsstrategin. </w:t>
      </w:r>
    </w:p>
    <w:p>
      <w:pPr>
        <w:pStyle w:val="P2"/>
      </w:pPr>
      <w:bookmarkEnd w:id="61"/>
      <w:bookmarkStart w:id="62" w:name="_Toc184651414"/>
      <w:r>
        <w:t>Riksintressen</w:t>
      </w:r>
      <w:bookmarkEnd w:id="62"/>
      <w:r>
        <w:t xml:space="preserve"> </w:t>
      </w:r>
    </w:p>
    <w:p>
      <w:pPr>
        <w:pStyle w:val="P3"/>
        <w:spacing w:lineRule="auto" w:line="360" w:beforeAutospacing="0" w:afterAutospacing="0"/>
      </w:pPr>
      <w:r>
        <w:t>Naturvård</w:t>
      </w:r>
    </w:p>
    <w:p>
      <w:pPr>
        <w:ind w:left="720"/>
      </w:pPr>
      <w:bookmarkStart w:id="63" w:name="pf_naturvård01"/>
      <w:r>
        <w:t>Området omfattas inte av riksintressen för naturvård.</w:t>
      </w:r>
    </w:p>
    <w:p>
      <w:pPr>
        <w:pStyle w:val="P3"/>
        <w:spacing w:lineRule="auto" w:line="360" w:beforeAutospacing="0" w:afterAutospacing="0"/>
      </w:pPr>
      <w:bookmarkEnd w:id="63"/>
      <w:r>
        <w:t>Friluftsliv</w:t>
      </w:r>
    </w:p>
    <w:p>
      <w:pPr>
        <w:ind w:left="720"/>
      </w:pPr>
      <w:bookmarkStart w:id="64" w:name="pf_friluftsliv01"/>
      <w:r>
        <w:t>Området omfattas inte av riksintresse för friluftsliv.</w:t>
      </w:r>
    </w:p>
    <w:p>
      <w:pPr>
        <w:pStyle w:val="P3"/>
        <w:spacing w:lineRule="auto" w:line="360" w:beforeAutospacing="0" w:afterAutospacing="0"/>
      </w:pPr>
      <w:bookmarkEnd w:id="64"/>
      <w:r>
        <w:t>Kulturmiljövård</w:t>
      </w:r>
    </w:p>
    <w:p>
      <w:pPr>
        <w:ind w:left="720"/>
      </w:pPr>
      <w:bookmarkStart w:id="65" w:name="pf_kulturmiljövård01"/>
      <w:r>
        <w:t>Området omfattas inte av riksintresse för kulturmiljövård.</w:t>
      </w:r>
    </w:p>
    <w:p>
      <w:pPr>
        <w:pStyle w:val="P3"/>
        <w:spacing w:lineRule="auto" w:line="360" w:beforeAutospacing="0" w:afterAutospacing="0"/>
      </w:pPr>
      <w:bookmarkEnd w:id="65"/>
      <w:r>
        <w:t>Rörligt friluftsliv</w:t>
      </w:r>
    </w:p>
    <w:p>
      <w:pPr>
        <w:ind w:left="720"/>
      </w:pPr>
      <w:bookmarkStart w:id="66" w:name="pf_rörligtfriluftsliv01"/>
      <w:r>
        <w:t xml:space="preserve">Planområdet omfattas inte av rörligt friluftsliv, cirka 50 meter väst om planområdet löper gränsen för rörligt friluftsliv för Malingsbo – Kloten. Bedömningen är att genomförandet av detaljplanen inte har någon påverkan på riksintresset. </w:t>
      </w:r>
    </w:p>
    <w:p>
      <w:pPr>
        <w:pStyle w:val="P3"/>
        <w:spacing w:lineRule="auto" w:line="360" w:beforeAutospacing="0" w:afterAutospacing="0"/>
      </w:pPr>
      <w:bookmarkEnd w:id="66"/>
      <w:r>
        <w:t xml:space="preserve">Natura 2000 </w:t>
      </w:r>
    </w:p>
    <w:p>
      <w:pPr>
        <w:ind w:left="720"/>
      </w:pPr>
      <w:bookmarkStart w:id="67" w:name="pf_natura200001"/>
      <w:r>
        <w:t xml:space="preserve">Området omfattas inte av riksintresse för Natura 2000 – områden. </w:t>
      </w:r>
    </w:p>
    <w:p>
      <w:pPr>
        <w:pStyle w:val="P3"/>
      </w:pPr>
      <w:bookmarkEnd w:id="67"/>
      <w:r>
        <w:t>Riksintresse för Trafikkommunikation</w:t>
      </w:r>
    </w:p>
    <w:p>
      <w:pPr>
        <w:ind w:left="720"/>
      </w:pPr>
      <w:bookmarkStart w:id="68" w:name="pf_trafikkommunikation01"/>
      <w:r>
        <w:t xml:space="preserve">Väster om planområdet finns väg 66 som är av riksintresse samt även järnväg (Bergslagspendeln) som också är av särskild regionala betydelse. Bedömningen är att genomförandet av detaljplanen inte har någon negativ påverkan på riksintresset. </w:t>
      </w:r>
    </w:p>
    <w:p>
      <w:pPr>
        <w:pStyle w:val="P2"/>
      </w:pPr>
      <w:bookmarkEnd w:id="68"/>
      <w:bookmarkStart w:id="69" w:name="_Toc184651415"/>
      <w:r>
        <w:t>Hushållningsbestämmelser enligt 3 kap. Miljöbalken</w:t>
      </w:r>
      <w:bookmarkEnd w:id="69"/>
      <w:r>
        <w:t xml:space="preserve"> </w:t>
      </w:r>
    </w:p>
    <w:p>
      <w:pPr>
        <w:pStyle w:val="P3"/>
      </w:pPr>
      <w:r>
        <w:t>Grundläggande bestämmelser för hushållning med mark och vattenområden</w:t>
      </w:r>
    </w:p>
    <w:p>
      <w:pPr>
        <w:ind w:left="720"/>
      </w:pPr>
      <w:bookmarkStart w:id="70" w:name="pf_hushållningsbestämmelserenl3kap_mb01"/>
      <w:r>
        <w:t>I miljöbalkens tredje kapitel föreskrivs bland annat att områden som är av riksintresse för naturvården, kulturmiljövården eller friluftsliv så långt som möjligt ska skyddas från åtgärder som kan skada natur eller kulturmiljön. Vid framtagande av denna detaljplaneförslaget har prövningar gjorts enligt 2 kap. Plan- och bygglagen samt enligt 3 och 4 kap. Miljöbalken. Detaljplanen har även granskats mot kommunens översiktsplan i enlighet med 5 § förordningen om hushållning med mark- och vattenområden. Bedömningen är att föreslagna användningar anses vara ur allmän synpunkt mest lämpliga utifrån områdets förutsättningar och efterfrågan.</w:t>
      </w:r>
    </w:p>
    <w:p>
      <w:pPr>
        <w:pStyle w:val="P31"/>
        <w:numPr>
          <w:ilvl w:val="0"/>
          <w:numId w:val="26"/>
        </w:numPr>
      </w:pPr>
      <w:r>
        <w:t>Bostadsbebyggelse utgör ett allmänt intresse. Efterfrågan på bostäder har ökat i Söderbärke.</w:t>
      </w:r>
    </w:p>
    <w:p>
      <w:pPr>
        <w:pStyle w:val="P31"/>
        <w:numPr>
          <w:ilvl w:val="0"/>
          <w:numId w:val="26"/>
        </w:numPr>
      </w:pPr>
      <w:r>
        <w:t xml:space="preserve">Bostadsbebyggelse i området möjliggör fortsatt utveckling av kommunens näst största tätort som förstärker det kommersiella och offentliga service. </w:t>
      </w:r>
    </w:p>
    <w:p>
      <w:pPr>
        <w:pStyle w:val="P31"/>
        <w:numPr>
          <w:ilvl w:val="0"/>
          <w:numId w:val="26"/>
        </w:numPr>
      </w:pPr>
      <w:r>
        <w:t xml:space="preserve">Inga riksintressen påverkas negativt av planförslaget. </w:t>
      </w:r>
      <w:bookmarkEnd w:id="70"/>
    </w:p>
    <w:p>
      <w:pPr>
        <w:pStyle w:val="P3"/>
      </w:pPr>
      <w:r>
        <w:t>Jordbruksmark</w:t>
      </w:r>
    </w:p>
    <w:p>
      <w:pPr>
        <w:ind w:left="720"/>
      </w:pPr>
      <w:bookmarkStart w:id="71" w:name="pf_jordbruksmark01"/>
      <w:r>
        <w:t xml:space="preserve">Enligt 3 kap 4§ miljöbalken får brukningsvärd jordbruksmark tas i anspråk för bebyggelse eller anläggningar endast om det behövs för att tillgodose väsentliga samhällsintressen och detta behov inte kan tillgodoses på ett från allmän synpunkt tillfredställande sätt genom att annan mark tas i anspråk. </w:t>
      </w:r>
    </w:p>
    <w:p>
      <w:pPr>
        <w:ind w:left="720"/>
      </w:pPr>
      <w:r>
        <w:t xml:space="preserve">I översiktsplanen anges att ny bebyggelse i första hand bör tillkomma i befintliga byar och stråk genom komplettering och förtätning. För att landsbygden ska utvecklas är småtätorterna en viktig förutsättning. </w:t>
      </w:r>
    </w:p>
    <w:p>
      <w:pPr>
        <w:ind w:left="720"/>
      </w:pPr>
      <w:r>
        <w:t xml:space="preserve">Området som planeras att tas i anspråk för bostäder klassas som skogsmark. Öster om planområdet finns det ett sammanhängande jordbrukslandskap som klassas som åkermark. </w:t>
      </w:r>
      <w:r>
        <w:rPr>
          <w:szCs w:val="24"/>
        </w:rPr>
        <w:t xml:space="preserve">Kommun ser tydlig utveckling av bostadsområden längs med Bergsmansvägen, exploateringen tillgodoser det stora efterfrågan på attraktiva boende i Söderbärke. Enligt översiktsplanen är andelen jordbruksmark i Smedjebacken förhållandevis låg, därmed ska de byar som finns ges möjlighet att utvecklas. Genom att planera för bostadsbebyggelse längs stråken Bergsmansvägen kan områden som är brukningsvärd jordbruksmark lämnas orörd. </w:t>
      </w:r>
      <w:r>
        <w:t xml:space="preserve"> </w:t>
      </w:r>
    </w:p>
    <w:p>
      <w:pPr>
        <w:ind w:left="720"/>
      </w:pPr>
      <w:r>
        <w:rPr>
          <w:noProof w:val="1"/>
        </w:rPr>
        <w:drawing>
          <wp:anchor xmlns:wp="http://schemas.openxmlformats.org/drawingml/2006/wordprocessingDrawing" distT="0" distB="0" distL="114300" distR="114300" simplePos="0" relativeHeight="6" behindDoc="0" locked="0" layoutInCell="1" allowOverlap="1">
            <wp:simplePos x="0" y="0"/>
            <wp:positionH relativeFrom="margin">
              <wp:posOffset>442595</wp:posOffset>
            </wp:positionH>
            <wp:positionV relativeFrom="paragraph">
              <wp:posOffset>855345</wp:posOffset>
            </wp:positionV>
            <wp:extent cx="4468495" cy="3350895"/>
            <wp:effectExtent l="0" t="0" r="8255" b="1905"/>
            <wp:wrapThrough wrapText="bothSides">
              <wp:wrapPolygon edited="0">
                <wp:start x="0" y="0"/>
                <wp:lineTo x="0" y="21489"/>
                <wp:lineTo x="21548" y="21489"/>
                <wp:lineTo x="21548" y="0"/>
                <wp:lineTo x="0" y="0"/>
              </wp:wrapPolygon>
            </wp:wrapThrough>
            <wp:docPr id="9" name="Bildobjekt 9" descr="En bild som visar utomhus, himmel, moln,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utomhus, himmel, moln, träd&#10;&#10;Automatiskt genererad beskrivning"/>
                    <pic:cNvPicPr/>
                  </pic:nvPicPr>
                  <pic:blipFill dpi="0">
                    <a:blip xmlns:r="http://schemas.openxmlformats.org/officeDocument/2006/relationships" r:embed="Relimage6" cstate="print"/>
                    <a:srcRect/>
                    <a:stretch>
                      <a:fillRect/>
                    </a:stretch>
                  </pic:blipFill>
                  <pic:spPr>
                    <a:xfrm>
                      <a:off x="0" y="0"/>
                      <a:ext cx="4468495" cy="3350895"/>
                    </a:xfrm>
                    <a:prstGeom prst="rect"/>
                  </pic:spPr>
                </pic:pic>
              </a:graphicData>
            </a:graphic>
          </wp:anchor>
        </w:drawing>
      </w:r>
      <w:r>
        <w:t>Sammanfattningsvis, området som tas i anspråk för bostadsbebyggelse är inte brukningsvärd jordbruksmark. Den förändrade markanvändningen är ett väsentligt samhällsintresse och behovet inte kan tillgodoses från en allmän synpunkt tillfredsställande sätt genom att annan mark tas i anspråk.</w:t>
      </w:r>
      <w:bookmarkEnd w:id="71"/>
    </w:p>
    <w:p>
      <w:pPr>
        <w:ind w:left="720"/>
      </w:pPr>
    </w:p>
    <w:p>
      <w:pPr>
        <w:ind w:left="720"/>
      </w:pPr>
    </w:p>
    <w:p>
      <w:pPr>
        <w:pStyle w:val="P1"/>
      </w:pPr>
      <w:bookmarkStart w:id="72" w:name="_Toc184651416"/>
      <w:r>
        <w:t>Förutsättningar, förändringar och konsekvenser</w:t>
      </w:r>
      <w:bookmarkEnd w:id="72"/>
      <w:r>
        <w:t xml:space="preserve"> </w:t>
      </w:r>
    </w:p>
    <w:p>
      <w:r>
        <w:t xml:space="preserve">Detta avsnitt innehåller redovisning av de förutsättningar på platsen och i omgivningen som har haft betydelse för planens utformning och omfattning. Samt även redovisning av förändringar och konsekvenser som ett genomförande av detaljplanen kan innebära.  </w:t>
      </w:r>
    </w:p>
    <w:p>
      <w:pPr>
        <w:pStyle w:val="P2"/>
        <w:spacing w:lineRule="auto" w:line="360" w:beforeAutospacing="0" w:afterAutospacing="0"/>
      </w:pPr>
      <w:bookmarkStart w:id="73" w:name="_Toc184651417"/>
      <w:r>
        <w:t>Natur</w:t>
      </w:r>
      <w:bookmarkEnd w:id="73"/>
    </w:p>
    <w:p>
      <w:pPr>
        <w:pStyle w:val="P3"/>
        <w:spacing w:lineRule="auto" w:line="360" w:beforeAutospacing="0" w:afterAutospacing="0"/>
      </w:pPr>
      <w:r>
        <w:t>Grönområde</w:t>
      </w:r>
    </w:p>
    <w:p>
      <w:pPr>
        <w:ind w:left="720"/>
      </w:pPr>
      <w:bookmarkStart w:id="74" w:name="ko_grönområde01"/>
      <w:r>
        <w:t xml:space="preserve">Detaljplanen säkerställer ingen vegetation, genomförandet av detaljplanen kan innebära att vegetation tas ned. Planområdet klassas som skogsmark, det finns flera mindre träd och buskage. Något djurliv av bevarandevärde är inte känd inom planområdet, området består av främst av gles trädvegetation. </w:t>
      </w:r>
      <w:bookmarkEnd w:id="74"/>
    </w:p>
    <w:p>
      <w:pPr>
        <w:ind w:left="720"/>
      </w:pPr>
      <w:r>
        <w:rPr>
          <w:noProof w:val="1"/>
        </w:rPr>
        <w:drawing>
          <wp:inline xmlns:wp="http://schemas.openxmlformats.org/drawingml/2006/wordprocessingDrawing" distT="0" distB="0" distL="0" distR="0">
            <wp:extent cx="5278755" cy="3959225"/>
            <wp:effectExtent l="0" t="0" r="0" b="3175"/>
            <wp:docPr id="7" name="Bildobjekt 7" desc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10;&#10;Automatiskt genererad beskrivning"/>
                    <pic:cNvPicPr/>
                  </pic:nvPicPr>
                  <pic:blipFill dpi="0">
                    <a:blip xmlns:r="http://schemas.openxmlformats.org/officeDocument/2006/relationships" r:embed="Relimage7" cstate="print"/>
                    <a:srcRect/>
                    <a:stretch>
                      <a:fillRect/>
                    </a:stretch>
                  </pic:blipFill>
                  <pic:spPr>
                    <a:xfrm>
                      <a:off x="0" y="0"/>
                      <a:ext cx="5321059" cy="3990795"/>
                    </a:xfrm>
                    <a:prstGeom prst="rect"/>
                  </pic:spPr>
                </pic:pic>
              </a:graphicData>
            </a:graphic>
          </wp:inline>
        </w:drawing>
      </w:r>
    </w:p>
    <w:p>
      <w:pPr>
        <w:pStyle w:val="P3"/>
        <w:spacing w:lineRule="auto" w:line="360" w:beforeAutospacing="0" w:afterAutospacing="0"/>
      </w:pPr>
      <w:r>
        <w:t>Landskapsbild</w:t>
      </w:r>
    </w:p>
    <w:p>
      <w:pPr>
        <w:ind w:left="720"/>
      </w:pPr>
      <w:bookmarkStart w:id="75" w:name="ko_landskapsbild01"/>
      <w:r>
        <w:t xml:space="preserve">Inom planområdet har inga utmärkande byggnader, parker, trädgårdar eller andra objekt av högt kulturhistoriskt värde identifierats. Genomförandet av detaljplanen kommer att medföra förändringar i landskapsbilden, där den nya bostadsbebyggelsen förväntas synas i det öppna odlingslandskapet. Bedömningen är att genomförandet av planförslaget inte påverkar landskapsbilden negativt. </w:t>
      </w:r>
    </w:p>
    <w:p>
      <w:pPr>
        <w:pStyle w:val="P2"/>
      </w:pPr>
      <w:bookmarkEnd w:id="75"/>
      <w:bookmarkStart w:id="76" w:name="_Toc184651418"/>
      <w:r>
        <w:t>Geotekniska förhållanden</w:t>
      </w:r>
      <w:bookmarkEnd w:id="76"/>
      <w:r>
        <w:t xml:space="preserve"> </w:t>
      </w:r>
    </w:p>
    <w:p>
      <w:pPr>
        <w:ind w:left="576"/>
      </w:pPr>
      <w:bookmarkStart w:id="77" w:name="pf_geotekniskaförhållanden01"/>
      <w:r>
        <w:t xml:space="preserve">Marken inom området består enligt SGU:s (Sveriges Geologiska Undersökning) översiktliga kartor dels av morän, dels av lera-slit. Översiktlig geoteknisk undersökning är beställd och planhandlingar kommer att kompletteras med geoteknisk undersökning efter samrådet.    </w:t>
      </w:r>
    </w:p>
    <w:p>
      <w:pPr>
        <w:ind w:left="576"/>
      </w:pPr>
      <w:r>
        <w:rPr>
          <w:noProof w:val="1"/>
        </w:rPr>
        <w:drawing>
          <wp:anchor xmlns:wp="http://schemas.openxmlformats.org/drawingml/2006/wordprocessingDrawing" distT="0" distB="0" distL="114300" distR="114300" simplePos="0" relativeHeight="5" behindDoc="0" locked="0" layoutInCell="1" allowOverlap="1">
            <wp:simplePos x="0" y="0"/>
            <wp:positionH relativeFrom="column">
              <wp:posOffset>340360</wp:posOffset>
            </wp:positionH>
            <wp:positionV relativeFrom="paragraph">
              <wp:posOffset>1226820</wp:posOffset>
            </wp:positionV>
            <wp:extent cx="3117215" cy="2774950"/>
            <wp:effectExtent l="0" t="0" r="6985" b="6350"/>
            <wp:wrapThrough wrapText="bothSides">
              <wp:wrapPolygon edited="0">
                <wp:start x="0" y="0"/>
                <wp:lineTo x="0" y="21501"/>
                <wp:lineTo x="21516" y="21501"/>
                <wp:lineTo x="21516" y="0"/>
                <wp:lineTo x="0" y="0"/>
              </wp:wrapPolygon>
            </wp:wrapThrough>
            <wp:docPr id="4" name="Bildobjekt 4" descr="En bild som visar karta, text, kartbok,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karta, text, kartbok, diagram&#10;&#10;Automatiskt genererad beskrivning"/>
                    <pic:cNvPicPr/>
                  </pic:nvPicPr>
                  <pic:blipFill dpi="0">
                    <a:blip xmlns:r="http://schemas.openxmlformats.org/officeDocument/2006/relationships" r:embed="Relimage8"/>
                    <a:srcRect/>
                    <a:stretch>
                      <a:fillRect/>
                    </a:stretch>
                  </pic:blipFill>
                  <pic:spPr>
                    <a:xfrm>
                      <a:off x="0" y="0"/>
                      <a:ext cx="3117215" cy="2774950"/>
                    </a:xfrm>
                    <a:prstGeom prst="rect"/>
                  </pic:spPr>
                </pic:pic>
              </a:graphicData>
            </a:graphic>
          </wp:anchor>
        </w:drawing>
      </w:r>
      <w:r>
        <w:t>Enligt SGU:s (Sveriges Geologiska Undersökning) översiktliga kartor består marken inom det angivna området huvudsakligen av morän och lera-silt. En översiktlig geoteknisk undersökning har initierats för att erhålla en detaljerad förståelse för den geotekniska förhållanden i området. Planhandlingarna kommer att kompletteras med de resultat som framkommer från den översiktliga geotekniska undersökningen efter samrådet.</w:t>
      </w:r>
      <w:bookmarkEnd w:id="77"/>
      <w:r>
        <w:t xml:space="preserve"> </w:t>
      </w:r>
    </w:p>
    <w:p>
      <w:pPr>
        <w:ind w:left="576"/>
      </w:pPr>
    </w:p>
    <w:p>
      <w:pPr>
        <w:ind w:left="576"/>
      </w:pPr>
    </w:p>
    <w:p>
      <w:pPr>
        <w:ind w:left="576"/>
      </w:pPr>
    </w:p>
    <w:p>
      <w:pPr>
        <w:ind w:left="576"/>
      </w:pPr>
    </w:p>
    <w:p>
      <w:pPr>
        <w:ind w:left="576"/>
      </w:pPr>
    </w:p>
    <w:p>
      <w:pPr>
        <w:ind w:left="576"/>
      </w:pPr>
    </w:p>
    <w:p>
      <w:pPr>
        <w:ind w:left="576"/>
      </w:pPr>
    </w:p>
    <w:p>
      <w:pPr>
        <w:ind w:left="576"/>
      </w:pPr>
    </w:p>
    <w:p>
      <w:pPr>
        <w:ind w:left="576"/>
      </w:pPr>
    </w:p>
    <w:p>
      <w:pPr>
        <w:ind w:left="576"/>
      </w:pPr>
      <w:r>
        <w:rPr>
          <w:noProof w:val="1"/>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column">
                  <wp:posOffset>243840</wp:posOffset>
                </wp:positionH>
                <wp:positionV relativeFrom="paragraph">
                  <wp:posOffset>13970</wp:posOffset>
                </wp:positionV>
                <wp:extent cx="3188335" cy="301625"/>
                <wp:effectExtent l="0" t="0" r="12065" b="22225"/>
                <wp:wrapNone/>
                <wp:docPr id="15" name="Textruta 15"/>
                <wp:cNvGraphicFramePr/>
                <a:graphic xmlns:a="http://schemas.openxmlformats.org/drawingml/2006/main">
                  <a:graphicData uri="http://schemas.microsoft.com/office/word/2010/wordprocessingShape">
                    <wps:wsp>
                      <wps:cNvSpPr txBox="1"/>
                      <wps:spPr>
                        <a:xfrm>
                          <a:off x="0" y="0"/>
                          <a:ext cx="3188473" cy="302149"/>
                        </a:xfrm>
                        <a:prstGeom prst="rect"/>
                        <a:solidFill>
                          <a:schemeClr val="lt1"/>
                        </a:solidFill>
                        <a:ln w="6350">
                          <a:solidFill>
                            <a:schemeClr val="bg1"/>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sz w:val="20"/>
                                <w:szCs w:val="20"/>
                              </w:rPr>
                            </w:pPr>
                            <w:r>
                              <w:rPr>
                                <w:i w:val="1"/>
                                <w:iCs w:val="1"/>
                                <w:sz w:val="20"/>
                                <w:szCs w:val="20"/>
                              </w:rPr>
                              <w:t>Planområde markerat med röd färg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5" o:spid="_x0000_s1026" style="position:absolute;width:251.05pt;height:23.75pt;z-index:15;mso-wrap-distance-left:9pt;mso-wrap-distance-top:0pt;mso-wrap-distance-right:9pt;mso-wrap-distance-bottom:0pt;margin-left:19.2pt;margin-top:1.1pt;mso-position-horizontal:absolute;mso-position-horizontal-relative:text;mso-position-vertical:absolute;mso-position-vertical-relative:text" o:allowincell="t" fillcolor="#FFFFFF" strokecolor="#FFFFFF" strokeweight="0.5pt" stroked="t">
                <v:textbox inset="3mm,1mm,3mm,1mm">
                  <w:txbxContent>
                    <w:p>
                      <w:pPr>
                        <w:rPr>
                          <w:i w:val="1"/>
                          <w:iCs w:val="1"/>
                          <w:sz w:val="20"/>
                          <w:szCs w:val="20"/>
                        </w:rPr>
                      </w:pPr>
                      <w:r>
                        <w:rPr>
                          <w:i w:val="1"/>
                          <w:iCs w:val="1"/>
                          <w:sz w:val="20"/>
                          <w:szCs w:val="20"/>
                        </w:rPr>
                        <w:t>Planområde markerat med röd färg</w:t>
                      </w:r>
                    </w:p>
                  </w:txbxContent>
                </v:textbox>
              </v:shape>
            </w:pict>
          </mc:Fallback>
        </mc:AlternateContent>
      </w:r>
    </w:p>
    <w:p>
      <w:pPr>
        <w:pStyle w:val="P2"/>
        <w:spacing w:lineRule="auto" w:line="360" w:beforeAutospacing="0" w:afterAutospacing="0"/>
      </w:pPr>
      <w:bookmarkStart w:id="78" w:name="_Toc184651419"/>
      <w:r>
        <w:t>bebyggelse</w:t>
      </w:r>
      <w:bookmarkEnd w:id="78"/>
    </w:p>
    <w:p>
      <w:pPr>
        <w:ind w:left="576"/>
        <w:rPr>
          <w:b w:val="1"/>
          <w:bCs w:val="1"/>
        </w:rPr>
      </w:pPr>
      <w:r>
        <w:rPr>
          <w:b w:val="1"/>
          <w:bCs w:val="1"/>
        </w:rPr>
        <w:t>Förutsättningar</w:t>
      </w:r>
    </w:p>
    <w:p>
      <w:pPr>
        <w:ind w:left="576"/>
      </w:pPr>
      <w:bookmarkStart w:id="79" w:name="pf_fysiskmiljö01"/>
      <w:r>
        <w:t xml:space="preserve">Inom planområdet finns ingen bebyggelse sedan tidigare, i angränsande områden finns ett fåtal fastigheter. I övrigt är området obebyggt. </w:t>
      </w:r>
      <w:bookmarkEnd w:id="79"/>
    </w:p>
    <w:p>
      <w:pPr>
        <w:ind w:left="576"/>
        <w:rPr>
          <w:b w:val="1"/>
          <w:bCs w:val="1"/>
        </w:rPr>
      </w:pPr>
      <w:r>
        <w:rPr>
          <w:b w:val="1"/>
          <w:bCs w:val="1"/>
        </w:rPr>
        <w:t>Planförslag</w:t>
      </w:r>
    </w:p>
    <w:p>
      <w:pPr>
        <w:ind w:left="576"/>
      </w:pPr>
      <w:bookmarkStart w:id="80" w:name="pf_fysiskmiljö02"/>
      <w:r>
        <w:t>Detaljplanen möjliggör för uppförande av en variation av bostadstyper, en- och tvåbostadshus i en eller två våningar. Genom att utforma plankartan på ett flexibelt sätt kan olika typer av bostäder möjliggöras, inklusive friliggande eller sammanbyggda en- och tvåbostadshus.</w:t>
      </w:r>
    </w:p>
    <w:p>
      <w:pPr>
        <w:ind w:left="576"/>
      </w:pPr>
      <w:r>
        <w:t xml:space="preserve">Huvudtanken bakom planen är att området ska erbjuda både villabebyggelse och parhus. Det finns dock möjlighet att anpassa bostadsbebyggelsen efter marknadensbehov, vilket innebär att om det finns större intresse för andra typer av bostäder än enbart villor kan även par-, rad-, eller kedjehus byggas. </w:t>
      </w:r>
    </w:p>
    <w:p>
      <w:pPr>
        <w:ind w:left="576"/>
      </w:pPr>
      <w:r>
        <w:t xml:space="preserve">Detaljplanen beräknas resultera i minst 21 nya bostäder varav 14 bostäder i parhus och 7 villor. Om det däremot byggs parhus över hela området kan upp till cirka 28 nya bostäder uppföras. Genom denna fördelning skapas möjligheter för en varierad och anpassningsbar bostadsutveckling som kan tillgodose olika behov och önskemål under en längre tid. </w:t>
      </w:r>
      <w:bookmarkEnd w:id="80"/>
    </w:p>
    <w:p>
      <w:pPr>
        <w:ind w:left="576"/>
      </w:pPr>
      <w:r>
        <w:rPr>
          <w:noProof w:val="1"/>
        </w:rPr>
        <w:drawing>
          <wp:inline xmlns:wp="http://schemas.openxmlformats.org/drawingml/2006/wordprocessingDrawing" distT="0" distB="0" distL="0" distR="0">
            <wp:extent cx="3653790" cy="3442335"/>
            <wp:effectExtent l="0" t="0" r="3810" b="5715"/>
            <wp:docPr id="8" name="Bildobjekt 8" descr="En bild som visar karta, text, flygbaserad&#10;&#10;Automatiskt genererad beskrivning med medelhög exak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 text, flygbaserad&#10;&#10;Automatiskt genererad beskrivning med medelhög exakthet"/>
                    <pic:cNvPicPr/>
                  </pic:nvPicPr>
                  <pic:blipFill dpi="0">
                    <a:blip xmlns:r="http://schemas.openxmlformats.org/officeDocument/2006/relationships" r:embed="Relimage1"/>
                    <a:srcRect l="11318"/>
                    <a:stretch>
                      <a:fillRect/>
                    </a:stretch>
                  </pic:blipFill>
                  <pic:spPr bwMode="auto">
                    <a:xfrm>
                      <a:off x="0" y="0"/>
                      <a:ext cx="3663221" cy="3451394"/>
                    </a:xfrm>
                    <a:prstGeom prst="rect"/>
                    <a:ln>
                      <a:noFill/>
                    </a:ln>
                  </pic:spPr>
                </pic:pic>
              </a:graphicData>
            </a:graphic>
          </wp:inline>
        </w:drawing>
      </w:r>
    </w:p>
    <w:p>
      <w:pPr>
        <w:ind w:left="576"/>
        <w:rPr>
          <w:b w:val="1"/>
          <w:bCs w:val="1"/>
        </w:rPr>
      </w:pPr>
      <w:r>
        <w:rPr>
          <w:b w:val="1"/>
          <w:bCs w:val="1"/>
        </w:rPr>
        <w:t>Konsekvenser</w:t>
      </w:r>
    </w:p>
    <w:p>
      <w:pPr>
        <w:ind w:left="576"/>
      </w:pPr>
      <w:bookmarkStart w:id="81" w:name="pf_fysiskmiljö03"/>
      <w:r>
        <w:t xml:space="preserve">Genomförandet av detaljplanen innebär att antalet bostäder kommer att öka i området. Detaljplanen är utformad med hänsyn till den befintliga miljön och bebyggelsen som möjliggörs förväntas smälta in utan att störa eller förändra områdets karaktär på ett negativt sätt. Den visuella påverkan på omgivningen förväntas inte bli påtaglig till följd av genomförandet av detaljplanen. </w:t>
      </w:r>
    </w:p>
    <w:p>
      <w:pPr>
        <w:pStyle w:val="P2"/>
        <w:spacing w:lineRule="auto" w:line="360" w:beforeAutospacing="0" w:afterAutospacing="0"/>
      </w:pPr>
      <w:bookmarkEnd w:id="81"/>
      <w:bookmarkStart w:id="82" w:name="_Toc184651420"/>
      <w:r>
        <w:t>vattenområden</w:t>
      </w:r>
      <w:bookmarkEnd w:id="82"/>
    </w:p>
    <w:p>
      <w:pPr>
        <w:ind w:left="576"/>
      </w:pPr>
      <w:bookmarkStart w:id="83" w:name="be_vattenområde02"/>
      <w:r>
        <w:t>Planområdet omfattas inte av vattenområden.</w:t>
      </w:r>
    </w:p>
    <w:p>
      <w:pPr>
        <w:pStyle w:val="P2"/>
        <w:spacing w:lineRule="auto" w:line="360" w:beforeAutospacing="0" w:afterAutospacing="0"/>
      </w:pPr>
      <w:bookmarkEnd w:id="83"/>
      <w:bookmarkStart w:id="84" w:name="_Toc184651421"/>
      <w:r>
        <w:t>Fornlämningar och värdefull kulturhistorisk miljö</w:t>
      </w:r>
      <w:bookmarkEnd w:id="84"/>
    </w:p>
    <w:p>
      <w:pPr>
        <w:pStyle w:val="P3"/>
      </w:pPr>
      <w:r>
        <w:t>Fornlämningar</w:t>
      </w:r>
    </w:p>
    <w:p>
      <w:pPr>
        <w:ind w:left="720"/>
      </w:pPr>
      <w:bookmarkStart w:id="85" w:name="pf_fornlämningar01"/>
      <w:r>
        <w:t>Planområdet berörs inte av några kända fornlämningar eller värdefull kulturhistorisk miljö.</w:t>
      </w:r>
    </w:p>
    <w:p>
      <w:pPr>
        <w:pStyle w:val="P3"/>
      </w:pPr>
      <w:bookmarkEnd w:id="85"/>
      <w:r>
        <w:t>Byggnadsminnen</w:t>
      </w:r>
    </w:p>
    <w:p>
      <w:pPr>
        <w:ind w:left="720"/>
      </w:pPr>
      <w:bookmarkStart w:id="86" w:name="pf_byggnadsminnen01"/>
      <w:r>
        <w:t xml:space="preserve">Inom planområdet finns inga kända byggnadsminnen. </w:t>
      </w:r>
    </w:p>
    <w:p>
      <w:pPr>
        <w:pStyle w:val="P2"/>
        <w:spacing w:lineRule="auto" w:line="360" w:beforeAutospacing="0" w:afterAutospacing="0"/>
      </w:pPr>
      <w:bookmarkEnd w:id="86"/>
      <w:bookmarkStart w:id="87" w:name="_Toc184651422"/>
      <w:r>
        <w:t>Gator och trafik</w:t>
      </w:r>
      <w:bookmarkEnd w:id="87"/>
    </w:p>
    <w:p>
      <w:pPr>
        <w:pStyle w:val="P3"/>
      </w:pPr>
      <w:r>
        <w:t xml:space="preserve">Gata/lokalgata </w:t>
      </w:r>
    </w:p>
    <w:p>
      <w:pPr>
        <w:ind w:left="720"/>
      </w:pPr>
      <w:bookmarkStart w:id="88" w:name="pf_lokalgata01"/>
      <w:r>
        <w:t xml:space="preserve">Utbyggnad av GATA (lokalgatan) är nödvändig för angörandet av ny bebyggelse inom planområdet. Lokalgatan med en vändplats längst in i området byggs ut för att skapa tillgänglighet till alla delar av området. Parkering ska hanteras inom den egna fastigheten. Posthantering ska lösas intill lokalgatan i dialog med postoperatör som är verksamma i det aktuella området.  </w:t>
      </w:r>
    </w:p>
    <w:p>
      <w:pPr>
        <w:pStyle w:val="P3"/>
      </w:pPr>
      <w:bookmarkEnd w:id="88"/>
      <w:r>
        <w:t>Trafik</w:t>
      </w:r>
    </w:p>
    <w:p>
      <w:pPr>
        <w:ind w:left="720"/>
      </w:pPr>
      <w:r>
        <w:rPr>
          <w:noProof w:val="1"/>
        </w:rPr>
        <w:drawing>
          <wp:anchor xmlns:wp="http://schemas.openxmlformats.org/drawingml/2006/wordprocessingDrawing" distT="0" distB="0" distL="114300" distR="114300" simplePos="0" relativeHeight="7" behindDoc="0" locked="0" layoutInCell="1" allowOverlap="1">
            <wp:simplePos x="0" y="0"/>
            <wp:positionH relativeFrom="margin">
              <wp:posOffset>480695</wp:posOffset>
            </wp:positionH>
            <wp:positionV relativeFrom="paragraph">
              <wp:posOffset>1192530</wp:posOffset>
            </wp:positionV>
            <wp:extent cx="2811780" cy="2857500"/>
            <wp:effectExtent l="0" t="3810" r="3810" b="3810"/>
            <wp:wrapThrough wrapText="bothSides">
              <wp:wrapPolygon edited="0">
                <wp:start x="-29" y="21571"/>
                <wp:lineTo x="21483" y="21571"/>
                <wp:lineTo x="21483" y="115"/>
                <wp:lineTo x="-29" y="115"/>
                <wp:lineTo x="-29" y="21571"/>
              </wp:wrapPolygon>
            </wp:wrapThrough>
            <wp:docPr id="11" name="Bildobjekt 11" descr="En bild som visar utomhus, moln, himmel,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utomhus, moln, himmel, träd&#10;&#10;Automatiskt genererad beskrivning"/>
                    <pic:cNvPicPr/>
                  </pic:nvPicPr>
                  <pic:blipFill dpi="0">
                    <a:blip xmlns:r="http://schemas.openxmlformats.org/officeDocument/2006/relationships" r:embed="Relimage9" cstate="print"/>
                    <a:srcRect/>
                    <a:stretch>
                      <a:fillRect/>
                    </a:stretch>
                  </pic:blipFill>
                  <pic:spPr>
                    <a:xfrm rot="5400000">
                      <a:off x="0" y="0"/>
                      <a:ext cx="2811780" cy="2857500"/>
                    </a:xfrm>
                    <a:prstGeom prst="rect"/>
                  </pic:spPr>
                </pic:pic>
              </a:graphicData>
            </a:graphic>
          </wp:anchor>
        </w:drawing>
      </w:r>
      <w:bookmarkStart w:id="89" w:name="ko_motortrafik01"/>
      <w:r>
        <w:t xml:space="preserve">I dagsläget finns Bergmansvägen väster om planområdet med en bredd på 5 meter. Bergmansvägen erbjuden vägförbindelse till centrala Söderbärke samt infarter till riksväg 66 i närområdet. Detaljplanen innebär att det kommer att finnas en gemensam in – och utfart mot Bergmansvägen, vilket kan innebära ökad trafikmängd längs gatan. Sammantaget innebär planförslaget en mindre trafikökning till och från planområdet.  </w:t>
      </w:r>
      <w:bookmarkEnd w:id="89"/>
    </w:p>
    <w:p>
      <w:pPr>
        <w:ind w:left="720"/>
      </w:pPr>
    </w:p>
    <w:p>
      <w:pPr>
        <w:ind w:left="720"/>
      </w:pPr>
    </w:p>
    <w:p>
      <w:pPr>
        <w:ind w:left="720"/>
      </w:pPr>
    </w:p>
    <w:p>
      <w:pPr>
        <w:ind w:left="720"/>
      </w:pPr>
    </w:p>
    <w:p>
      <w:pPr>
        <w:ind w:left="720"/>
      </w:pPr>
    </w:p>
    <w:p>
      <w:pPr>
        <w:ind w:left="720"/>
      </w:pPr>
    </w:p>
    <w:p/>
    <w:p/>
    <w:p/>
    <w:p/>
    <w:p>
      <w:pPr>
        <w:pStyle w:val="P3"/>
      </w:pPr>
      <w:r>
        <w:t xml:space="preserve">Gång – och cykeltrafik </w:t>
      </w:r>
    </w:p>
    <w:p>
      <w:pPr>
        <w:ind w:left="720"/>
      </w:pPr>
      <w:bookmarkStart w:id="90" w:name="pf_gångochcykeltrafik01"/>
      <w:r>
        <w:t xml:space="preserve">Ungefär 400 meter öster om planområdet vid Haga området är det planerat att skapa framtida cykelvägar. När dessa cykelvägar byggs ut kommer gång- och cykeltrafik att kunna transportera sig på ett säkrare sätt till centrala delar av Söderbärke samt till olika knutpunkter som områden för service, friluftsaktiviteter med mera. Denna utbyggnad förväntas förbättra tillgängligheten och främja hållbart resande i området. </w:t>
      </w:r>
    </w:p>
    <w:p>
      <w:pPr>
        <w:pStyle w:val="P3"/>
      </w:pPr>
      <w:bookmarkEnd w:id="90"/>
      <w:r>
        <w:t>Kollektivtrafik</w:t>
      </w:r>
    </w:p>
    <w:p>
      <w:pPr>
        <w:ind w:left="720"/>
      </w:pPr>
      <w:bookmarkStart w:id="91" w:name="pf_kollektivtrafik01"/>
      <w:r>
        <w:t xml:space="preserve">Planförslaget innebär inga förändringar för kollektivtrafiken, närmaste busshållplats finns cirka 600 meter från planområdet. Söderbärke station finns cirka 2,5 km från planområdet. </w:t>
      </w:r>
    </w:p>
    <w:p>
      <w:pPr>
        <w:pStyle w:val="P3"/>
      </w:pPr>
      <w:bookmarkEnd w:id="91"/>
      <w:r>
        <w:t xml:space="preserve">Tillgänglighet </w:t>
      </w:r>
    </w:p>
    <w:p>
      <w:pPr>
        <w:ind w:left="720"/>
      </w:pPr>
      <w:bookmarkStart w:id="92" w:name="pf_tillgänglighet01"/>
      <w:r>
        <w:t xml:space="preserve">Detaljplanen möjliggör en väg bredd på 9 meter för att säkerställa tillgängligheten. Vändplanen behöver vara tillräcklig stor och ha tillräcklig stor radie för räddningstjänstens fordon och andra större fordon som sopbil ska kunna vända. </w:t>
      </w:r>
    </w:p>
    <w:p>
      <w:pPr>
        <w:ind w:left="720"/>
      </w:pPr>
      <w:bookmarkEnd w:id="92"/>
    </w:p>
    <w:p>
      <w:pPr>
        <w:pStyle w:val="P2"/>
      </w:pPr>
      <w:bookmarkStart w:id="93" w:name="_Toc184651423"/>
      <w:r>
        <w:t>Sociala</w:t>
      </w:r>
      <w:bookmarkEnd w:id="93"/>
      <w:r>
        <w:t xml:space="preserve"> </w:t>
      </w:r>
    </w:p>
    <w:p>
      <w:pPr>
        <w:pStyle w:val="P3"/>
        <w:spacing w:lineRule="auto" w:line="360" w:beforeAutospacing="0" w:afterAutospacing="0"/>
      </w:pPr>
      <w:r>
        <w:t>Barn, trygghet och jämlikhet</w:t>
      </w:r>
    </w:p>
    <w:p>
      <w:pPr>
        <w:ind w:left="720"/>
      </w:pPr>
      <w:bookmarkStart w:id="94" w:name="ko_sociala01"/>
      <w:r>
        <w:t xml:space="preserve">Kommunen har upprättat barnchecklista för att säkerställa att barnens perspektiv uppmärksammas i samband med detaljplaneprocessen. Checklistan används fortlöpande och är en bilaga till planhandlingarna. </w:t>
      </w:r>
    </w:p>
    <w:p>
      <w:pPr>
        <w:ind w:left="720"/>
      </w:pPr>
      <w:r>
        <w:t xml:space="preserve">Kartläggning gällande tillgänglighet till skola, omsorg, rekreation samt kommunikationer har genomförts. I närheten utav planområdet finns det tätortsnära natur, stränder och vattenområden. Cirka 1 km från planområdet finns det även elljusspår, vilket innebär att det finns goda förutsättningar för rekreation och fritidsaktiviteter. Inom 1–2 km finns serviceutbud som förskola, skola, handel och idrottsplatser. </w:t>
      </w:r>
    </w:p>
    <w:p>
      <w:pPr>
        <w:ind w:left="720"/>
      </w:pPr>
      <w:r>
        <w:t xml:space="preserve">Det finns ingen indikation på att planförslaget skulle ha en negativ påverkan på barnen, varken nu eller i framtiden. Däremot är Bergmansvägen för närvarande smal och saknar tydliga gång- och cykelvägar. Med tanke på exploateringen längs med Bergmansvägen skulle en breddning av den kunna öka säkerheten för oskyddade trafikanter. Det kan vara lämpligt att överväga åtgärder för att förbättra säkerheten för oskyddade trafikanter i framtiden. </w:t>
      </w:r>
    </w:p>
    <w:p>
      <w:pPr>
        <w:ind w:left="720"/>
      </w:pPr>
      <w:bookmarkEnd w:id="94"/>
    </w:p>
    <w:p>
      <w:pPr>
        <w:pStyle w:val="P2"/>
      </w:pPr>
      <w:bookmarkStart w:id="95" w:name="_Toc184651424"/>
      <w:r>
        <w:t>Teknisk försörjning</w:t>
      </w:r>
      <w:bookmarkEnd w:id="95"/>
    </w:p>
    <w:p>
      <w:pPr>
        <w:pStyle w:val="P3"/>
        <w:spacing w:lineRule="auto" w:line="360" w:beforeAutospacing="0" w:afterAutospacing="0"/>
      </w:pPr>
      <w:r>
        <w:t xml:space="preserve">Vatten och avlopp </w:t>
      </w:r>
    </w:p>
    <w:p>
      <w:pPr>
        <w:ind w:left="720"/>
      </w:pPr>
      <w:bookmarkStart w:id="96" w:name="pf_vattenochavlopp01"/>
      <w:r>
        <w:t xml:space="preserve">Planområdet ligger utanför VA – verksamhetsområde. Ungefär 700 meter norr om planområdet finns det kommunala ledningar för vatten och spillvatten. Anslutningen till den allmänna VA-anläggningen kan ske vid en anvisad anslutningspunkt. Exploatören avser att ingå ett avtal med WBAB för anslutning till det kommunala VA-nätet. </w:t>
      </w:r>
    </w:p>
    <w:p>
      <w:pPr>
        <w:ind w:left="720"/>
      </w:pPr>
      <w:r>
        <w:t>I Vattentjänstplanen antagen 2024-04-22 redovisas kapacitet i befintliga vattenverk och avloppsreningsverk samt beräknad ökad belastning efter genomförd utbyggnad. Smedjebackens kommun har en gällande utbyggnadsplan för allmänt VA.</w:t>
      </w:r>
    </w:p>
    <w:p>
      <w:pPr>
        <w:ind w:left="720"/>
      </w:pPr>
      <w:r>
        <w:t xml:space="preserve">Smedjebackens kommun har en gällande utbyggnadsplan för allmänt VA. Områden med ett större antal bostäder och tillräcklig bostadstäthet utanför nuvarande VA-verksamhetsområden har valts ut eftersom de kan innebära risk för miljö- och hälsoproblem. Den ökade belastningen efter att planerade områden ansluts bedöms falla inom befintlig kapacitet eller tänkt kapacitet efter ombyggnad. </w:t>
      </w:r>
    </w:p>
    <w:tbl>
      <w:tblPr>
        <w:tblStyle w:val="T3"/>
        <w:tblW w:w="0" w:type="auto"/>
        <w:tblInd w:w="720" w:type="dxa"/>
        <w:tblLook w:val="04A0"/>
      </w:tblPr>
      <w:tblGrid/>
      <w:tr>
        <w:tc>
          <w:tcPr>
            <w:tcW w:w="2265" w:type="dxa"/>
          </w:tcPr>
          <w:p>
            <w:r>
              <w:t>Reningsverk</w:t>
            </w:r>
          </w:p>
        </w:tc>
        <w:tc>
          <w:tcPr>
            <w:tcW w:w="2265" w:type="dxa"/>
          </w:tcPr>
          <w:p>
            <w:r>
              <w:t>Tillståndsgiven belastning</w:t>
            </w:r>
          </w:p>
        </w:tc>
        <w:tc>
          <w:tcPr>
            <w:tcW w:w="2266" w:type="dxa"/>
          </w:tcPr>
          <w:p>
            <w:r>
              <w:t>Max GVB</w:t>
            </w:r>
          </w:p>
        </w:tc>
        <w:tc>
          <w:tcPr>
            <w:tcW w:w="2266" w:type="dxa"/>
          </w:tcPr>
          <w:p>
            <w:r>
              <w:t>Planerad utbyggnad</w:t>
            </w:r>
          </w:p>
        </w:tc>
      </w:tr>
      <w:tr>
        <w:tc>
          <w:tcPr>
            <w:tcW w:w="2265" w:type="dxa"/>
          </w:tcPr>
          <w:p>
            <w:r>
              <w:t>Söderbärke</w:t>
            </w:r>
          </w:p>
        </w:tc>
        <w:tc>
          <w:tcPr>
            <w:tcW w:w="2265" w:type="dxa"/>
          </w:tcPr>
          <w:p>
            <w:r>
              <w:t>1 500 pe</w:t>
            </w:r>
          </w:p>
        </w:tc>
        <w:tc>
          <w:tcPr>
            <w:tcW w:w="2266" w:type="dxa"/>
          </w:tcPr>
          <w:p>
            <w:r>
              <w:t>594 pe</w:t>
            </w:r>
          </w:p>
        </w:tc>
        <w:tc>
          <w:tcPr>
            <w:tcW w:w="2266" w:type="dxa"/>
          </w:tcPr>
          <w:p>
            <w:r>
              <w:t>830 pe</w:t>
            </w:r>
          </w:p>
        </w:tc>
      </w:tr>
    </w:tbl>
    <w:p>
      <w:pPr>
        <w:ind w:left="720"/>
      </w:pPr>
    </w:p>
    <w:p>
      <w:pPr>
        <w:ind w:left="720"/>
      </w:pPr>
      <w:r>
        <w:t xml:space="preserve">Söderbärke reningsverkets tillståndsgivna belastning är 1500, maximal genomsnittlig veckobelastning 594 (pe) samt planerad utbyggnad på 830 (pe). Bedömningen är att anslutning av samtliga nya fastigheter inom planområdet till det kommunala VA-nätet tillgodoses inom den befintliga kapaciteten.  </w:t>
      </w:r>
      <w:bookmarkEnd w:id="96"/>
    </w:p>
    <w:p>
      <w:pPr>
        <w:pStyle w:val="P3"/>
        <w:spacing w:lineRule="auto" w:line="360" w:beforeAutospacing="0" w:afterAutospacing="0"/>
      </w:pPr>
      <w:r>
        <w:t xml:space="preserve">Dagvatten </w:t>
      </w:r>
    </w:p>
    <w:p>
      <w:pPr>
        <w:ind w:left="720"/>
      </w:pPr>
      <w:bookmarkStart w:id="97" w:name="ko_dagvatten01"/>
      <w:r>
        <w:t xml:space="preserve">Inom planområdet finns inget ledningsnät för dagvatten och det saknas verksamhetsområde för dagvatten. Dagvatten ska omhändertas enligt LOD (lokalt omhändertagande av dagvatten), avledning bör ske via översilningsytor och i öppna lösningar så att vattnet kan infiltreras och renas innan det når recipient. </w:t>
      </w:r>
    </w:p>
    <w:p>
      <w:pPr>
        <w:ind w:left="720"/>
      </w:pPr>
      <w:r>
        <w:t xml:space="preserve">Dagvattnet från planområdet kan avvattnas till ytvattenförekomsten Hyttån innan vattnet rinner vidare till Södra Barken. Båda vattenförekomsterna har måttlig ekologisk status och uppnår ej god kemisk ytvattenstatus. Exploateringen ska inte försvåra för recipienten att uppnå miljökvalitetsnormerna, målet är att dagvattenlösningar ska bidra till att minska föroreningsmängderna. </w:t>
      </w:r>
    </w:p>
    <w:p>
      <w:pPr>
        <w:ind w:left="720"/>
      </w:pPr>
      <w:r>
        <w:t xml:space="preserve">För att upprätthålla en långsiktigt hållbar dagvattenhantering är det viktigt att bevara de naturliga förhållandena på platsen så mycket som möjligt. Anläggande av byggnader och vägar innebär att naturliga avrinningsförhållanden förändras men genom att välja lämpliga material och ytor för infiltration, rening och fördröjning kan påverkan minimeras. </w:t>
      </w:r>
    </w:p>
    <w:p>
      <w:pPr>
        <w:ind w:left="720"/>
      </w:pPr>
      <w:r>
        <w:t xml:space="preserve">Detaljplanen möjliggör rening och fördröjning av dagvatten på kvartersmark genom att styra hur mycket av kvartersmarken som får exploateras. Inom gatusektionen finns det plats för öppna diken som underlättar reningen och fördröjningen innan vattnet når recipienten. Stora delar av planområdet har jordarten morän med medelhög genomsläpplighet, för infiltrering av dagvatten är dessa förutsättningar goda eftersom dagvattnet rinner ner i jorden i lagom takt. </w:t>
      </w:r>
    </w:p>
    <w:p>
      <w:pPr>
        <w:pStyle w:val="P3"/>
      </w:pPr>
      <w:bookmarkEnd w:id="97"/>
      <w:r>
        <w:t>Energi, bredband och fjärrvärme</w:t>
      </w:r>
    </w:p>
    <w:p>
      <w:pPr>
        <w:ind w:left="720"/>
      </w:pPr>
      <w:bookmarkStart w:id="98" w:name="pf_eltelevärmeochbredband01"/>
      <w:r>
        <w:t xml:space="preserve">Västerbergslagens Elnät har el ledningar inom området. GlobalConnect och Skanova har fiber ledningar som finns längs Bergmansvägen, utanför planområdet. </w:t>
      </w:r>
      <w:bookmarkEnd w:id="98"/>
      <w:r>
        <w:t xml:space="preserve"> </w:t>
      </w:r>
    </w:p>
    <w:p>
      <w:pPr>
        <w:pStyle w:val="P3"/>
      </w:pPr>
      <w:r>
        <w:t>Återvinning och avfallshantering</w:t>
      </w:r>
    </w:p>
    <w:p>
      <w:pPr>
        <w:ind w:left="720"/>
      </w:pPr>
      <w:bookmarkStart w:id="99" w:name="pf_avfall01"/>
      <w:r>
        <w:t xml:space="preserve">Ansvarig för hämtning av hushållsavfall i området är WBAB. Närmsta återvinningscentral är Nors återvinningscentral som finns vid Hemshyttevägen öster om Söderbärke tätort. Avfallshantering ska ske enligt kommunens avfallsplan. </w:t>
      </w:r>
    </w:p>
    <w:p>
      <w:pPr>
        <w:pStyle w:val="P2"/>
      </w:pPr>
      <w:bookmarkEnd w:id="99"/>
      <w:bookmarkStart w:id="100" w:name="_Toc184651425"/>
      <w:r>
        <w:t>Miljökvalitetsnormer</w:t>
      </w:r>
      <w:bookmarkEnd w:id="100"/>
    </w:p>
    <w:p>
      <w:pPr>
        <w:ind w:left="576"/>
      </w:pPr>
      <w:r>
        <w:t xml:space="preserve">Miljökvalitetsnormer (MKN) är bestämmelser om kvaliteten på mark, vatten, luft eller miljön i övrigt och regleras i miljöbalken. Vid planläggning och i andra ärenden enligt plan- och bygglagen ska miljökvalitetsnormer följas. </w:t>
      </w:r>
    </w:p>
    <w:p>
      <w:pPr>
        <w:pStyle w:val="P3"/>
      </w:pPr>
      <w:r>
        <w:t>Luft</w:t>
      </w:r>
    </w:p>
    <w:p>
      <w:pPr>
        <w:ind w:left="720"/>
      </w:pPr>
      <w:bookmarkStart w:id="101" w:name="pf_luft01"/>
      <w:r>
        <w:t>Luftföroreningar skadar människors hälsa, naturen och kulturföremål. De ämnen i utomhusluft som regleras genom miljökvalitetsnormer är halter av kvävedioxid/kväveoxider, svaveldioxid, bly, partiklar (PM10 och PM2,5), bensen, kolmonoxid, ozon, arsenik, kadmium, nickel och bens(a)pyren.</w:t>
      </w:r>
    </w:p>
    <w:p>
      <w:pPr>
        <w:ind w:left="720"/>
      </w:pPr>
      <w:r>
        <w:t xml:space="preserve">Dalarnas luftvårdsförbund har i sin senaste rapport från 2021 bedömt att samtliga miljökvalitetsnormer avseende på luftmiljön klaras i Smedjebackens kommun. </w:t>
      </w:r>
      <w:bookmarkEnd w:id="101"/>
      <w:bookmarkStart w:id="102" w:name="ko_luft01"/>
      <w:r>
        <w:t>Planförslaget bedöms inte påverka MKN för utomhusluft då den trafikökning som detaljplanen genererar bedöms som liten.</w:t>
      </w:r>
      <w:bookmarkEnd w:id="102"/>
    </w:p>
    <w:p>
      <w:pPr>
        <w:pStyle w:val="P3"/>
      </w:pPr>
      <w:r>
        <w:t xml:space="preserve">Vatten </w:t>
      </w:r>
    </w:p>
    <w:p>
      <w:pPr>
        <w:ind w:left="720"/>
      </w:pPr>
      <w:bookmarkStart w:id="103" w:name="pf_vatten01"/>
      <w:r>
        <w:t>Miljökvalitetsnorm för vatten beskriver den kvalitet en så kallad vattenförekomst ska ha nått vid en viss tidpunkt. Syftet med normerna är att säkra Sveriges vattenkvalitet. Miljökvalitetsnormerna omfattar ekologisk och kemisk ytvattenstatus samt kemisk och kvantitativ grundvattenstatus. Den ekologiska statusen bedöms på en femgradig skala som hög, god, måttlig, otillfredsställande och dålig medan kemisk ytvattenstatus har två nivåer som är god eller uppnår ej god. Grundvattens kemiska och kvantitativa status som god eller otillfredsställande.</w:t>
      </w:r>
    </w:p>
    <w:p>
      <w:pPr>
        <w:ind w:left="720"/>
      </w:pPr>
      <w:r>
        <w:t xml:space="preserve">Det närmaste vattendraget är Södra Barken och Hyttån. Södra Barken har måttlig ekologisk status och uppnår ej god kemisk status. Södra Barken ska uppnå god ekologisk status och god kemisk ytvattenstatus till 2027. Av särskilt förorenade ämnen så är det uran och östradioler som inte uppnår god status och av de prioriterade ämnena är det antracen, bromerad difenyleter, bly, kadmium, kvicksilver och tributyltennföreningar som ej uppnår god status. Bly i dagvatten från villaområden kan bero på byggnadsdetaljer på äldre byggnader men är ovanligt.  Undantag finns för de överallt överskridande ämnena kvicksilver (Hg) och polybromerade difenyletrar (PBDE). Ingen av vattenförekomsterna har angivet ”Urban markanvändning” som påverkanskälla i VISS. </w:t>
      </w:r>
    </w:p>
    <w:p>
      <w:pPr>
        <w:ind w:left="720"/>
      </w:pPr>
      <w:r>
        <w:t xml:space="preserve">Att Södra Barken inte uppnår god kemisk status beror på förhöjda halter av bland annat antracen, bromerad difenyleter, bly, östradioler, kadmium, kvicksilver och tributylenn föreningar. Dessa föroreningar kan komma från flera källor som atmosfäriskt nedfall, förorenade områden, reningsverk och trafik. </w:t>
      </w:r>
    </w:p>
    <w:p>
      <w:pPr>
        <w:ind w:left="720"/>
      </w:pPr>
      <w:r>
        <w:t xml:space="preserve">Hyttån har måttlig ekologisk status och uppnår ej god kemisk status. Hyttån ska uppnå god ekologisk status och god kemisk ytvattenstatus till 2027. Den sammanvägda bedömningen för kemisk status uppnår ej god kemisk status. Bedömningen baseras på att gränsvärdena för kvicksilver (Hg) och polybromerade difenyletrar (PBDE) överskrids i alla Sveriges ytvattenförekomster på grund av atmosfärisk deposition. Inga prioriterade ämnen har analyserats i vattenförekomsten, utan bedömningen baseras på modelleringar av Hg och PBDE. </w:t>
      </w:r>
    </w:p>
    <w:p>
      <w:pPr>
        <w:ind w:left="720"/>
      </w:pPr>
      <w:r>
        <w:t xml:space="preserve">Vanligt förekommande ämnen i dagvatten är fosfor, kväve, bly, koppar, zink, kadmium, krom och nickel, av dessa är zink, koppar och krom klassade som särskilt förorenande ämnen. Koppar och zink kan förekomma i villabebyggelse men då är källorna främst från byggnadsmaterial. </w:t>
      </w:r>
    </w:p>
    <w:p>
      <w:pPr>
        <w:ind w:left="720"/>
      </w:pPr>
      <w:bookmarkEnd w:id="103"/>
      <w:bookmarkStart w:id="104" w:name="ko_vatten01"/>
      <w:r>
        <w:t>Den samlade bedömningen är att genomförandet av detaljplanen inte bedöms ha negativ påverkan på vattenkvaliteten i Hyttån eller i Södra Barken och förväntas inte att sänka dess statusklassning.</w:t>
      </w:r>
    </w:p>
    <w:p>
      <w:pPr>
        <w:pStyle w:val="P3"/>
      </w:pPr>
      <w:bookmarkEnd w:id="104"/>
      <w:r>
        <w:t>Buller</w:t>
      </w:r>
    </w:p>
    <w:p>
      <w:pPr>
        <w:ind w:left="720"/>
      </w:pPr>
      <w:bookmarkStart w:id="105" w:name="pf_buller01"/>
      <w:r>
        <w:t xml:space="preserve">Miljökvalitetsnormer för omgivningsbuller är en annan målsättning, normerna ska följas för att undvika skadliga effekter på människors hälsa och omgivningsbuller. Miljökvalitetsnormer för buller omfattar omgivningsbuller från större vägar, järnvägar och flygplatser. </w:t>
      </w:r>
    </w:p>
    <w:p>
      <w:pPr>
        <w:ind w:left="720"/>
      </w:pPr>
      <w:r>
        <w:t>Planområdet omfattas inte av MKN för omgivningsbuller.</w:t>
      </w:r>
      <w:bookmarkEnd w:id="105"/>
      <w:r>
        <w:t xml:space="preserve"> </w:t>
      </w:r>
      <w:bookmarkStart w:id="106" w:name="ko_buller01"/>
      <w:r>
        <w:t xml:space="preserve">Genomförandet av detaljplanen bedöms inte bidra till att MKN för omgivningsbuller överskrids. </w:t>
      </w:r>
    </w:p>
    <w:p>
      <w:pPr>
        <w:pStyle w:val="P2"/>
      </w:pPr>
      <w:bookmarkEnd w:id="106"/>
      <w:r>
        <w:t xml:space="preserve"> </w:t>
      </w:r>
      <w:bookmarkStart w:id="107" w:name="_Toc184651426"/>
      <w:r>
        <w:t>Hälsa och säkerhet</w:t>
      </w:r>
      <w:bookmarkEnd w:id="107"/>
    </w:p>
    <w:p>
      <w:pPr>
        <w:pStyle w:val="P3"/>
      </w:pPr>
      <w:r>
        <w:t>Beräkning av omgivningsbuller</w:t>
      </w:r>
    </w:p>
    <w:p>
      <w:pPr>
        <w:ind w:left="720"/>
      </w:pPr>
      <w:bookmarkStart w:id="108" w:name="pf_omgivningsbuller01"/>
      <w:r>
        <w:t>I arbetet med att ta fram planförslaget har en bullerutredning genomförts för att säkerställa att nivån på omgivningsbuller är på acceptabel och hanterbar nivå. Denna utredning har ansetts vara viktigt att genomföra för att säkerställa en hälsosam och trivsam boendemiljö för framtida boende i området, samt för att minimera eventuella störningar från omgivande ljudkällor.</w:t>
      </w:r>
    </w:p>
    <w:p>
      <w:pPr>
        <w:ind w:left="720"/>
      </w:pPr>
      <w:r>
        <w:t>Syftet med utredningen var att kartlägga de bullernivåer från väg- och spårtrafik som förväntas uppstå inom området där nya bostäder planeras byggas. Området är berört av en vägplan där hastigheten på vägen kan komma att ökas. Beräkningsalternativ för denna eventuella förändring har ingått i utredningen.</w:t>
      </w:r>
    </w:p>
    <w:p>
      <w:pPr>
        <w:ind w:left="720"/>
      </w:pPr>
    </w:p>
    <w:p>
      <w:pPr>
        <w:ind w:left="720"/>
      </w:pPr>
      <w:r>
        <w:t xml:space="preserve">Enligt beräkningarna för prognosåret 2040 uppfylls riktvärdena för ekvivalenta och maximala ljudnivå vid fasad för samtliga fasader inom planområdet. Detsamma gäller för riktvärdena för ljudnivån på uteplatser, vilka hålls inom acceptabla gränser vid samtliga fasader och inom hela området som omfattas av de nya fastigheterna. </w:t>
      </w:r>
      <w:bookmarkEnd w:id="108"/>
    </w:p>
    <w:p>
      <w:pPr>
        <w:ind w:left="720"/>
      </w:pPr>
      <w:r>
        <w:rPr>
          <w:noProof w:val="1"/>
        </w:rPr>
        <w:drawing>
          <wp:anchor xmlns:wp="http://schemas.openxmlformats.org/drawingml/2006/wordprocessingDrawing" distT="0" distB="0" distL="114300" distR="114300" simplePos="0" relativeHeight="9" behindDoc="0" locked="0" layoutInCell="1" allowOverlap="1">
            <wp:simplePos x="0" y="0"/>
            <wp:positionH relativeFrom="column">
              <wp:posOffset>459740</wp:posOffset>
            </wp:positionH>
            <wp:positionV relativeFrom="paragraph">
              <wp:posOffset>10795</wp:posOffset>
            </wp:positionV>
            <wp:extent cx="3053080" cy="3309620"/>
            <wp:effectExtent l="0" t="0" r="0" b="5080"/>
            <wp:wrapThrough wrapText="bothSides">
              <wp:wrapPolygon edited="0">
                <wp:start x="0" y="0"/>
                <wp:lineTo x="0" y="21509"/>
                <wp:lineTo x="21429" y="21509"/>
                <wp:lineTo x="21429" y="0"/>
                <wp:lineTo x="0" y="0"/>
              </wp:wrapPolygon>
            </wp:wrapThrough>
            <wp:docPr id="14" name="Bildobjekt 14" descr="En bild som visar karta,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En bild som visar karta, text&#10;&#10;Automatiskt genererad beskrivning"/>
                    <pic:cNvPicPr/>
                  </pic:nvPicPr>
                  <pic:blipFill dpi="0">
                    <a:blip xmlns:r="http://schemas.openxmlformats.org/officeDocument/2006/relationships" r:embed="Relimage10"/>
                    <a:srcRect/>
                    <a:stretch>
                      <a:fillRect/>
                    </a:stretch>
                  </pic:blipFill>
                  <pic:spPr>
                    <a:xfrm>
                      <a:off x="0" y="0"/>
                      <a:ext cx="3053080" cy="3309620"/>
                    </a:xfrm>
                    <a:prstGeom prst="rect"/>
                  </pic:spPr>
                </pic:pic>
              </a:graphicData>
            </a:graphic>
          </wp:anchor>
        </w:drawing>
      </w:r>
    </w:p>
    <w:p>
      <w:pPr>
        <w:ind w:left="720"/>
      </w:pPr>
      <w:r>
        <w:t xml:space="preserve"> </w:t>
      </w:r>
    </w:p>
    <w:p>
      <w:pPr>
        <w:ind w:left="720"/>
      </w:pPr>
    </w:p>
    <w:p>
      <w:pPr>
        <w:ind w:left="720"/>
      </w:pPr>
      <w:r>
        <w:rPr>
          <w:noProof w:val="1"/>
        </w:rPr>
        <w:drawing>
          <wp:anchor xmlns:wp="http://schemas.openxmlformats.org/drawingml/2006/wordprocessingDrawing" distT="0" distB="0" distL="114300" distR="114300" simplePos="0" relativeHeight="10" behindDoc="0" locked="0" layoutInCell="1" allowOverlap="1">
            <wp:simplePos x="0" y="0"/>
            <wp:positionH relativeFrom="margin">
              <wp:align>right</wp:align>
            </wp:positionH>
            <wp:positionV relativeFrom="paragraph">
              <wp:posOffset>154305</wp:posOffset>
            </wp:positionV>
            <wp:extent cx="1788795" cy="1669415"/>
            <wp:effectExtent l="0" t="0" r="1905" b="6985"/>
            <wp:wrapThrough wrapText="bothSides">
              <wp:wrapPolygon edited="0">
                <wp:start x="0" y="0"/>
                <wp:lineTo x="0" y="21444"/>
                <wp:lineTo x="21393" y="21444"/>
                <wp:lineTo x="21393" y="0"/>
                <wp:lineTo x="0" y="0"/>
              </wp:wrapPolygon>
            </wp:wrapThrough>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pic:nvPicPr>
                  <pic:blipFill dpi="0">
                    <a:blip xmlns:r="http://schemas.openxmlformats.org/officeDocument/2006/relationships" r:embed="Relimage11"/>
                    <a:srcRect/>
                    <a:stretch>
                      <a:fillRect/>
                    </a:stretch>
                  </pic:blipFill>
                  <pic:spPr>
                    <a:xfrm>
                      <a:off x="0" y="0"/>
                      <a:ext cx="1788795" cy="1669415"/>
                    </a:xfrm>
                    <a:prstGeom prst="rect"/>
                  </pic:spPr>
                </pic:pic>
              </a:graphicData>
            </a:graphic>
          </wp:anchor>
        </w:drawing>
      </w:r>
    </w:p>
    <w:p>
      <w:pPr>
        <w:ind w:left="720"/>
      </w:pPr>
    </w:p>
    <w:p>
      <w:pPr>
        <w:ind w:left="720"/>
      </w:pPr>
    </w:p>
    <w:p>
      <w:pPr>
        <w:ind w:left="720"/>
      </w:pPr>
    </w:p>
    <w:p>
      <w:pPr>
        <w:ind w:left="720"/>
      </w:pPr>
    </w:p>
    <w:p>
      <w:pPr>
        <w:ind w:left="720"/>
      </w:pPr>
    </w:p>
    <w:p>
      <w:pPr>
        <w:ind w:left="720"/>
      </w:pPr>
    </w:p>
    <w:p>
      <w:pPr>
        <w:ind w:left="720"/>
      </w:pPr>
    </w:p>
    <w:p>
      <w:pPr>
        <w:ind w:left="720"/>
      </w:pPr>
      <w:r>
        <w:rPr>
          <w:noProof w:val="1"/>
        </w:rPr>
        <w:drawing>
          <wp:anchor xmlns:wp="http://schemas.openxmlformats.org/drawingml/2006/wordprocessingDrawing" distT="0" distB="0" distL="114300" distR="114300" simplePos="0" relativeHeight="11" behindDoc="0" locked="0" layoutInCell="1" allowOverlap="1">
            <wp:simplePos x="0" y="0"/>
            <wp:positionH relativeFrom="margin">
              <wp:posOffset>403860</wp:posOffset>
            </wp:positionH>
            <wp:positionV relativeFrom="paragraph">
              <wp:posOffset>267970</wp:posOffset>
            </wp:positionV>
            <wp:extent cx="3439795" cy="3768725"/>
            <wp:effectExtent l="0" t="0" r="8255" b="3175"/>
            <wp:wrapThrough wrapText="bothSides">
              <wp:wrapPolygon edited="0">
                <wp:start x="0" y="0"/>
                <wp:lineTo x="0" y="21509"/>
                <wp:lineTo x="21532" y="21509"/>
                <wp:lineTo x="21532" y="0"/>
                <wp:lineTo x="0" y="0"/>
              </wp:wrapPolygon>
            </wp:wrapThrough>
            <wp:docPr id="17" name="Bildobjekt 17" descr="En bild som visar karta,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karta, text&#10;&#10;Automatiskt genererad beskrivning"/>
                    <pic:cNvPicPr/>
                  </pic:nvPicPr>
                  <pic:blipFill dpi="0">
                    <a:blip xmlns:r="http://schemas.openxmlformats.org/officeDocument/2006/relationships" r:embed="Relimage12"/>
                    <a:srcRect/>
                    <a:stretch>
                      <a:fillRect/>
                    </a:stretch>
                  </pic:blipFill>
                  <pic:spPr>
                    <a:xfrm>
                      <a:off x="0" y="0"/>
                      <a:ext cx="3439795" cy="3768725"/>
                    </a:xfrm>
                    <a:prstGeom prst="rect"/>
                  </pic:spPr>
                </pic:pic>
              </a:graphicData>
            </a:graphic>
          </wp:anchor>
        </w:drawing>
      </w:r>
    </w:p>
    <w:p>
      <w:pPr>
        <w:ind w:left="720"/>
      </w:pPr>
    </w:p>
    <w:p>
      <w:pPr>
        <w:ind w:left="720"/>
      </w:pPr>
    </w:p>
    <w:p>
      <w:pPr>
        <w:ind w:left="720"/>
      </w:pPr>
    </w:p>
    <w:p>
      <w:pPr>
        <w:ind w:left="720"/>
      </w:pPr>
      <w:r>
        <w:rPr>
          <w:noProof w:val="1"/>
        </w:rPr>
        <w:drawing>
          <wp:anchor xmlns:wp="http://schemas.openxmlformats.org/drawingml/2006/wordprocessingDrawing" distT="0" distB="0" distL="114300" distR="114300" simplePos="0" relativeHeight="12" behindDoc="0" locked="0" layoutInCell="1" allowOverlap="1">
            <wp:simplePos x="0" y="0"/>
            <wp:positionH relativeFrom="margin">
              <wp:align>right</wp:align>
            </wp:positionH>
            <wp:positionV relativeFrom="paragraph">
              <wp:posOffset>396875</wp:posOffset>
            </wp:positionV>
            <wp:extent cx="1610995" cy="1621790"/>
            <wp:effectExtent l="0" t="0" r="8255" b="0"/>
            <wp:wrapThrough wrapText="bothSides">
              <wp:wrapPolygon edited="0">
                <wp:start x="0" y="0"/>
                <wp:lineTo x="0" y="21312"/>
                <wp:lineTo x="21455" y="21312"/>
                <wp:lineTo x="21455" y="0"/>
                <wp:lineTo x="0" y="0"/>
              </wp:wrapPolygon>
            </wp:wrapThrough>
            <wp:docPr id="18" name="Bildobjekt 18" descr="En bild som visar text, skärmbild, Teckensnit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text, skärmbild, Teckensnitt, design&#10;&#10;Automatiskt genererad beskrivning"/>
                    <pic:cNvPicPr/>
                  </pic:nvPicPr>
                  <pic:blipFill dpi="0">
                    <a:blip xmlns:r="http://schemas.openxmlformats.org/officeDocument/2006/relationships" r:embed="Relimage13"/>
                    <a:srcRect/>
                    <a:stretch>
                      <a:fillRect/>
                    </a:stretch>
                  </pic:blipFill>
                  <pic:spPr>
                    <a:xfrm>
                      <a:off x="0" y="0"/>
                      <a:ext cx="1610995" cy="1621790"/>
                    </a:xfrm>
                    <a:prstGeom prst="rect"/>
                  </pic:spPr>
                </pic:pic>
              </a:graphicData>
            </a:graphic>
          </wp:anchor>
        </w:drawing>
      </w:r>
    </w:p>
    <w:p>
      <w:pPr>
        <w:ind w:left="720"/>
      </w:pPr>
    </w:p>
    <w:p>
      <w:pPr>
        <w:ind w:left="720"/>
      </w:pPr>
    </w:p>
    <w:p/>
    <w:p/>
    <w:p>
      <w:pPr>
        <w:ind w:left="720"/>
      </w:pPr>
      <w:bookmarkStart w:id="109" w:name="pf_omgivningsbuller02"/>
      <w:r>
        <w:t xml:space="preserve">Planalternativet med prognosår 2040 medför endast en liten ökning av bullernivåerna jämfört med tidigare alternativet. Därför är bedömningen densamma som för det tidigare alternativet att riktvärdena för ekvivalenta och maximala ljudnivån uppfylls för samtliga fastigheter. Sammanfattningsvis bekräftar beräkningarna att bullernivåerna kommer att hållas inom acceptabla gränser både vid fasader och uteplatser för de planerade fastigheterna. </w:t>
      </w:r>
      <w:bookmarkEnd w:id="109"/>
    </w:p>
    <w:p>
      <w:pPr>
        <w:ind w:left="720"/>
      </w:pPr>
      <w:r>
        <w:rPr>
          <w:noProof w:val="1"/>
        </w:rPr>
        <w:drawing>
          <wp:anchor xmlns:wp="http://schemas.openxmlformats.org/drawingml/2006/wordprocessingDrawing" distT="0" distB="0" distL="114300" distR="114300" simplePos="0" relativeHeight="13" behindDoc="0" locked="0" layoutInCell="1" allowOverlap="1">
            <wp:simplePos x="0" y="0"/>
            <wp:positionH relativeFrom="margin">
              <wp:posOffset>488950</wp:posOffset>
            </wp:positionH>
            <wp:positionV relativeFrom="paragraph">
              <wp:posOffset>3175</wp:posOffset>
            </wp:positionV>
            <wp:extent cx="3405505" cy="3657600"/>
            <wp:effectExtent l="0" t="0" r="4445" b="0"/>
            <wp:wrapThrough wrapText="bothSides">
              <wp:wrapPolygon edited="0">
                <wp:start x="0" y="0"/>
                <wp:lineTo x="0" y="21488"/>
                <wp:lineTo x="21507" y="21488"/>
                <wp:lineTo x="21507" y="0"/>
                <wp:lineTo x="0" y="0"/>
              </wp:wrapPolygon>
            </wp:wrapThrough>
            <wp:docPr id="19" name="Bildobjekt 19" descr="En bild som visar karta,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En bild som visar karta, text&#10;&#10;Automatiskt genererad beskrivning"/>
                    <pic:cNvPicPr/>
                  </pic:nvPicPr>
                  <pic:blipFill dpi="0">
                    <a:blip xmlns:r="http://schemas.openxmlformats.org/officeDocument/2006/relationships" r:embed="Relimage14"/>
                    <a:srcRect/>
                    <a:stretch>
                      <a:fillRect/>
                    </a:stretch>
                  </pic:blipFill>
                  <pic:spPr>
                    <a:xfrm>
                      <a:off x="0" y="0"/>
                      <a:ext cx="3405505" cy="3657600"/>
                    </a:xfrm>
                    <a:prstGeom prst="rect"/>
                  </pic:spPr>
                </pic:pic>
              </a:graphicData>
            </a:graphic>
          </wp:anchor>
        </w:drawing>
      </w:r>
    </w:p>
    <w:p>
      <w:pPr>
        <w:ind w:left="720"/>
      </w:pPr>
    </w:p>
    <w:p>
      <w:pPr>
        <w:ind w:left="720"/>
      </w:pPr>
    </w:p>
    <w:p>
      <w:pPr>
        <w:ind w:left="720"/>
      </w:pPr>
    </w:p>
    <w:p>
      <w:pPr>
        <w:ind w:left="720"/>
      </w:pPr>
    </w:p>
    <w:p>
      <w:pPr>
        <w:ind w:left="720"/>
      </w:pPr>
    </w:p>
    <w:p>
      <w:pPr>
        <w:ind w:left="720"/>
      </w:pPr>
      <w:r>
        <w:rPr>
          <w:noProof w:val="1"/>
        </w:rPr>
        <w:drawing>
          <wp:anchor xmlns:wp="http://schemas.openxmlformats.org/drawingml/2006/wordprocessingDrawing" distT="0" distB="0" distL="114300" distR="114300" simplePos="0" relativeHeight="14" behindDoc="0" locked="0" layoutInCell="1" allowOverlap="1">
            <wp:simplePos x="0" y="0"/>
            <wp:positionH relativeFrom="column">
              <wp:posOffset>4021455</wp:posOffset>
            </wp:positionH>
            <wp:positionV relativeFrom="paragraph">
              <wp:posOffset>249555</wp:posOffset>
            </wp:positionV>
            <wp:extent cx="1490980" cy="1565910"/>
            <wp:effectExtent l="0" t="0" r="0" b="0"/>
            <wp:wrapThrough wrapText="bothSides">
              <wp:wrapPolygon edited="0">
                <wp:start x="0" y="0"/>
                <wp:lineTo x="0" y="21285"/>
                <wp:lineTo x="21250" y="21285"/>
                <wp:lineTo x="21250" y="0"/>
                <wp:lineTo x="0" y="0"/>
              </wp:wrapPolygon>
            </wp:wrapThrough>
            <wp:docPr id="20" name="Bildobjekt 20" descr="En bild som visar text, skärmbild,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text, skärmbild, Teckensnitt&#10;&#10;Automatiskt genererad beskrivning"/>
                    <pic:cNvPicPr/>
                  </pic:nvPicPr>
                  <pic:blipFill dpi="0">
                    <a:blip xmlns:r="http://schemas.openxmlformats.org/officeDocument/2006/relationships" r:embed="Relimage15"/>
                    <a:srcRect/>
                    <a:stretch>
                      <a:fillRect/>
                    </a:stretch>
                  </pic:blipFill>
                  <pic:spPr>
                    <a:xfrm>
                      <a:off x="0" y="0"/>
                      <a:ext cx="1490980" cy="1565910"/>
                    </a:xfrm>
                    <a:prstGeom prst="rect"/>
                  </pic:spPr>
                </pic:pic>
              </a:graphicData>
            </a:graphic>
          </wp:anchor>
        </w:drawing>
      </w:r>
    </w:p>
    <w:p/>
    <w:p/>
    <w:p>
      <w:pPr>
        <w:pStyle w:val="P3"/>
      </w:pPr>
      <w:r>
        <w:t>Risk för olyckor</w:t>
      </w:r>
    </w:p>
    <w:p>
      <w:pPr>
        <w:ind w:left="720"/>
      </w:pPr>
      <w:bookmarkStart w:id="110" w:name="ko_beräkningavomgivningsbuller01"/>
      <w:r>
        <w:t xml:space="preserve">Genom införandet av egenskapsbestämmelser som reglerar utfartsförbud mot Bergmansvägen och norra delen av planområdet begränsas antalet in- och utfarter. Syftet med detta är att minimera risken för olyckor genom att minimera antalet individuella infarter och utfarter mot Bergmansvägen. Denna åtgärd främjar en säkrare trafikmiljö genom att samla trafikflödet till en enda punkt för att förbättra trafiksäkerheten i området. </w:t>
      </w:r>
    </w:p>
    <w:p>
      <w:pPr>
        <w:pStyle w:val="P3"/>
      </w:pPr>
      <w:bookmarkEnd w:id="110"/>
      <w:r>
        <w:t xml:space="preserve">Risk för översvämning </w:t>
      </w:r>
    </w:p>
    <w:p>
      <w:pPr>
        <w:ind w:left="720"/>
      </w:pPr>
      <w:bookmarkStart w:id="111" w:name="pf_riskföröversvämning01"/>
      <w:r>
        <w:t xml:space="preserve">Det finns ingen risk för översvämning inom planområdet. </w:t>
      </w:r>
    </w:p>
    <w:p>
      <w:pPr>
        <w:pStyle w:val="P3"/>
      </w:pPr>
      <w:bookmarkEnd w:id="111"/>
      <w:r>
        <w:t>Risk för erosion, skred och ras</w:t>
      </w:r>
    </w:p>
    <w:p>
      <w:pPr>
        <w:ind w:left="720"/>
      </w:pPr>
      <w:bookmarkStart w:id="112" w:name="ko_hälsaochsäkerhet01"/>
      <w:r>
        <w:t xml:space="preserve">Efter att ha granskat tillgängliga data från myndigheters öppna källor bedöms det att risken för erosion, skred och ras är låg inom planområdet. Området består delvis av morän och delvis av lera-silt. </w:t>
      </w:r>
    </w:p>
    <w:p>
      <w:pPr>
        <w:pStyle w:val="P3"/>
      </w:pPr>
      <w:bookmarkEnd w:id="112"/>
      <w:r>
        <w:t>Förorenad mark</w:t>
      </w:r>
    </w:p>
    <w:p>
      <w:pPr>
        <w:ind w:left="720"/>
      </w:pPr>
      <w:bookmarkStart w:id="113" w:name="pf_förorenadmark01"/>
      <w:r>
        <w:t xml:space="preserve">Det finns ingen förorenad </w:t>
      </w:r>
      <w:r>
        <w:rPr>
          <w:rtl w:val="0"/>
          <w:lang w:val="sv-SE" w:bidi="sv-SE" w:eastAsia="sv-SE"/>
        </w:rPr>
        <w:t>m</w:t>
      </w:r>
      <w:r>
        <w:t xml:space="preserve">ark inom planområdet. </w:t>
      </w:r>
    </w:p>
    <w:p>
      <w:pPr>
        <w:pStyle w:val="P3"/>
      </w:pPr>
      <w:bookmarkEnd w:id="113"/>
      <w:r>
        <w:t xml:space="preserve">Farligt gods </w:t>
      </w:r>
    </w:p>
    <w:p>
      <w:pPr>
        <w:ind w:left="720"/>
      </w:pPr>
      <w:bookmarkStart w:id="114" w:name="pf_hälsaochsäkerhet01"/>
      <w:r>
        <w:t>Enligt Länsstyrelsen Dalarnas PM-serie. (2012). Farligt gods: Riskhantering i fysisk planering – Vägledning för planläggning intill transportleder för farligt gods, ska en riskhanteringsprocess beaktas när detaljplaner tas fram inom 150 meter från en farligt gods-led. Planområdet är beläget inom 150 meter från väg 66 som är rekommenderad transportled för farligt gods, bebyggelse planeras cirka 120 meter från riksväg 66. Bedömningen innefattar en kvalitativ bedömning av riskerna vilket antas ge en tillräcklig beskrivning av de riskkällor som hotar människor. Inom områden 70–150 meter från riskkällan kan de flesta typer av markanvändning förläggas utan särskilda åtgärder eller analyser. Undantaget är sådan markanvändning som innefattar särskilt många eller utsatta personer. Syftet med riskbedömningen är att utreda lämpligheten med planerad markanvändning med hänsyn till människors hälsa och säkerhet.</w:t>
      </w:r>
    </w:p>
    <w:p>
      <w:pPr>
        <w:ind w:left="720"/>
      </w:pPr>
      <w:r>
        <w:t xml:space="preserve">Med tanke på bebyggelsens avstånd från riksväg 66 är minst 120 meter bedöms inga särskilda riskreducerande åtgärder vara motiverade att genomföras därför att detaljplanen säkerställer att ny bebyggelse ska tillkomma på lämpligt område utifrån säkerhetsperspektiv. </w:t>
      </w:r>
    </w:p>
    <w:p>
      <w:pPr>
        <w:pStyle w:val="P3"/>
      </w:pPr>
      <w:bookmarkEnd w:id="114"/>
      <w:r>
        <w:t>Påverkan från jordbruket</w:t>
      </w:r>
    </w:p>
    <w:p>
      <w:pPr>
        <w:ind w:left="720"/>
      </w:pPr>
      <w:bookmarkStart w:id="115" w:name="pf_hälsaochsäkerhet02"/>
      <w:r>
        <w:t xml:space="preserve">Delar av marken bredvid planområdet är åkermark, den arrenderas ut av fastighetsägaren för Söderbärke Kyrkby 5:1 (exploatören) och används aktivt för jordbruk. Det innebär att närboende ibland kan uppleva störningar, till exempel lukt vid gödsling. Störningarna förväntas vara begränsade till vissa perioder på året, såsom vid vårbruk, skördetid och eventuell höstplöjning. Dessa händelser är återkommande men kortvariga. </w:t>
      </w:r>
    </w:p>
    <w:p>
      <w:pPr>
        <w:ind w:left="720"/>
      </w:pPr>
      <w:r>
        <w:t>Om boende klagar på störningar från jordbruksmarken kan detta leda till extra tillsyn på lantbruksverksamheten utifrån Miljöbalken. De möjliga störningarna bedöms kunna hanteras med krav på försiktighetsåtgärder som till exempel inskärningar av vilka tider och väder när arbete på åkermarken får ske eller att harvning måste ske efter gödsling. Detta kan dock innebära ökade krav och eventuellt kostnader för lantbrukaren.</w:t>
      </w:r>
    </w:p>
    <w:p>
      <w:pPr>
        <w:pStyle w:val="P3"/>
      </w:pPr>
      <w:bookmarkEnd w:id="115"/>
      <w:r>
        <w:t>Räddningstjänstens insatstid</w:t>
      </w:r>
    </w:p>
    <w:p>
      <w:pPr>
        <w:ind w:left="720"/>
      </w:pPr>
      <w:bookmarkStart w:id="116" w:name="pf_hälsaochsäkerhet03"/>
      <w:r>
        <w:t xml:space="preserve">Räddningstjänstens insatstid är under 15 minuter. Räddningsstationen är beläget i Smedjebackens tätort. </w:t>
      </w:r>
    </w:p>
    <w:p>
      <w:pPr>
        <w:ind w:left="720"/>
      </w:pPr>
      <w:bookmarkEnd w:id="116"/>
    </w:p>
    <w:p>
      <w:pPr>
        <w:ind w:left="720"/>
      </w:pPr>
    </w:p>
    <w:p>
      <w:pPr>
        <w:ind w:left="720"/>
      </w:pPr>
    </w:p>
    <w:p>
      <w:pPr>
        <w:pStyle w:val="P1"/>
      </w:pPr>
      <w:bookmarkStart w:id="117" w:name="_Toc184651427"/>
      <w:r>
        <w:t>Genomförandefrågor</w:t>
      </w:r>
      <w:bookmarkEnd w:id="117"/>
    </w:p>
    <w:p>
      <w:r>
        <w:t xml:space="preserve">Genomförandedelen har till uppgift att redovisa fastighetsrättsliga, tekniska, ekonomiska och organisatoriska åtgärder som behövs för att åstadkomma ett samordnat och ändamålsenligt genomförande av detaljplanen. Avsikten med beskrivningen av genomförandet av projektet är att den ska vara vägledande vid genomförande av detaljplanen, genomförandebeskrivningen har i övrigt ingen rättsverkan. </w:t>
      </w:r>
    </w:p>
    <w:p>
      <w:pPr>
        <w:pStyle w:val="P2"/>
      </w:pPr>
      <w:bookmarkStart w:id="118" w:name="_Toc184651428"/>
      <w:r>
        <w:t>Fastighetsrättsliga frågor</w:t>
      </w:r>
      <w:bookmarkEnd w:id="118"/>
    </w:p>
    <w:p>
      <w:pPr>
        <w:ind w:left="576"/>
      </w:pPr>
      <w:bookmarkStart w:id="119" w:name="gf_fastighetsrättsligafrågor01"/>
      <w:r>
        <w:t xml:space="preserve">I detaljplanen regleras inte hur fastigheterna inom kvartersmarken kommer bli, däremot regleras minsta fastighetsstorlek för kvartersmark. </w:t>
      </w:r>
    </w:p>
    <w:p>
      <w:pPr>
        <w:pStyle w:val="P3"/>
      </w:pPr>
      <w:bookmarkEnd w:id="119"/>
      <w:r>
        <w:t xml:space="preserve">Gemensamhetsanläggningar </w:t>
      </w:r>
    </w:p>
    <w:p>
      <w:pPr>
        <w:ind w:left="720"/>
      </w:pPr>
      <w:bookmarkStart w:id="120" w:name="gf_gemensamhetsanläggningar01"/>
      <w:r>
        <w:t xml:space="preserve">Enligt huvudregel är kommunen normalt sett huvudman för allmänna platser inom detaljplanelagda områden. För detaljplanen föreslås enskilt huvudmannaskap, vilket innebär att fastighetsägarna inom området har ansvar för förvaltning och skötsel av de allmänna platserna genom bildandet av gemensamhetsanläggning. I anslutning till planområdet på Bergsmansvägen finns gemensamhetsanläggningen Västerby GA:1 för väg. </w:t>
      </w:r>
    </w:p>
    <w:p>
      <w:pPr>
        <w:pStyle w:val="P31"/>
        <w:numPr>
          <w:ilvl w:val="0"/>
          <w:numId w:val="28"/>
        </w:numPr>
      </w:pPr>
      <w:r>
        <w:t xml:space="preserve">Fastighetsägare inom planområdet behöver ansluta sig till den befintliga gemensamhetsanläggningen Västerby GA:1 för väg, anslutningen av nya fastigheter kan ske antingen vid en omprövning eller vid avstyckningen av bostadsfastigheterna. </w:t>
      </w:r>
    </w:p>
    <w:p>
      <w:pPr>
        <w:pStyle w:val="P31"/>
        <w:ind w:left="1080"/>
      </w:pPr>
    </w:p>
    <w:p>
      <w:pPr>
        <w:pStyle w:val="P31"/>
        <w:numPr>
          <w:ilvl w:val="0"/>
          <w:numId w:val="28"/>
        </w:numPr>
      </w:pPr>
      <w:r>
        <w:t xml:space="preserve">Gemensamhetsanläggning ska bildas för den allmänna platsmarken GATA inom planområdet. Fastighetsägare inom detaljplaneområdet kommer att ansvara för den allmänna platsmarken. </w:t>
      </w:r>
    </w:p>
    <w:p>
      <w:pPr>
        <w:pStyle w:val="P31"/>
      </w:pPr>
    </w:p>
    <w:p>
      <w:pPr>
        <w:pStyle w:val="P31"/>
        <w:numPr>
          <w:ilvl w:val="0"/>
          <w:numId w:val="28"/>
        </w:numPr>
      </w:pPr>
      <w:r>
        <w:t xml:space="preserve">Gemensamhetsanläggning bör bildas för VA. Ansvar för drift och underhåll utanför VA-verksamhetsområde ligger på fastighetsägarna. Fastigheterna kommer att ha en andel i gemensamhetsanläggningen, andelstalen bestäms i anläggningsförättningen. </w:t>
      </w:r>
    </w:p>
    <w:p>
      <w:pPr>
        <w:ind w:left="720"/>
      </w:pPr>
      <w:r>
        <w:t xml:space="preserve">Bildandet av gemensamhetsanläggningar sker genom ansökan och prövning av lantmäteriförrättning, där exploatören ansöker hos Lantmäteriet. En samfällighetsförening kan bildas för förvaltning av en eller flera gemensamhetsanläggningar  </w:t>
      </w:r>
    </w:p>
    <w:p>
      <w:pPr>
        <w:pStyle w:val="P3"/>
      </w:pPr>
      <w:bookmarkEnd w:id="120"/>
      <w:r>
        <w:t>Förändrad fastighetsindelning</w:t>
      </w:r>
    </w:p>
    <w:p>
      <w:pPr>
        <w:ind w:left="720"/>
      </w:pPr>
      <w:bookmarkStart w:id="121" w:name="gf_förändradfastighetsindelning01"/>
      <w:r>
        <w:t xml:space="preserve">Detaljplanens genomförande medför att fastighetsbildning måste genomföras. Fastighetsbildning skall ske i enlighet med detaljplanen. Exploatören ansöker om och bekostar eventuella lantmäterikostnader för fastighetsbildning. </w:t>
      </w:r>
    </w:p>
    <w:p>
      <w:pPr>
        <w:pStyle w:val="P3"/>
      </w:pPr>
      <w:bookmarkEnd w:id="121"/>
      <w:r>
        <w:t xml:space="preserve">Rättigheter </w:t>
      </w:r>
    </w:p>
    <w:p>
      <w:pPr>
        <w:ind w:left="720"/>
      </w:pPr>
      <w:bookmarkStart w:id="122" w:name="gf_rättigheter01"/>
      <w:r>
        <w:t xml:space="preserve">Fastighetsförteckningen redovisar vilka ledningsrätter och servitut som finns inom området. I anslutning till planområdet finns rättigheterna 2085–921.1 och 2061–1274.1 avseende starkström till förmån för Västerbergslagens Energi AB, teleledningar till förmån för TeliaSonera Skanova Access samt fiber till förmån för GlobalConnect. Bedömningen är att dessa rättigheter inte påverkas vid genomförandet av detaljplanen, eftersom de ligger utanför planområdet och kan vara kvar i sitt nuvarande läge. </w:t>
      </w:r>
    </w:p>
    <w:p>
      <w:pPr>
        <w:pStyle w:val="P3"/>
      </w:pPr>
      <w:bookmarkEnd w:id="122"/>
      <w:r>
        <w:t>Kvalitet på fastighetsgränser</w:t>
      </w:r>
    </w:p>
    <w:p>
      <w:pPr>
        <w:ind w:left="720"/>
      </w:pPr>
      <w:bookmarkStart w:id="123" w:name="gf_annat01"/>
      <w:r>
        <w:t xml:space="preserve">Inför framtagandet av grundkarta mättes fastighetsgränserna in och det är av god kvalitet. </w:t>
      </w:r>
    </w:p>
    <w:p>
      <w:pPr>
        <w:pStyle w:val="P2"/>
      </w:pPr>
      <w:bookmarkEnd w:id="123"/>
      <w:bookmarkStart w:id="124" w:name="_Toc184651429"/>
      <w:r>
        <w:t>Tekniska frågor</w:t>
      </w:r>
      <w:bookmarkEnd w:id="124"/>
    </w:p>
    <w:p>
      <w:pPr>
        <w:pStyle w:val="P3"/>
      </w:pPr>
      <w:r>
        <w:t>Tekniska åtgärder</w:t>
      </w:r>
    </w:p>
    <w:p>
      <w:pPr>
        <w:ind w:left="720"/>
      </w:pPr>
      <w:bookmarkStart w:id="125" w:name="gf_tekniskaåtgärder01"/>
      <w:r>
        <w:t xml:space="preserve">Eventuella åtgärder för flyttning, utbyggnad och anslutning av ledningar ska genomföras i samråd med respektive ledningsinnehavare. Kostnaden för dessa åtgärder bekostas av den sökande, om inget annat är överenskommet. </w:t>
      </w:r>
    </w:p>
    <w:p>
      <w:pPr>
        <w:pStyle w:val="P3"/>
      </w:pPr>
      <w:bookmarkEnd w:id="125"/>
      <w:r>
        <w:t>Utbyggnad allmän plats</w:t>
      </w:r>
    </w:p>
    <w:p>
      <w:pPr>
        <w:ind w:left="720"/>
      </w:pPr>
      <w:bookmarkStart w:id="126" w:name="gf_utbyggnadallmänplats01"/>
      <w:r>
        <w:t xml:space="preserve">Exploatören ansvarar för utbyggnaden av allmän plats GATA inom detaljplanen. Innan ansvaret övergår till en gemensamhetsanläggning, där fastighetsägarna delar ansvaret för förvaltning och skötsel. </w:t>
      </w:r>
    </w:p>
    <w:p>
      <w:pPr>
        <w:pStyle w:val="P3"/>
      </w:pPr>
      <w:bookmarkEnd w:id="126"/>
      <w:r>
        <w:t>Utbyggnad vatten och avlopp</w:t>
      </w:r>
    </w:p>
    <w:p>
      <w:pPr>
        <w:ind w:left="720"/>
      </w:pPr>
      <w:bookmarkStart w:id="127" w:name="gf_utbyggnadvattenochavlopp01"/>
      <w:r>
        <w:rPr>
          <w:szCs w:val="24"/>
        </w:rPr>
        <w:t>Planområdet ligger utanför VA-verksamhetsområde. Anslutning till den allmänna VA-anläggningen kan ske genom av exploatören utbyggda och bekostade VA-ledningar inom planområdet och fram till en anslutningspunkt cirka 700 meter norr om planområdet samt att det upprättas ett VA-avtal utanför verksamhetsområde med Barken Vatten &amp; Återvinning AB såsom VA-huvudman. Exploatören ansvarar för uppförande av servitut/ledningsrätt från planområdet fram till anslutningspunkten.</w:t>
      </w:r>
    </w:p>
    <w:p>
      <w:pPr>
        <w:pStyle w:val="P3"/>
      </w:pPr>
      <w:bookmarkEnd w:id="127"/>
      <w:r>
        <w:t>Avfallshantering</w:t>
      </w:r>
    </w:p>
    <w:p>
      <w:pPr>
        <w:ind w:left="720"/>
      </w:pPr>
      <w:bookmarkStart w:id="128" w:name="gf_avfall01"/>
      <w:r>
        <w:t>Avfallshantering ska ske enligt kommunens avfallsplan och föreskrifter om avfallshantering.</w:t>
      </w:r>
    </w:p>
    <w:p>
      <w:pPr>
        <w:pStyle w:val="P2"/>
      </w:pPr>
      <w:bookmarkEnd w:id="128"/>
      <w:bookmarkStart w:id="129" w:name="_Toc184651430"/>
      <w:r>
        <w:t>Ekonomiska frågor</w:t>
      </w:r>
      <w:bookmarkEnd w:id="129"/>
    </w:p>
    <w:p>
      <w:pPr>
        <w:pStyle w:val="P3"/>
        <w:spacing w:lineRule="auto" w:line="360" w:beforeAutospacing="0" w:afterAutospacing="0"/>
      </w:pPr>
      <w:r>
        <w:t xml:space="preserve">Planekonomisk bedömning </w:t>
      </w:r>
    </w:p>
    <w:p>
      <w:pPr>
        <w:ind w:left="720"/>
      </w:pPr>
      <w:bookmarkStart w:id="130" w:name="gf_planekonomiskbedömning01"/>
      <w:r>
        <w:t xml:space="preserve">Enligt 2 kap 9 § BFS 2020:8 ska planbeskrivningen redovisa en ekonomisk bedömning gällande viktiga delar av vad genomförandet av detaljplanen kan antas innebära för berörda parter. Redovisningen ska även innehålla information om den kostnadsfördelning och betalningsansvar som kan tillkomma för berörda parter i samband med genomförande av detaljplanen. </w:t>
      </w:r>
    </w:p>
    <w:p>
      <w:pPr>
        <w:ind w:left="720"/>
      </w:pPr>
      <w:r>
        <w:t>Exploatören står för kostnader för planavgiften, utbyggnad av kvartersmark, utbyggnad av allmän plats, teknisk infrastruktur, avgifter för anslutning till VA, fiber, el samt utredningar i samband med detaljplanen.</w:t>
      </w:r>
    </w:p>
    <w:p>
      <w:pPr>
        <w:pStyle w:val="P3"/>
      </w:pPr>
      <w:bookmarkEnd w:id="130"/>
      <w:r>
        <w:t xml:space="preserve">Planavgift </w:t>
      </w:r>
    </w:p>
    <w:p>
      <w:pPr>
        <w:ind w:left="720"/>
      </w:pPr>
      <w:bookmarkStart w:id="131" w:name="gf_planavgift01"/>
      <w:r>
        <w:t>Planavgift tas ut för att täcka kostnader för åtgärder som behövs för att upprätta detaljplan. Avgiften regleras genom ett planavtal som tecknas mellan Smedjebackens kommun och beställaren av detaljplanen, detta för att specificera betalningsvillkor. Avgiften tas ut i enlighet med kommunens Plan och bygglovstaxa enligt principen;</w:t>
      </w:r>
    </w:p>
    <w:p>
      <w:pPr>
        <w:pStyle w:val="P31"/>
        <w:numPr>
          <w:ilvl w:val="0"/>
          <w:numId w:val="26"/>
        </w:numPr>
      </w:pPr>
      <w:r>
        <w:t xml:space="preserve">25 procent vid planstart </w:t>
      </w:r>
    </w:p>
    <w:p>
      <w:pPr>
        <w:pStyle w:val="P31"/>
        <w:numPr>
          <w:ilvl w:val="0"/>
          <w:numId w:val="26"/>
        </w:numPr>
      </w:pPr>
      <w:r>
        <w:t xml:space="preserve">25 procent vid granskning </w:t>
      </w:r>
    </w:p>
    <w:p>
      <w:pPr>
        <w:pStyle w:val="P31"/>
        <w:numPr>
          <w:ilvl w:val="0"/>
          <w:numId w:val="26"/>
        </w:numPr>
      </w:pPr>
      <w:r>
        <w:t>50 procent vid antagande</w:t>
      </w:r>
      <w:bookmarkEnd w:id="131"/>
    </w:p>
    <w:p>
      <w:pPr>
        <w:pStyle w:val="P3"/>
      </w:pPr>
      <w:r>
        <w:t>Drift allmän plats</w:t>
      </w:r>
    </w:p>
    <w:p>
      <w:pPr>
        <w:ind w:left="720"/>
      </w:pPr>
      <w:bookmarkStart w:id="132" w:name="gf_driftallmänplats01"/>
      <w:r>
        <w:t xml:space="preserve">Inom planområdet är det enskilt huvudmannaskap för den allmänna platsen. Detta innebär att det är fastighetsägarnas gemensamma ansvar att sköta om och underhålla allmänna platsen, som inkluderar GATA inom planområdet. </w:t>
      </w:r>
    </w:p>
    <w:p>
      <w:pPr>
        <w:pStyle w:val="P3"/>
      </w:pPr>
      <w:bookmarkEnd w:id="132"/>
      <w:r>
        <w:t>Drift vatten och avlopp</w:t>
      </w:r>
    </w:p>
    <w:p>
      <w:pPr>
        <w:ind w:left="720"/>
        <w:rPr>
          <w:szCs w:val="24"/>
        </w:rPr>
      </w:pPr>
      <w:bookmarkStart w:id="133" w:name="gf_driftvattenochavlopp01"/>
      <w:r>
        <w:rPr>
          <w:szCs w:val="24"/>
        </w:rPr>
        <w:t xml:space="preserve">En ny gemensamhetsanläggning bildas för drift och underhåll av vatten- och spillvattenledningar som förvaltas gemensamt av fastighetsägarna. </w:t>
      </w:r>
    </w:p>
    <w:p>
      <w:pPr>
        <w:pStyle w:val="P2"/>
      </w:pPr>
      <w:bookmarkEnd w:id="133"/>
      <w:bookmarkStart w:id="134" w:name="_Toc184651431"/>
      <w:r>
        <w:t>Organisatoriska frågor</w:t>
      </w:r>
      <w:bookmarkEnd w:id="134"/>
    </w:p>
    <w:p>
      <w:pPr>
        <w:pStyle w:val="P3"/>
      </w:pPr>
      <w:r>
        <w:t>Tidplan</w:t>
      </w:r>
    </w:p>
    <w:p>
      <w:pPr>
        <w:ind w:left="720"/>
      </w:pPr>
      <w:bookmarkStart w:id="135" w:name="gf_tidplan01"/>
      <w:r>
        <w:t xml:space="preserve">Detaljplanen beräknas bli antagen och få laga kraft fjärde kvartalet 2024. </w:t>
      </w:r>
    </w:p>
    <w:p>
      <w:pPr>
        <w:jc w:val="center"/>
        <w:rPr>
          <w:rFonts w:ascii="Times New Roman" w:hAnsi="Times New Roman" w:cs="Times New Roman" w:eastAsiaTheme="minorHAnsi"/>
          <w:b w:val="1"/>
          <w:bCs w:val="1"/>
          <w:color w:val="C00000"/>
          <w:sz w:val="28"/>
          <w:szCs w:val="28"/>
        </w:rPr>
      </w:pPr>
      <w:bookmarkEnd w:id="135"/>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p>
    <w:p>
      <w:pPr>
        <w:jc w:val="center"/>
        <w:rPr>
          <w:rFonts w:ascii="Times New Roman" w:hAnsi="Times New Roman" w:cs="Times New Roman" w:eastAsiaTheme="minorHAnsi"/>
          <w:b w:val="1"/>
          <w:bCs w:val="1"/>
          <w:color w:val="C00000"/>
          <w:sz w:val="28"/>
          <w:szCs w:val="28"/>
        </w:rPr>
      </w:pPr>
      <w:r>
        <w:rPr>
          <w:rFonts w:ascii="Times New Roman" w:hAnsi="Times New Roman" w:cs="Times New Roman" w:eastAsiaTheme="minorHAnsi"/>
          <w:b w:val="1"/>
          <w:bCs w:val="1"/>
          <w:color w:val="C00000"/>
          <w:sz w:val="28"/>
          <w:szCs w:val="28"/>
        </w:rPr>
        <w:t>Medverkande</w:t>
      </w:r>
    </w:p>
    <w:p>
      <w:pPr>
        <w:jc w:val="center"/>
        <w:rPr>
          <w:rFonts w:ascii="Times New Roman" w:hAnsi="Times New Roman" w:cs="Times New Roman" w:eastAsiaTheme="minorHAnsi"/>
          <w:sz w:val="22"/>
        </w:rPr>
      </w:pPr>
      <w:r>
        <w:rPr>
          <w:rFonts w:ascii="Times New Roman" w:hAnsi="Times New Roman" w:cs="Times New Roman" w:eastAsiaTheme="minorHAnsi"/>
          <w:sz w:val="22"/>
        </w:rPr>
        <w:t>Handlingarna har upprättats av Miljö- och byggkontoret.</w:t>
      </w:r>
    </w:p>
    <w:p>
      <w:pPr>
        <w:spacing w:lineRule="auto" w:line="360" w:beforeAutospacing="0" w:afterAutospacing="0"/>
        <w:rPr>
          <w:rFonts w:eastAsiaTheme="minorHAnsi"/>
          <w:szCs w:val="24"/>
        </w:rPr>
      </w:pPr>
      <w:r>
        <w:rPr>
          <w:rFonts w:eastAsiaTheme="minorHAnsi"/>
          <w:szCs w:val="24"/>
        </w:rPr>
        <w:t xml:space="preserve">                                                           Smedjebackens kommun </w:t>
      </w:r>
    </w:p>
    <w:p>
      <w:pPr>
        <w:spacing w:lineRule="auto" w:line="360" w:beforeAutospacing="0" w:afterAutospacing="0"/>
        <w:rPr>
          <w:rFonts w:eastAsiaTheme="minorHAnsi"/>
          <w:szCs w:val="24"/>
        </w:rPr>
      </w:pPr>
    </w:p>
    <w:p>
      <w:pPr>
        <w:spacing w:lineRule="auto" w:line="240" w:after="0" w:beforeAutospacing="0" w:afterAutospacing="0"/>
        <w:ind w:left="1304"/>
        <w:jc w:val="both"/>
        <w:rPr>
          <w:rFonts w:eastAsiaTheme="minorHAnsi"/>
          <w:i w:val="1"/>
          <w:iCs w:val="1"/>
          <w:szCs w:val="24"/>
        </w:rPr>
      </w:pPr>
      <w:r>
        <w:rPr>
          <w:rFonts w:eastAsiaTheme="minorHAnsi"/>
          <w:i w:val="1"/>
          <w:iCs w:val="1"/>
          <w:szCs w:val="24"/>
        </w:rPr>
        <w:t xml:space="preserve">      Gunilla Skoog                                                  Samir Hazrat</w:t>
      </w:r>
    </w:p>
    <w:p>
      <w:pPr>
        <w:spacing w:lineRule="auto" w:line="360" w:beforeAutospacing="0" w:afterAutospacing="0"/>
        <w:ind w:left="1304"/>
        <w:jc w:val="both"/>
        <w:rPr>
          <w:rFonts w:eastAsiaTheme="minorHAnsi"/>
          <w:i w:val="1"/>
          <w:iCs w:val="1"/>
          <w:szCs w:val="24"/>
        </w:rPr>
      </w:pPr>
      <w:r>
        <w:rPr>
          <w:rFonts w:eastAsiaTheme="minorHAnsi"/>
          <w:i w:val="1"/>
          <w:iCs w:val="1"/>
          <w:szCs w:val="24"/>
        </w:rPr>
        <w:t xml:space="preserve">      Miljö- och byggchef                                        Planarkitekt</w:t>
      </w: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szCs w:val="24"/>
        </w:rPr>
      </w:pPr>
      <w:r>
        <w:rPr>
          <w:rFonts w:ascii="Calibri" w:hAnsi="Calibri" w:cs="Times New Roman" w:eastAsia="Times New Roman"/>
          <w:noProof w:val="1"/>
          <w:sz w:val="22"/>
          <w:lang w:eastAsia="sv-SE"/>
        </w:rPr>
        <w:drawing>
          <wp:anchor xmlns:wp="http://schemas.openxmlformats.org/drawingml/2006/wordprocessingDrawing" distT="0" distB="0" distL="114300" distR="114300" simplePos="0" relativeHeight="8" behindDoc="0" locked="0" layoutInCell="1" allowOverlap="1">
            <wp:simplePos x="0" y="0"/>
            <wp:positionH relativeFrom="margin">
              <wp:align>center</wp:align>
            </wp:positionH>
            <wp:positionV relativeFrom="paragraph">
              <wp:posOffset>95885</wp:posOffset>
            </wp:positionV>
            <wp:extent cx="2635250" cy="414020"/>
            <wp:effectExtent l="0" t="0" r="0" b="5080"/>
            <wp:wrapThrough wrapText="bothSides">
              <wp:wrapPolygon edited="0">
                <wp:start x="0" y="0"/>
                <wp:lineTo x="0" y="14908"/>
                <wp:lineTo x="13585" y="18883"/>
                <wp:lineTo x="14521" y="20871"/>
                <wp:lineTo x="15771" y="20871"/>
                <wp:lineTo x="16707" y="20871"/>
                <wp:lineTo x="21392" y="19877"/>
                <wp:lineTo x="21392" y="0"/>
                <wp:lineTo x="0" y="0"/>
              </wp:wrapPolygon>
            </wp:wrapThrough>
            <wp:docPr id="42" name="Bildobjekt 2" descr="En bild som visar text, porslin, ko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2635250" cy="414020"/>
                    </a:xfrm>
                    <a:prstGeom prst="rect"/>
                    <a:noFill/>
                    <a:ln>
                      <a:noFill/>
                    </a:ln>
                  </pic:spPr>
                </pic:pic>
              </a:graphicData>
            </a:graphic>
          </wp:anchor>
        </w:drawing>
      </w:r>
    </w:p>
    <w:p>
      <w:pPr>
        <w:spacing w:lineRule="auto" w:line="360" w:beforeAutospacing="0" w:afterAutospacing="0"/>
        <w:jc w:val="both"/>
        <w:rPr>
          <w:rFonts w:eastAsiaTheme="minorHAnsi"/>
          <w:szCs w:val="24"/>
        </w:rPr>
      </w:pPr>
    </w:p>
    <w:p>
      <w:pPr>
        <w:widowControl w:val="0"/>
        <w:spacing w:lineRule="auto" w:line="288" w:after="0" w:beforeAutospacing="0" w:afterAutospacing="0"/>
        <w:jc w:val="center"/>
        <w:rPr>
          <w:rFonts w:cstheme="minorHAnsi" w:eastAsia="Times New Roman"/>
          <w:color w:val="000000"/>
          <w:szCs w:val="24"/>
        </w:rPr>
      </w:pPr>
      <w:r>
        <w:rPr>
          <w:rFonts w:cstheme="minorHAnsi" w:eastAsia="Times New Roman"/>
          <w:color w:val="000000"/>
          <w:szCs w:val="24"/>
        </w:rPr>
        <w:t xml:space="preserve">Smedjebackens kommun • Miljö- och byggkontoret • 777 81 Smedjebacken </w:t>
      </w:r>
    </w:p>
    <w:p>
      <w:pPr>
        <w:widowControl w:val="0"/>
        <w:spacing w:lineRule="auto" w:line="288" w:after="0" w:beforeAutospacing="0" w:afterAutospacing="0"/>
        <w:jc w:val="center"/>
        <w:rPr>
          <w:rFonts w:cstheme="minorHAnsi" w:eastAsia="Times New Roman"/>
          <w:color w:val="000000"/>
          <w:szCs w:val="24"/>
        </w:rPr>
      </w:pPr>
      <w:r>
        <w:rPr>
          <w:rFonts w:cstheme="minorHAnsi" w:eastAsia="Times New Roman"/>
          <w:color w:val="000000"/>
          <w:szCs w:val="24"/>
        </w:rPr>
        <w:t xml:space="preserve"> E-post: miljobygg@smedjebacken.se • Telefon: 0240-66 00 00 • Säte Smedjebacken</w:t>
      </w:r>
    </w:p>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7" w:right="1417" w:top="1417" w:bottom="1417" w:header="708" w:footer="708"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tabs>
        <w:tab w:val="clear" w:pos="9072" w:leader="none"/>
      </w:tabs>
      <w:spacing w:after="40" w:beforeAutospacing="0" w:afterAutospacing="0"/>
      <w:ind w:left="-1418" w:right="-709"/>
      <w:jc w:val="center"/>
      <w:rPr>
        <w:rFonts w:ascii="Times New Roman" w:hAnsi="Times New Roman" w:cs="Arial"/>
        <w:sz w:val="20"/>
        <w:szCs w:val="20"/>
      </w:rPr>
    </w:pPr>
    <w:r>
      <w:rPr>
        <w:rFonts w:ascii="Times New Roman" w:hAnsi="Times New Roman" w:cs="Arial"/>
        <w:sz w:val="20"/>
        <w:szCs w:val="20"/>
      </w:rPr>
      <w:t xml:space="preserve">Smedjebackens kommun </w:t>
    </w:r>
    <w:r>
      <w:rPr>
        <w:rFonts w:ascii="Wingdings" w:hAnsi="Wingdings" w:cs="Wingdings" w:eastAsia="Wingdings"/>
        <w:sz w:val="20"/>
        <w:szCs w:val="20"/>
      </w:rPr>
      <w:t></w:t>
    </w:r>
    <w:r>
      <w:rPr>
        <w:rFonts w:ascii="Times New Roman" w:hAnsi="Times New Roman" w:cs="Arial"/>
        <w:sz w:val="20"/>
        <w:szCs w:val="20"/>
      </w:rPr>
      <w:t xml:space="preserve"> 777 81 Smedjebacken </w:t>
    </w:r>
    <w:r>
      <w:rPr>
        <w:rFonts w:ascii="Wingdings" w:hAnsi="Wingdings" w:cs="Wingdings" w:eastAsia="Wingdings"/>
        <w:sz w:val="20"/>
        <w:szCs w:val="20"/>
      </w:rPr>
      <w:t></w:t>
    </w:r>
    <w:r>
      <w:rPr>
        <w:rFonts w:ascii="Times New Roman" w:hAnsi="Times New Roman" w:cs="Arial"/>
        <w:sz w:val="20"/>
        <w:szCs w:val="20"/>
      </w:rPr>
      <w:t xml:space="preserve"> E-post </w:t>
    </w:r>
    <w:r>
      <w:rPr>
        <w:rFonts w:ascii="Wingdings" w:hAnsi="Wingdings" w:cs="Wingdings" w:eastAsia="Wingdings"/>
        <w:sz w:val="20"/>
        <w:szCs w:val="20"/>
      </w:rPr>
      <w:t></w:t>
    </w:r>
    <w:r>
      <w:rPr>
        <w:rFonts w:ascii="Times New Roman" w:hAnsi="Times New Roman" w:cs="Arial"/>
        <w:sz w:val="20"/>
        <w:szCs w:val="20"/>
      </w:rPr>
      <w:t xml:space="preserve"> kommun@smedjebacken.se</w:t>
    </w:r>
  </w:p>
  <w:p>
    <w:pPr>
      <w:pStyle w:val="P11"/>
      <w:tabs>
        <w:tab w:val="clear" w:pos="9072" w:leader="none"/>
      </w:tabs>
      <w:spacing w:after="40" w:beforeAutospacing="0" w:afterAutospacing="0"/>
      <w:ind w:left="-1418" w:right="-709"/>
      <w:jc w:val="center"/>
      <w:rPr>
        <w:rFonts w:ascii="Times New Roman" w:hAnsi="Times New Roman" w:cs="Arial"/>
        <w:sz w:val="20"/>
        <w:szCs w:val="20"/>
      </w:rPr>
    </w:pPr>
    <w:r>
      <w:rPr>
        <w:rFonts w:ascii="Times New Roman" w:hAnsi="Times New Roman" w:cs="Arial"/>
        <w:sz w:val="20"/>
        <w:szCs w:val="20"/>
      </w:rPr>
      <w:t xml:space="preserve">Telefon: 0240-66 00 00 </w:t>
    </w:r>
    <w:r>
      <w:rPr>
        <w:rFonts w:ascii="Wingdings" w:hAnsi="Wingdings" w:cs="Wingdings" w:eastAsia="Wingdings"/>
        <w:sz w:val="20"/>
        <w:szCs w:val="20"/>
      </w:rPr>
      <w:t></w:t>
    </w:r>
    <w:r>
      <w:rPr>
        <w:rFonts w:ascii="Times New Roman" w:hAnsi="Times New Roman" w:cs="Arial"/>
        <w:sz w:val="20"/>
        <w:szCs w:val="20"/>
      </w:rPr>
      <w:t xml:space="preserve"> Telefax: 0240-742 41 </w:t>
    </w:r>
    <w:r>
      <w:rPr>
        <w:rFonts w:ascii="Wingdings" w:hAnsi="Wingdings" w:cs="Wingdings" w:eastAsia="Wingdings"/>
        <w:sz w:val="20"/>
        <w:szCs w:val="20"/>
      </w:rPr>
      <w:t></w:t>
    </w:r>
    <w:r>
      <w:rPr>
        <w:rFonts w:ascii="Times New Roman" w:hAnsi="Times New Roman" w:cs="Arial"/>
        <w:sz w:val="20"/>
        <w:szCs w:val="20"/>
      </w:rPr>
      <w:t xml:space="preserve"> Bankgiro:820–9538 </w:t>
    </w:r>
    <w:r>
      <w:rPr>
        <w:rFonts w:ascii="Wingdings" w:hAnsi="Wingdings" w:cs="Wingdings" w:eastAsia="Wingdings"/>
        <w:sz w:val="20"/>
        <w:szCs w:val="20"/>
      </w:rPr>
      <w:t></w:t>
    </w:r>
    <w:r>
      <w:rPr>
        <w:rFonts w:ascii="Times New Roman" w:hAnsi="Times New Roman" w:cs="Arial"/>
        <w:sz w:val="20"/>
        <w:szCs w:val="20"/>
      </w:rPr>
      <w:t xml:space="preserve"> Org.nr: SE2120002205 </w:t>
    </w:r>
    <w:r>
      <w:rPr>
        <w:rFonts w:ascii="Wingdings" w:hAnsi="Wingdings" w:cs="Wingdings" w:eastAsia="Wingdings"/>
        <w:sz w:val="20"/>
        <w:szCs w:val="20"/>
      </w:rPr>
      <w:t></w:t>
    </w:r>
    <w:r>
      <w:rPr>
        <w:rFonts w:ascii="Times New Roman" w:hAnsi="Times New Roman" w:cs="Arial"/>
        <w:sz w:val="20"/>
        <w:szCs w:val="20"/>
      </w:rPr>
      <w:t xml:space="preserve"> Säte Smedjebacken</w:t>
    </w:r>
  </w:p>
  <w:p>
    <w:pPr>
      <w:pStyle w:val="P11"/>
    </w:pPr>
    <w:r>
      <w:rPr>
        <w:rFonts w:ascii="Times New Roman" w:hAnsi="Times New Roman" w:cs="Arial" w:eastAsia="Calibri"/>
        <w:noProof w:val="1"/>
        <w:color w:val="C00000"/>
        <w:sz w:val="44"/>
        <w:szCs w:val="44"/>
        <w:lang w:eastAsia="sv-SE"/>
      </w:rPr>
      <w:drawing>
        <wp:anchor xmlns:wp="http://schemas.openxmlformats.org/drawingml/2006/wordprocessingDrawing" distT="0" distB="0" distL="114300" distR="114300" simplePos="0" relativeHeight="251659265" behindDoc="1" locked="0" layoutInCell="1" allowOverlap="1">
          <wp:simplePos x="0" y="0"/>
          <wp:positionH relativeFrom="column">
            <wp:posOffset>2668270</wp:posOffset>
          </wp:positionH>
          <wp:positionV relativeFrom="page">
            <wp:posOffset>5824220</wp:posOffset>
          </wp:positionV>
          <wp:extent cx="5759450" cy="5759450"/>
          <wp:effectExtent l="0" t="0" r="0" b="0"/>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B_kugghjul_grey.png"/>
                  <pic:cNvPicPr/>
                </pic:nvPicPr>
                <pic:blipFill dpi="0">
                  <a:blip xmlns:r="http://schemas.openxmlformats.org/officeDocument/2006/relationships" r:embed="Relimage19"/>
                  <a:srcRect/>
                  <a:stretch>
                    <a:fillRect/>
                  </a:stretch>
                </pic:blipFill>
                <pic:spPr>
                  <a:xfrm>
                    <a:off x="0" y="0"/>
                    <a:ext cx="5759450" cy="5759450"/>
                  </a:xfrm>
                  <a:prstGeom prst="rect"/>
                </pic:spPr>
              </pic:pic>
            </a:graphicData>
          </a:graphic>
        </wp:anchor>
      </w:drawing>
    </w:r>
  </w:p>
  <w:p>
    <w:pPr>
      <w:pStyle w:val="P11"/>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pPr>
    <w:r>
      <w:fldChar w:fldCharType="begin"/>
    </w:r>
    <w:r>
      <w:instrText xml:space="preserve">PAGE   \* MERGEFORMAT</w:instrText>
    </w:r>
    <w:r>
      <w:fldChar w:fldCharType="separate"/>
    </w:r>
    <w:r>
      <w:t>#</w:t>
    </w:r>
    <w:r>
      <w:fldChar w:fldCharType="end"/>
    </w:r>
  </w:p>
  <w:p>
    <w:pPr>
      <w:pStyle w:val="P11"/>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6" behindDoc="1" locked="0" layoutInCell="1" allowOverlap="1">
          <wp:simplePos x="0" y="0"/>
          <wp:positionH relativeFrom="margin">
            <wp:align>left</wp:align>
          </wp:positionH>
          <wp:positionV relativeFrom="paragraph">
            <wp:posOffset>-86360</wp:posOffset>
          </wp:positionV>
          <wp:extent cx="2483485" cy="384810"/>
          <wp:effectExtent l="0" t="0" r="0" b="0"/>
          <wp:wrapSquare wrapText="bothSides"/>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2483485" cy="384810"/>
                  </a:xfrm>
                  <a:prstGeom prst="rect"/>
                  <a:noFill/>
                  <a:ln>
                    <a:noFill/>
                  </a:ln>
                </pic:spPr>
              </pic:pic>
            </a:graphicData>
          </a:graphic>
        </wp:anchor>
      </w:drawing>
    </w:r>
    <w:r>
      <w:t xml:space="preserve">                                                MBN 2024 – 54</w:t>
    </w:r>
  </w:p>
  <w:p>
    <w:pPr>
      <w:pStyle w:val="P10"/>
      <w:jc w:val="center"/>
    </w:pPr>
    <w:r>
      <w:t xml:space="preserve">                                     Lagakrafthandling</w:t>
    </w:r>
  </w:p>
  <w:p>
    <w:pPr>
      <w:pStyle w:val="P10"/>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4" behindDoc="1" locked="0" layoutInCell="1" allowOverlap="1">
          <wp:simplePos x="0" y="0"/>
          <wp:positionH relativeFrom="margin">
            <wp:align>left</wp:align>
          </wp:positionH>
          <wp:positionV relativeFrom="paragraph">
            <wp:posOffset>-86360</wp:posOffset>
          </wp:positionV>
          <wp:extent cx="2483485" cy="384810"/>
          <wp:effectExtent l="0" t="0" r="0" b="0"/>
          <wp:wrapSquare wrapText="bothSides"/>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8"/>
                  <a:srcRect/>
                  <a:stretch>
                    <a:fillRect/>
                  </a:stretch>
                </pic:blipFill>
                <pic:spPr bwMode="auto">
                  <a:xfrm>
                    <a:off x="0" y="0"/>
                    <a:ext cx="2483485" cy="384810"/>
                  </a:xfrm>
                  <a:prstGeom prst="rect"/>
                  <a:noFill/>
                  <a:ln>
                    <a:noFill/>
                  </a:ln>
                </pic:spPr>
              </pic:pic>
            </a:graphicData>
          </a:graphic>
        </wp:anchor>
      </w:drawing>
    </w:r>
    <w:r>
      <w:t xml:space="preserve">                                                      MBN 2024 – 54</w:t>
    </w:r>
  </w:p>
  <w:p>
    <w:pPr>
      <w:pStyle w:val="P10"/>
      <w:jc w:val="center"/>
    </w:pPr>
    <w:r>
      <w:t xml:space="preserve">                                                 Lagakrafthandling</w:t>
    </w:r>
  </w:p>
</w:hdr>
</file>

<file path=word/numbering.xml><?xml version="1.0" encoding="utf-8"?>
<w:numbering xmlns:w="http://schemas.openxmlformats.org/wordprocessingml/2006/main">
  <w:abstractNum w:abstractNumId="0">
    <w:nsid w:val="05F24489"/>
    <w:multiLevelType w:val="hybridMultilevel"/>
    <w:lvl w:ilvl="0" w:tplc="ED9C0FFE">
      <w:start w:val="0"/>
      <w:numFmt w:val="bullet"/>
      <w:suff w:val="tab"/>
      <w:lvlText w:val=""/>
      <w:lvlJc w:val="left"/>
      <w:pPr>
        <w:ind w:hanging="360" w:left="720"/>
      </w:pPr>
      <w:rPr>
        <w:rFonts w:ascii="Symbol" w:hAnsi="Symbol" w:cs="Times New Roman"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6615F1F"/>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
    <w:nsid w:val="10245704"/>
    <w:multiLevelType w:val="multilevel"/>
    <w:lvl w:ilvl="0">
      <w:start w:val="1"/>
      <w:numFmt w:val="decimal"/>
      <w:pStyle w:val="P14"/>
      <w:suff w:val="tab"/>
      <w:lvlText w:val="%1"/>
      <w:lvlJc w:val="left"/>
      <w:pPr>
        <w:ind w:hanging="432" w:left="432"/>
      </w:pPr>
      <w:rPr>
        <w:rFonts w:hint="default"/>
      </w:rPr>
    </w:lvl>
    <w:lvl w:ilvl="1">
      <w:start w:val="1"/>
      <w:numFmt w:val="decimal"/>
      <w:pStyle w:val="P15"/>
      <w:suff w:val="space"/>
      <w:lvlText w:val="%1.%2"/>
      <w:lvlJc w:val="left"/>
      <w:pPr>
        <w:ind w:hanging="463" w:left="576"/>
      </w:pPr>
      <w:rPr>
        <w:rFonts w:hint="default"/>
      </w:rPr>
    </w:lvl>
    <w:lvl w:ilvl="2">
      <w:start w:val="1"/>
      <w:numFmt w:val="decimal"/>
      <w:pStyle w:val="P16"/>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3">
    <w:nsid w:val="1482775B"/>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4">
    <w:nsid w:val="14FE17E7"/>
    <w:multiLevelType w:val="hybridMultilevel"/>
    <w:lvl w:ilvl="0" w:tplc="846A6C7E">
      <w:start w:val="2085"/>
      <w:numFmt w:val="bullet"/>
      <w:suff w:val="tab"/>
      <w:lvlText w:val="-"/>
      <w:lvlJc w:val="left"/>
      <w:pPr>
        <w:ind w:hanging="360" w:left="1080"/>
      </w:pPr>
      <w:rPr>
        <w:rFonts w:ascii="Calibri" w:hAnsi="Calibri" w:cs="Calibri" w:eastAsiaTheme="minorEastAsia"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5">
    <w:nsid w:val="1E1D79A1"/>
    <w:multiLevelType w:val="multilevel"/>
    <w:lvl w:ilvl="0">
      <w:start w:val="1"/>
      <w:numFmt w:val="decimal"/>
      <w:suff w:val="tab"/>
      <w:lvlText w:val="%1"/>
      <w:lvlJc w:val="left"/>
      <w:pPr>
        <w:ind w:hanging="432" w:left="432"/>
      </w:pPr>
      <w:rPr>
        <w:rFonts w:ascii="Calibri" w:hAnsi="Calibri" w:hint="default"/>
        <w:b w:val="1"/>
        <w:i w:val="0"/>
        <w:sz w:val="32"/>
      </w:rPr>
    </w:lvl>
    <w:lvl w:ilvl="1">
      <w:start w:val="1"/>
      <w:numFmt w:val="decimal"/>
      <w:suff w:val="space"/>
      <w:lvlText w:val="%1.%2"/>
      <w:lvlJc w:val="left"/>
      <w:pPr>
        <w:ind w:hanging="463" w:left="576"/>
      </w:pPr>
      <w:rPr>
        <w:rFonts w:ascii="Calibri" w:hAnsi="Calibri" w:hint="default"/>
        <w:b w:val="0"/>
        <w:i w:val="0"/>
        <w:sz w:val="28"/>
      </w:rPr>
    </w:lvl>
    <w:lvl w:ilvl="2">
      <w:start w:val="1"/>
      <w:numFmt w:val="decimal"/>
      <w:suff w:val="space"/>
      <w:lvlText w:val="%1.%2.%3"/>
      <w:lvlJc w:val="left"/>
      <w:pPr>
        <w:ind w:hanging="380" w:left="720"/>
      </w:pPr>
      <w:rPr>
        <w:rFonts w:ascii="Calibri" w:hAnsi="Calibri" w:hint="default"/>
        <w:b w:val="1"/>
        <w:i w:val="0"/>
        <w:sz w:val="24"/>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6">
    <w:nsid w:val="21A270B4"/>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7">
    <w:nsid w:val="3CB95366"/>
    <w:multiLevelType w:val="hybridMultilevel"/>
    <w:lvl w:ilvl="0" w:tplc="041D0001">
      <w:start w:val="1"/>
      <w:numFmt w:val="bullet"/>
      <w:suff w:val="tab"/>
      <w:lvlText w:val=""/>
      <w:lvlJc w:val="left"/>
      <w:pPr>
        <w:ind w:hanging="360" w:left="2024"/>
      </w:pPr>
      <w:rPr>
        <w:rFonts w:ascii="Symbol" w:hAnsi="Symbol" w:hint="default"/>
      </w:rPr>
    </w:lvl>
    <w:lvl w:ilvl="1" w:tplc="041D0003">
      <w:start w:val="1"/>
      <w:numFmt w:val="bullet"/>
      <w:suff w:val="tab"/>
      <w:lvlText w:val="o"/>
      <w:lvlJc w:val="left"/>
      <w:pPr>
        <w:ind w:hanging="360" w:left="2744"/>
      </w:pPr>
      <w:rPr>
        <w:rFonts w:ascii="Courier New" w:hAnsi="Courier New" w:cs="Courier New" w:hint="default"/>
      </w:rPr>
    </w:lvl>
    <w:lvl w:ilvl="2" w:tplc="041D0005">
      <w:start w:val="1"/>
      <w:numFmt w:val="bullet"/>
      <w:suff w:val="tab"/>
      <w:lvlText w:val=""/>
      <w:lvlJc w:val="left"/>
      <w:pPr>
        <w:ind w:hanging="360" w:left="3464"/>
      </w:pPr>
      <w:rPr>
        <w:rFonts w:ascii="Wingdings" w:hAnsi="Wingdings" w:hint="default"/>
      </w:rPr>
    </w:lvl>
    <w:lvl w:ilvl="3" w:tplc="041D0001">
      <w:start w:val="1"/>
      <w:numFmt w:val="bullet"/>
      <w:suff w:val="tab"/>
      <w:lvlText w:val=""/>
      <w:lvlJc w:val="left"/>
      <w:pPr>
        <w:ind w:hanging="360" w:left="4184"/>
      </w:pPr>
      <w:rPr>
        <w:rFonts w:ascii="Symbol" w:hAnsi="Symbol" w:hint="default"/>
      </w:rPr>
    </w:lvl>
    <w:lvl w:ilvl="4" w:tplc="041D0003">
      <w:start w:val="1"/>
      <w:numFmt w:val="bullet"/>
      <w:suff w:val="tab"/>
      <w:lvlText w:val="o"/>
      <w:lvlJc w:val="left"/>
      <w:pPr>
        <w:ind w:hanging="360" w:left="4904"/>
      </w:pPr>
      <w:rPr>
        <w:rFonts w:ascii="Courier New" w:hAnsi="Courier New" w:cs="Courier New" w:hint="default"/>
      </w:rPr>
    </w:lvl>
    <w:lvl w:ilvl="5" w:tplc="041D0005">
      <w:start w:val="1"/>
      <w:numFmt w:val="bullet"/>
      <w:suff w:val="tab"/>
      <w:lvlText w:val=""/>
      <w:lvlJc w:val="left"/>
      <w:pPr>
        <w:ind w:hanging="360" w:left="5624"/>
      </w:pPr>
      <w:rPr>
        <w:rFonts w:ascii="Wingdings" w:hAnsi="Wingdings" w:hint="default"/>
      </w:rPr>
    </w:lvl>
    <w:lvl w:ilvl="6" w:tplc="041D0001">
      <w:start w:val="1"/>
      <w:numFmt w:val="bullet"/>
      <w:suff w:val="tab"/>
      <w:lvlText w:val=""/>
      <w:lvlJc w:val="left"/>
      <w:pPr>
        <w:ind w:hanging="360" w:left="6344"/>
      </w:pPr>
      <w:rPr>
        <w:rFonts w:ascii="Symbol" w:hAnsi="Symbol" w:hint="default"/>
      </w:rPr>
    </w:lvl>
    <w:lvl w:ilvl="7" w:tplc="041D0003">
      <w:start w:val="1"/>
      <w:numFmt w:val="bullet"/>
      <w:suff w:val="tab"/>
      <w:lvlText w:val="o"/>
      <w:lvlJc w:val="left"/>
      <w:pPr>
        <w:ind w:hanging="360" w:left="7064"/>
      </w:pPr>
      <w:rPr>
        <w:rFonts w:ascii="Courier New" w:hAnsi="Courier New" w:cs="Courier New" w:hint="default"/>
      </w:rPr>
    </w:lvl>
    <w:lvl w:ilvl="8" w:tplc="041D0005">
      <w:start w:val="1"/>
      <w:numFmt w:val="bullet"/>
      <w:suff w:val="tab"/>
      <w:lvlText w:val=""/>
      <w:lvlJc w:val="left"/>
      <w:pPr>
        <w:ind w:hanging="360" w:left="7784"/>
      </w:pPr>
      <w:rPr>
        <w:rFonts w:ascii="Wingdings" w:hAnsi="Wingdings" w:hint="default"/>
      </w:rPr>
    </w:lvl>
  </w:abstractNum>
  <w:abstractNum w:abstractNumId="8">
    <w:nsid w:val="44EF5055"/>
    <w:multiLevelType w:val="hybridMultilevel"/>
    <w:lvl w:ilvl="0" w:tplc="98B277AC">
      <w:start w:val="0"/>
      <w:numFmt w:val="bullet"/>
      <w:suff w:val="tab"/>
      <w:lvlText w:val=""/>
      <w:lvlJc w:val="left"/>
      <w:pPr>
        <w:ind w:hanging="360" w:left="1440"/>
      </w:pPr>
      <w:rPr>
        <w:rFonts w:ascii="Symbol" w:hAnsi="Symbol" w:cstheme="minorBidi" w:eastAsiaTheme="minorEastAsia"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9">
    <w:nsid w:val="44FB1BF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0">
    <w:nsid w:val="4B3C12A9"/>
    <w:multiLevelType w:val="hybridMultilevel"/>
    <w:lvl w:ilvl="0" w:tplc="8A160518">
      <w:start w:val="0"/>
      <w:numFmt w:val="bullet"/>
      <w:suff w:val="tab"/>
      <w:lvlText w:val=""/>
      <w:lvlJc w:val="left"/>
      <w:pPr>
        <w:ind w:hanging="360" w:left="936"/>
      </w:pPr>
      <w:rPr>
        <w:rFonts w:ascii="Symbol" w:hAnsi="Symbol" w:cstheme="minorBidi" w:eastAsiaTheme="minorEastAsia" w:hint="default"/>
      </w:rPr>
    </w:lvl>
    <w:lvl w:ilvl="1" w:tplc="041D0003">
      <w:start w:val="1"/>
      <w:numFmt w:val="bullet"/>
      <w:suff w:val="tab"/>
      <w:lvlText w:val="o"/>
      <w:lvlJc w:val="left"/>
      <w:pPr>
        <w:ind w:hanging="360" w:left="1656"/>
      </w:pPr>
      <w:rPr>
        <w:rFonts w:ascii="Courier New" w:hAnsi="Courier New" w:cs="Courier New" w:hint="default"/>
      </w:rPr>
    </w:lvl>
    <w:lvl w:ilvl="2" w:tplc="041D0005">
      <w:start w:val="1"/>
      <w:numFmt w:val="bullet"/>
      <w:suff w:val="tab"/>
      <w:lvlText w:val=""/>
      <w:lvlJc w:val="left"/>
      <w:pPr>
        <w:ind w:hanging="360" w:left="2376"/>
      </w:pPr>
      <w:rPr>
        <w:rFonts w:ascii="Wingdings" w:hAnsi="Wingdings" w:hint="default"/>
      </w:rPr>
    </w:lvl>
    <w:lvl w:ilvl="3" w:tplc="041D0001">
      <w:start w:val="1"/>
      <w:numFmt w:val="bullet"/>
      <w:suff w:val="tab"/>
      <w:lvlText w:val=""/>
      <w:lvlJc w:val="left"/>
      <w:pPr>
        <w:ind w:hanging="360" w:left="3096"/>
      </w:pPr>
      <w:rPr>
        <w:rFonts w:ascii="Symbol" w:hAnsi="Symbol" w:hint="default"/>
      </w:rPr>
    </w:lvl>
    <w:lvl w:ilvl="4" w:tplc="041D0003">
      <w:start w:val="1"/>
      <w:numFmt w:val="bullet"/>
      <w:suff w:val="tab"/>
      <w:lvlText w:val="o"/>
      <w:lvlJc w:val="left"/>
      <w:pPr>
        <w:ind w:hanging="360" w:left="3816"/>
      </w:pPr>
      <w:rPr>
        <w:rFonts w:ascii="Courier New" w:hAnsi="Courier New" w:cs="Courier New" w:hint="default"/>
      </w:rPr>
    </w:lvl>
    <w:lvl w:ilvl="5" w:tplc="041D0005">
      <w:start w:val="1"/>
      <w:numFmt w:val="bullet"/>
      <w:suff w:val="tab"/>
      <w:lvlText w:val=""/>
      <w:lvlJc w:val="left"/>
      <w:pPr>
        <w:ind w:hanging="360" w:left="4536"/>
      </w:pPr>
      <w:rPr>
        <w:rFonts w:ascii="Wingdings" w:hAnsi="Wingdings" w:hint="default"/>
      </w:rPr>
    </w:lvl>
    <w:lvl w:ilvl="6" w:tplc="041D0001">
      <w:start w:val="1"/>
      <w:numFmt w:val="bullet"/>
      <w:suff w:val="tab"/>
      <w:lvlText w:val=""/>
      <w:lvlJc w:val="left"/>
      <w:pPr>
        <w:ind w:hanging="360" w:left="5256"/>
      </w:pPr>
      <w:rPr>
        <w:rFonts w:ascii="Symbol" w:hAnsi="Symbol" w:hint="default"/>
      </w:rPr>
    </w:lvl>
    <w:lvl w:ilvl="7" w:tplc="041D0003">
      <w:start w:val="1"/>
      <w:numFmt w:val="bullet"/>
      <w:suff w:val="tab"/>
      <w:lvlText w:val="o"/>
      <w:lvlJc w:val="left"/>
      <w:pPr>
        <w:ind w:hanging="360" w:left="5976"/>
      </w:pPr>
      <w:rPr>
        <w:rFonts w:ascii="Courier New" w:hAnsi="Courier New" w:cs="Courier New" w:hint="default"/>
      </w:rPr>
    </w:lvl>
    <w:lvl w:ilvl="8" w:tplc="041D0005">
      <w:start w:val="1"/>
      <w:numFmt w:val="bullet"/>
      <w:suff w:val="tab"/>
      <w:lvlText w:val=""/>
      <w:lvlJc w:val="left"/>
      <w:pPr>
        <w:ind w:hanging="360" w:left="6696"/>
      </w:pPr>
      <w:rPr>
        <w:rFonts w:ascii="Wingdings" w:hAnsi="Wingdings" w:hint="default"/>
      </w:rPr>
    </w:lvl>
  </w:abstractNum>
  <w:abstractNum w:abstractNumId="11">
    <w:nsid w:val="51492B09"/>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2">
    <w:nsid w:val="5524104F"/>
    <w:multiLevelType w:val="hybridMultilevel"/>
    <w:lvl w:ilvl="0" w:tplc="8E38728A">
      <w:start w:val="0"/>
      <w:numFmt w:val="bullet"/>
      <w:suff w:val="tab"/>
      <w:lvlText w:val=""/>
      <w:lvlJc w:val="left"/>
      <w:pPr>
        <w:ind w:hanging="360" w:left="720"/>
      </w:pPr>
      <w:rPr>
        <w:rFonts w:ascii="Symbol" w:hAnsi="Symbol" w:cstheme="minorBidi"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67AD1B58"/>
    <w:multiLevelType w:val="hybridMultilevel"/>
    <w:lvl w:ilvl="0" w:tplc="8E38728A">
      <w:start w:val="0"/>
      <w:numFmt w:val="bullet"/>
      <w:suff w:val="tab"/>
      <w:lvlText w:val=""/>
      <w:lvlJc w:val="left"/>
      <w:pPr>
        <w:ind w:hanging="360" w:left="1080"/>
      </w:pPr>
      <w:rPr>
        <w:rFonts w:ascii="Symbol" w:hAnsi="Symbol" w:cstheme="minorBidi" w:eastAsiaTheme="minorEastAsia"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14">
    <w:nsid w:val="7B78007E"/>
    <w:multiLevelType w:val="hybridMultilevel"/>
    <w:lvl w:ilvl="0" w:tplc="041D000B">
      <w:start w:val="1"/>
      <w:numFmt w:val="bullet"/>
      <w:suff w:val="tab"/>
      <w:lvlText w:val=""/>
      <w:lvlJc w:val="left"/>
      <w:pPr>
        <w:ind w:hanging="360" w:left="720"/>
      </w:pPr>
      <w:rPr>
        <w:rFonts w:ascii="Wingdings" w:hAnsi="Wingdings"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7D8E7FBA"/>
    <w:multiLevelType w:val="hybridMultilevel"/>
    <w:lvl w:ilvl="0" w:tplc="E58E094C">
      <w:start w:val="0"/>
      <w:numFmt w:val="bullet"/>
      <w:suff w:val="tab"/>
      <w:lvlText w:val=""/>
      <w:lvlJc w:val="left"/>
      <w:pPr>
        <w:ind w:hanging="360" w:left="1080"/>
      </w:pPr>
      <w:rPr>
        <w:rFonts w:ascii="Symbol" w:hAnsi="Symbol" w:cstheme="minorBidi" w:eastAsiaTheme="minorEastAsia"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num w:numId="1">
    <w:abstractNumId w:val="2"/>
  </w:num>
  <w:num w:numId="2">
    <w:abstractNumId w:val="5"/>
  </w:num>
  <w:num w:numId="3">
    <w:abstractNumId w:val="1"/>
  </w:num>
  <w:num w:numId="4">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5">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6">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0"/>
  </w:num>
  <w:num w:numId="18">
    <w:abstractNumId w:val="14"/>
  </w:num>
  <w:num w:numId="19">
    <w:abstractNumId w:val="12"/>
  </w:num>
  <w:num w:numId="20">
    <w:abstractNumId w:val="6"/>
  </w:num>
  <w:num w:numId="21">
    <w:abstractNumId w:val="9"/>
  </w:num>
  <w:num w:numId="22">
    <w:abstractNumId w:val="7"/>
  </w:num>
  <w:num w:numId="23">
    <w:abstractNumId w:val="11"/>
  </w:num>
  <w:num w:numId="24">
    <w:abstractNumId w:val="13"/>
  </w:num>
  <w:num w:numId="25">
    <w:abstractNumId w:val="10"/>
  </w:num>
  <w:num w:numId="26">
    <w:abstractNumId w:val="8"/>
  </w:num>
  <w:num w:numId="27">
    <w:abstractNumId w:val="15"/>
  </w:num>
  <w:num w:numId="28">
    <w:abstractNumId w:val="4"/>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z w:val="24"/>
    </w:rPr>
  </w:style>
  <w:style w:type="paragraph" w:styleId="P1">
    <w:name w:val="Heading 1"/>
    <w:basedOn w:val="P0"/>
    <w:next w:val="P0"/>
    <w:link w:val="C5"/>
    <w:qFormat/>
    <w:pPr>
      <w:keepNext w:val="1"/>
      <w:keepLines w:val="1"/>
      <w:numPr>
        <w:numId w:val="16"/>
      </w:numPr>
      <w:pBdr>
        <w:top w:val="none" w:sz="0" w:space="0" w:shadow="0" w:frame="0" w:color="auto"/>
        <w:left w:val="none" w:sz="0" w:space="0" w:shadow="0" w:frame="0" w:color="auto"/>
        <w:bottom w:val="single" w:sz="4" w:space="1" w:shadow="0" w:frame="0" w:color="595959" w:themeColor="text1" w:themeTint="A6"/>
        <w:right w:val="none" w:sz="0" w:space="0" w:shadow="0" w:frame="0" w:color="auto"/>
        <w:between w:val="none" w:sz="0" w:space="0" w:shadow="0" w:frame="0" w:color="auto"/>
      </w:pBdr>
      <w:spacing w:before="360" w:beforeAutospacing="0" w:afterAutospacing="0"/>
      <w:outlineLvl w:val="0"/>
    </w:pPr>
    <w:rPr>
      <w:rFonts w:ascii="Calibri" w:hAnsi="Calibri" w:cstheme="majorBidi" w:eastAsiaTheme="majorEastAsia"/>
      <w:b w:val="1"/>
      <w:bCs w:val="1"/>
      <w:smallCaps w:val="1"/>
      <w:color w:val="000000" w:themeColor="text1"/>
      <w:sz w:val="36"/>
      <w:szCs w:val="36"/>
    </w:rPr>
  </w:style>
  <w:style w:type="paragraph" w:styleId="P2">
    <w:name w:val="Heading 2"/>
    <w:basedOn w:val="P0"/>
    <w:next w:val="P0"/>
    <w:link w:val="C6"/>
    <w:qFormat/>
    <w:pPr>
      <w:keepNext w:val="1"/>
      <w:keepLines w:val="1"/>
      <w:numPr>
        <w:ilvl w:val="1"/>
        <w:numId w:val="16"/>
      </w:numPr>
      <w:spacing w:before="360" w:after="0" w:beforeAutospacing="0" w:afterAutospacing="0"/>
      <w:outlineLvl w:val="1"/>
    </w:pPr>
    <w:rPr>
      <w:rFonts w:ascii="Calibri" w:hAnsi="Calibri" w:cstheme="majorBidi" w:eastAsiaTheme="majorEastAsia"/>
      <w:b w:val="1"/>
      <w:bCs w:val="1"/>
      <w:smallCaps w:val="1"/>
      <w:color w:val="000000" w:themeColor="text1"/>
      <w:sz w:val="32"/>
      <w:szCs w:val="28"/>
    </w:rPr>
  </w:style>
  <w:style w:type="paragraph" w:styleId="P3">
    <w:name w:val="Heading 3"/>
    <w:basedOn w:val="P0"/>
    <w:next w:val="P0"/>
    <w:link w:val="C7"/>
    <w:qFormat/>
    <w:pPr>
      <w:keepNext w:val="1"/>
      <w:keepLines w:val="1"/>
      <w:numPr>
        <w:ilvl w:val="2"/>
        <w:numId w:val="16"/>
      </w:numPr>
      <w:spacing w:before="200" w:after="0" w:beforeAutospacing="0" w:afterAutospacing="0"/>
      <w:outlineLvl w:val="2"/>
    </w:pPr>
    <w:rPr>
      <w:rFonts w:ascii="Calibri" w:hAnsi="Calibri" w:cstheme="majorBidi" w:eastAsiaTheme="majorEastAsia"/>
      <w:b w:val="1"/>
      <w:bCs w:val="1"/>
      <w:color w:val="000000" w:themeColor="text1"/>
    </w:rPr>
  </w:style>
  <w:style w:type="paragraph" w:styleId="P4">
    <w:name w:val="Heading 4"/>
    <w:basedOn w:val="P0"/>
    <w:next w:val="P0"/>
    <w:link w:val="C9"/>
    <w:qFormat/>
    <w:pPr>
      <w:keepNext w:val="1"/>
      <w:keepLines w:val="1"/>
      <w:numPr>
        <w:ilvl w:val="3"/>
        <w:numId w:val="16"/>
      </w:numPr>
      <w:spacing w:before="200" w:after="0" w:beforeAutospacing="0" w:afterAutospacing="0"/>
      <w:outlineLvl w:val="3"/>
    </w:pPr>
    <w:rPr>
      <w:rFonts w:asciiTheme="majorHAnsi" w:hAnsiTheme="majorHAnsi" w:cstheme="majorBidi" w:eastAsiaTheme="majorEastAsia"/>
      <w:b w:val="1"/>
      <w:i w:val="1"/>
      <w:bCs w:val="1"/>
      <w:iCs w:val="1"/>
      <w:color w:val="000000" w:themeColor="text1"/>
    </w:rPr>
  </w:style>
  <w:style w:type="paragraph" w:styleId="P5">
    <w:name w:val="Heading 5"/>
    <w:basedOn w:val="P0"/>
    <w:next w:val="P0"/>
    <w:link w:val="C11"/>
    <w:qFormat/>
    <w:pPr>
      <w:keepNext w:val="1"/>
      <w:keepLines w:val="1"/>
      <w:numPr>
        <w:ilvl w:val="4"/>
        <w:numId w:val="16"/>
      </w:numPr>
      <w:spacing w:before="200" w:after="0" w:beforeAutospacing="0" w:afterAutospacing="0"/>
      <w:outlineLvl w:val="4"/>
    </w:pPr>
    <w:rPr>
      <w:rFonts w:asciiTheme="majorHAnsi" w:hAnsiTheme="majorHAnsi" w:cstheme="majorBidi" w:eastAsiaTheme="majorEastAsia"/>
      <w:color w:val="333F4F" w:themeColor="text2" w:themeShade="BF"/>
    </w:rPr>
  </w:style>
  <w:style w:type="paragraph" w:styleId="P6">
    <w:name w:val="Heading 6"/>
    <w:basedOn w:val="P0"/>
    <w:next w:val="P0"/>
    <w:link w:val="C12"/>
    <w:qFormat/>
    <w:pPr>
      <w:keepNext w:val="1"/>
      <w:keepLines w:val="1"/>
      <w:numPr>
        <w:ilvl w:val="5"/>
        <w:numId w:val="16"/>
      </w:numPr>
      <w:spacing w:before="200" w:after="0" w:beforeAutospacing="0" w:afterAutospacing="0"/>
      <w:outlineLvl w:val="5"/>
    </w:pPr>
    <w:rPr>
      <w:rFonts w:asciiTheme="majorHAnsi" w:hAnsiTheme="majorHAnsi" w:cstheme="majorBidi" w:eastAsiaTheme="majorEastAsia"/>
      <w:i w:val="1"/>
      <w:iCs w:val="1"/>
      <w:color w:val="333F4F" w:themeColor="text2" w:themeShade="BF"/>
    </w:rPr>
  </w:style>
  <w:style w:type="paragraph" w:styleId="P7">
    <w:name w:val="Heading 7"/>
    <w:basedOn w:val="P0"/>
    <w:next w:val="P0"/>
    <w:link w:val="C13"/>
    <w:qFormat/>
    <w:pPr>
      <w:keepNext w:val="1"/>
      <w:keepLines w:val="1"/>
      <w:numPr>
        <w:ilvl w:val="6"/>
        <w:numId w:val="16"/>
      </w:numPr>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4"/>
    <w:semiHidden/>
    <w:qFormat/>
    <w:pPr>
      <w:keepNext w:val="1"/>
      <w:keepLines w:val="1"/>
      <w:numPr>
        <w:ilvl w:val="7"/>
        <w:numId w:val="16"/>
      </w:numPr>
      <w:spacing w:before="200" w:after="0" w:beforeAutospacing="0" w:afterAutospacing="0"/>
      <w:outlineLvl w:val="7"/>
    </w:pPr>
    <w:rPr>
      <w:rFonts w:asciiTheme="majorHAnsi" w:hAnsiTheme="majorHAnsi" w:cstheme="majorBidi" w:eastAsiaTheme="majorEastAsia"/>
      <w:color w:val="404040" w:themeColor="text1" w:themeTint="BF"/>
      <w:sz w:val="20"/>
      <w:szCs w:val="20"/>
    </w:rPr>
  </w:style>
  <w:style w:type="paragraph" w:styleId="P9">
    <w:name w:val="Heading 9"/>
    <w:basedOn w:val="P0"/>
    <w:next w:val="P0"/>
    <w:link w:val="C15"/>
    <w:semiHidden/>
    <w:qFormat/>
    <w:pPr>
      <w:keepNext w:val="1"/>
      <w:keepLines w:val="1"/>
      <w:numPr>
        <w:ilvl w:val="8"/>
        <w:numId w:val="16"/>
      </w:numPr>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0">
    <w:name w:val="Header"/>
    <w:basedOn w:val="P0"/>
    <w:link w:val="C3"/>
    <w:pPr>
      <w:tabs>
        <w:tab w:val="center" w:pos="4536" w:leader="none"/>
        <w:tab w:val="right" w:pos="9072" w:leader="none"/>
      </w:tabs>
      <w:spacing w:lineRule="auto" w:line="240" w:after="0" w:beforeAutospacing="0" w:afterAutospacing="0"/>
    </w:pPr>
    <w:rPr/>
  </w:style>
  <w:style w:type="paragraph" w:styleId="P11">
    <w:name w:val="Footer"/>
    <w:basedOn w:val="P0"/>
    <w:link w:val="C4"/>
    <w:pPr>
      <w:tabs>
        <w:tab w:val="center" w:pos="4536" w:leader="none"/>
        <w:tab w:val="right" w:pos="9072" w:leader="none"/>
      </w:tabs>
      <w:spacing w:lineRule="auto" w:line="240" w:after="0" w:beforeAutospacing="0" w:afterAutospacing="0"/>
    </w:pPr>
    <w:rPr/>
  </w:style>
  <w:style w:type="paragraph" w:styleId="P12">
    <w:name w:val="Title"/>
    <w:basedOn w:val="P0"/>
    <w:next w:val="P0"/>
    <w:link w:val="C8"/>
    <w:qFormat/>
    <w:pPr>
      <w:spacing w:lineRule="auto" w:line="240" w:after="0" w:beforeAutospacing="0" w:afterAutospacing="0"/>
      <w:contextualSpacing w:val="1"/>
    </w:pPr>
    <w:rPr>
      <w:rFonts w:asciiTheme="majorHAnsi" w:hAnsiTheme="majorHAnsi" w:cstheme="majorBidi" w:eastAsiaTheme="majorEastAsia"/>
      <w:color w:val="000000" w:themeColor="text1"/>
      <w:sz w:val="56"/>
      <w:szCs w:val="56"/>
    </w:rPr>
  </w:style>
  <w:style w:type="paragraph" w:styleId="P13">
    <w:name w:val="Subtitle"/>
    <w:basedOn w:val="P0"/>
    <w:next w:val="P0"/>
    <w:link w:val="C10"/>
    <w:qFormat/>
    <w:pPr/>
    <w:rPr>
      <w:color w:val="5A5A5A" w:themeColor="text1" w:themeTint="A5"/>
      <w:spacing w:val="10"/>
    </w:rPr>
  </w:style>
  <w:style w:type="paragraph" w:styleId="P14">
    <w:name w:val="Tema/kapitel"/>
    <w:basedOn w:val="P0"/>
    <w:pPr>
      <w:numPr>
        <w:numId w:val="1"/>
      </w:numPr>
    </w:pPr>
    <w:rPr>
      <w:b w:val="1"/>
      <w:sz w:val="36"/>
    </w:rPr>
  </w:style>
  <w:style w:type="paragraph" w:styleId="P15">
    <w:name w:val="Grupp"/>
    <w:basedOn w:val="P0"/>
    <w:pPr>
      <w:numPr>
        <w:ilvl w:val="1"/>
        <w:numId w:val="1"/>
      </w:numPr>
    </w:pPr>
    <w:rPr>
      <w:b w:val="1"/>
      <w:sz w:val="28"/>
    </w:rPr>
  </w:style>
  <w:style w:type="paragraph" w:styleId="P16">
    <w:name w:val="Undergrupp"/>
    <w:basedOn w:val="P0"/>
    <w:pPr>
      <w:numPr>
        <w:ilvl w:val="2"/>
        <w:numId w:val="1"/>
      </w:numPr>
    </w:pPr>
    <w:rPr>
      <w:b w:val="1"/>
      <w:sz w:val="28"/>
    </w:rPr>
  </w:style>
  <w:style w:type="paragraph" w:styleId="P17">
    <w:name w:val="TOC Heading"/>
    <w:basedOn w:val="P1"/>
    <w:next w:val="P0"/>
    <w:qFormat/>
    <w:pPr>
      <w:outlineLvl w:val="9"/>
    </w:pPr>
    <w:rPr/>
  </w:style>
  <w:style w:type="paragraph" w:styleId="P18">
    <w:name w:val="Caption"/>
    <w:basedOn w:val="P0"/>
    <w:next w:val="P0"/>
    <w:qFormat/>
    <w:pPr>
      <w:spacing w:lineRule="auto" w:line="240" w:after="200" w:beforeAutospacing="0" w:afterAutospacing="0"/>
    </w:pPr>
    <w:rPr>
      <w:i w:val="1"/>
      <w:iCs w:val="1"/>
      <w:color w:val="44546A" w:themeColor="text2"/>
      <w:sz w:val="18"/>
      <w:szCs w:val="18"/>
    </w:rPr>
  </w:style>
  <w:style w:type="paragraph" w:styleId="P19">
    <w:name w:val="No Spacing"/>
    <w:qFormat/>
    <w:pPr>
      <w:spacing w:lineRule="auto" w:line="240" w:after="0" w:beforeAutospacing="0" w:afterAutospacing="0"/>
    </w:pPr>
    <w:rPr/>
  </w:style>
  <w:style w:type="paragraph" w:styleId="P20">
    <w:name w:val="Quote"/>
    <w:basedOn w:val="P0"/>
    <w:next w:val="P0"/>
    <w:link w:val="C18"/>
    <w:qFormat/>
    <w:pPr>
      <w:spacing w:before="160" w:beforeAutospacing="0" w:afterAutospacing="0"/>
      <w:ind w:left="720" w:right="720"/>
    </w:pPr>
    <w:rPr>
      <w:i w:val="1"/>
      <w:iCs w:val="1"/>
      <w:color w:val="000000" w:themeColor="text1"/>
    </w:rPr>
  </w:style>
  <w:style w:type="paragraph" w:styleId="P21">
    <w:name w:val="Intense Quote"/>
    <w:basedOn w:val="P0"/>
    <w:next w:val="P0"/>
    <w:link w:val="C19"/>
    <w:qFormat/>
    <w:pPr>
      <w:pBdr>
        <w:top w:val="single" w:sz="24" w:space="1" w:shadow="0" w:frame="0" w:color="F2F2F2" w:themeColor="background1" w:themeShade="F2"/>
        <w:left w:val="none" w:sz="0" w:space="0" w:shadow="0" w:frame="0" w:color="auto"/>
        <w:bottom w:val="single" w:sz="24" w:space="1" w:shadow="0" w:frame="0" w:color="F2F2F2" w:themeColor="background1" w:themeShade="F2"/>
        <w:right w:val="none" w:sz="0" w:space="0" w:shadow="0" w:frame="0" w:color="auto"/>
        <w:between w:val="none" w:sz="0" w:space="0" w:shadow="0" w:frame="0" w:color="auto"/>
      </w:pBdr>
      <w:shd w:val="clear" w:fill="F2F2F2" w:themeFill="background1" w:themeFillShade="F2"/>
      <w:spacing w:before="240" w:after="240" w:beforeAutospacing="0" w:afterAutospacing="0"/>
      <w:ind w:left="936" w:right="936"/>
      <w:jc w:val="center"/>
    </w:pPr>
    <w:rPr>
      <w:color w:val="000000" w:themeColor="text1"/>
    </w:rPr>
  </w:style>
  <w:style w:type="paragraph" w:styleId="P22">
    <w:name w:val="TOC 1"/>
    <w:basedOn w:val="P0"/>
    <w:next w:val="P0"/>
    <w:pPr>
      <w:spacing w:before="120" w:after="120" w:beforeAutospacing="0" w:afterAutospacing="0"/>
    </w:pPr>
    <w:rPr>
      <w:rFonts w:cstheme="minorHAnsi"/>
      <w:b w:val="1"/>
      <w:bCs w:val="1"/>
      <w:caps w:val="1"/>
      <w:sz w:val="20"/>
      <w:szCs w:val="20"/>
    </w:rPr>
  </w:style>
  <w:style w:type="paragraph" w:styleId="P23">
    <w:name w:val="TOC 2"/>
    <w:basedOn w:val="P0"/>
    <w:next w:val="P0"/>
    <w:pPr>
      <w:spacing w:after="0" w:beforeAutospacing="0" w:afterAutospacing="0"/>
      <w:ind w:left="220"/>
    </w:pPr>
    <w:rPr>
      <w:rFonts w:cstheme="minorHAnsi"/>
      <w:smallCaps w:val="1"/>
      <w:sz w:val="20"/>
      <w:szCs w:val="20"/>
    </w:rPr>
  </w:style>
  <w:style w:type="paragraph" w:styleId="P24">
    <w:name w:val="TOC 3"/>
    <w:basedOn w:val="P0"/>
    <w:next w:val="P0"/>
    <w:pPr>
      <w:spacing w:after="0" w:beforeAutospacing="0" w:afterAutospacing="0"/>
      <w:ind w:left="440"/>
    </w:pPr>
    <w:rPr>
      <w:rFonts w:cstheme="minorHAnsi"/>
      <w:i w:val="1"/>
      <w:iCs w:val="1"/>
      <w:sz w:val="20"/>
      <w:szCs w:val="20"/>
    </w:rPr>
  </w:style>
  <w:style w:type="paragraph" w:styleId="P25">
    <w:name w:val="TOC 4"/>
    <w:basedOn w:val="P0"/>
    <w:next w:val="P0"/>
    <w:pPr>
      <w:spacing w:after="0" w:beforeAutospacing="0" w:afterAutospacing="0"/>
      <w:ind w:left="660"/>
    </w:pPr>
    <w:rPr>
      <w:rFonts w:cstheme="minorHAnsi"/>
      <w:sz w:val="18"/>
      <w:szCs w:val="18"/>
    </w:rPr>
  </w:style>
  <w:style w:type="paragraph" w:styleId="P26">
    <w:name w:val="TOC 5"/>
    <w:basedOn w:val="P0"/>
    <w:next w:val="P0"/>
    <w:pPr>
      <w:spacing w:after="0" w:beforeAutospacing="0" w:afterAutospacing="0"/>
      <w:ind w:left="880"/>
    </w:pPr>
    <w:rPr>
      <w:rFonts w:cstheme="minorHAnsi"/>
      <w:sz w:val="18"/>
      <w:szCs w:val="18"/>
    </w:rPr>
  </w:style>
  <w:style w:type="paragraph" w:styleId="P27">
    <w:name w:val="TOC 6"/>
    <w:basedOn w:val="P0"/>
    <w:next w:val="P0"/>
    <w:pPr>
      <w:spacing w:after="0" w:beforeAutospacing="0" w:afterAutospacing="0"/>
      <w:ind w:left="1100"/>
    </w:pPr>
    <w:rPr>
      <w:rFonts w:cstheme="minorHAnsi"/>
      <w:sz w:val="18"/>
      <w:szCs w:val="18"/>
    </w:rPr>
  </w:style>
  <w:style w:type="paragraph" w:styleId="P28">
    <w:name w:val="TOC 7"/>
    <w:basedOn w:val="P0"/>
    <w:next w:val="P0"/>
    <w:pPr>
      <w:spacing w:after="0" w:beforeAutospacing="0" w:afterAutospacing="0"/>
      <w:ind w:left="1320"/>
    </w:pPr>
    <w:rPr>
      <w:rFonts w:cstheme="minorHAnsi"/>
      <w:sz w:val="18"/>
      <w:szCs w:val="18"/>
    </w:rPr>
  </w:style>
  <w:style w:type="paragraph" w:styleId="P29">
    <w:name w:val="TOC 8"/>
    <w:basedOn w:val="P0"/>
    <w:next w:val="P0"/>
    <w:pPr>
      <w:spacing w:after="0" w:beforeAutospacing="0" w:afterAutospacing="0"/>
      <w:ind w:left="1540"/>
    </w:pPr>
    <w:rPr>
      <w:rFonts w:cstheme="minorHAnsi"/>
      <w:sz w:val="18"/>
      <w:szCs w:val="18"/>
    </w:rPr>
  </w:style>
  <w:style w:type="paragraph" w:styleId="P30">
    <w:name w:val="TOC 9"/>
    <w:basedOn w:val="P0"/>
    <w:next w:val="P0"/>
    <w:pPr>
      <w:spacing w:after="0" w:beforeAutospacing="0" w:afterAutospacing="0"/>
      <w:ind w:left="1760"/>
    </w:pPr>
    <w:rPr>
      <w:rFonts w:cstheme="minorHAnsi"/>
      <w:sz w:val="18"/>
      <w:szCs w:val="18"/>
    </w:rPr>
  </w:style>
  <w:style w:type="paragraph" w:styleId="P31">
    <w:name w:val="List Paragraph"/>
    <w:basedOn w:val="P0"/>
    <w:qFormat/>
    <w:pPr>
      <w:ind w:left="720"/>
      <w:contextualSpacing w:val="1"/>
    </w:pPr>
    <w:rPr/>
  </w:style>
  <w:style w:type="paragraph" w:styleId="P32">
    <w:name w:val="Revision"/>
    <w:hidden/>
    <w:semiHidden/>
    <w:pPr>
      <w:spacing w:lineRule="auto" w:line="240" w:after="0" w:beforeAutospacing="0" w:afterAutospacing="0"/>
    </w:pPr>
    <w:rPr>
      <w:sz w:val="24"/>
    </w:rPr>
  </w:style>
  <w:style w:type="paragraph" w:styleId="P33">
    <w:name w:val="Footnote Text"/>
    <w:link w:val="C26"/>
    <w:semiHidden/>
    <w:pPr>
      <w:spacing w:lineRule="auto" w:line="240" w:after="0"/>
    </w:pPr>
    <w:rPr>
      <w:sz w:val="20"/>
      <w:szCs w:val="20"/>
    </w:rPr>
  </w:style>
  <w:style w:type="paragraph" w:styleId="P34">
    <w:name w:val="Endnote Text"/>
    <w:link w:val="C28"/>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Sidhuvud Char"/>
    <w:basedOn w:val="C0"/>
    <w:link w:val="P10"/>
    <w:rPr/>
  </w:style>
  <w:style w:type="character" w:styleId="C4">
    <w:name w:val="Sidfot Char"/>
    <w:basedOn w:val="C0"/>
    <w:link w:val="P11"/>
    <w:rPr/>
  </w:style>
  <w:style w:type="character" w:styleId="C5">
    <w:name w:val="Rubrik 1 Char"/>
    <w:basedOn w:val="C0"/>
    <w:link w:val="P1"/>
    <w:rPr>
      <w:rFonts w:ascii="Calibri" w:hAnsi="Calibri" w:cstheme="majorBidi" w:eastAsiaTheme="majorEastAsia"/>
      <w:b w:val="1"/>
      <w:bCs w:val="1"/>
      <w:smallCaps w:val="1"/>
      <w:color w:val="000000" w:themeColor="text1"/>
      <w:sz w:val="36"/>
      <w:szCs w:val="36"/>
    </w:rPr>
  </w:style>
  <w:style w:type="character" w:styleId="C6">
    <w:name w:val="Rubrik 2 Char"/>
    <w:basedOn w:val="C0"/>
    <w:link w:val="P2"/>
    <w:rPr>
      <w:rFonts w:ascii="Calibri" w:hAnsi="Calibri" w:cstheme="majorBidi" w:eastAsiaTheme="majorEastAsia"/>
      <w:b w:val="1"/>
      <w:bCs w:val="1"/>
      <w:smallCaps w:val="1"/>
      <w:color w:val="000000" w:themeColor="text1"/>
      <w:sz w:val="32"/>
      <w:szCs w:val="28"/>
    </w:rPr>
  </w:style>
  <w:style w:type="character" w:styleId="C7">
    <w:name w:val="Rubrik 3 Char"/>
    <w:basedOn w:val="C0"/>
    <w:link w:val="P3"/>
    <w:rPr>
      <w:rFonts w:ascii="Calibri" w:hAnsi="Calibri" w:cstheme="majorBidi" w:eastAsiaTheme="majorEastAsia"/>
      <w:b w:val="1"/>
      <w:bCs w:val="1"/>
      <w:color w:val="000000" w:themeColor="text1"/>
      <w:sz w:val="24"/>
    </w:rPr>
  </w:style>
  <w:style w:type="character" w:styleId="C8">
    <w:name w:val="Rubrik Char"/>
    <w:basedOn w:val="C0"/>
    <w:link w:val="P12"/>
    <w:rPr>
      <w:rFonts w:asciiTheme="majorHAnsi" w:hAnsiTheme="majorHAnsi" w:cstheme="majorBidi" w:eastAsiaTheme="majorEastAsia"/>
      <w:color w:val="000000" w:themeColor="text1"/>
      <w:sz w:val="56"/>
      <w:szCs w:val="56"/>
    </w:rPr>
  </w:style>
  <w:style w:type="character" w:styleId="C9">
    <w:name w:val="Rubrik 4 Char"/>
    <w:basedOn w:val="C0"/>
    <w:link w:val="P4"/>
    <w:rPr>
      <w:rFonts w:asciiTheme="majorHAnsi" w:hAnsiTheme="majorHAnsi" w:cstheme="majorBidi" w:eastAsiaTheme="majorEastAsia"/>
      <w:b w:val="1"/>
      <w:i w:val="1"/>
      <w:bCs w:val="1"/>
      <w:iCs w:val="1"/>
      <w:color w:val="000000" w:themeColor="text1"/>
    </w:rPr>
  </w:style>
  <w:style w:type="character" w:styleId="C10">
    <w:name w:val="Underrubrik Char"/>
    <w:basedOn w:val="C0"/>
    <w:link w:val="P13"/>
    <w:rPr>
      <w:color w:val="5A5A5A" w:themeColor="text1" w:themeTint="A5"/>
      <w:spacing w:val="10"/>
    </w:rPr>
  </w:style>
  <w:style w:type="character" w:styleId="C11">
    <w:name w:val="Rubrik 5 Char"/>
    <w:basedOn w:val="C0"/>
    <w:link w:val="P5"/>
    <w:rPr>
      <w:rFonts w:asciiTheme="majorHAnsi" w:hAnsiTheme="majorHAnsi" w:cstheme="majorBidi" w:eastAsiaTheme="majorEastAsia"/>
      <w:color w:val="333F4F" w:themeColor="text2" w:themeShade="BF"/>
    </w:rPr>
  </w:style>
  <w:style w:type="character" w:styleId="C12">
    <w:name w:val="Rubrik 6 Char"/>
    <w:basedOn w:val="C0"/>
    <w:link w:val="P6"/>
    <w:rPr>
      <w:rFonts w:asciiTheme="majorHAnsi" w:hAnsiTheme="majorHAnsi" w:cstheme="majorBidi" w:eastAsiaTheme="majorEastAsia"/>
      <w:i w:val="1"/>
      <w:iCs w:val="1"/>
      <w:color w:val="333F4F" w:themeColor="text2" w:themeShade="BF"/>
    </w:rPr>
  </w:style>
  <w:style w:type="character" w:styleId="C13">
    <w:name w:val="Rubrik 7 Char"/>
    <w:basedOn w:val="C0"/>
    <w:link w:val="P7"/>
    <w:rPr>
      <w:rFonts w:asciiTheme="majorHAnsi" w:hAnsiTheme="majorHAnsi" w:cstheme="majorBidi" w:eastAsiaTheme="majorEastAsia"/>
      <w:i w:val="1"/>
      <w:iCs w:val="1"/>
      <w:color w:val="404040" w:themeColor="text1" w:themeTint="BF"/>
    </w:rPr>
  </w:style>
  <w:style w:type="character" w:styleId="C14">
    <w:name w:val="Rubrik 8 Char"/>
    <w:basedOn w:val="C0"/>
    <w:link w:val="P8"/>
    <w:semiHidden/>
    <w:rPr>
      <w:rFonts w:asciiTheme="majorHAnsi" w:hAnsiTheme="majorHAnsi" w:cstheme="majorBidi" w:eastAsiaTheme="majorEastAsia"/>
      <w:color w:val="404040" w:themeColor="text1" w:themeTint="BF"/>
      <w:sz w:val="20"/>
      <w:szCs w:val="20"/>
    </w:rPr>
  </w:style>
  <w:style w:type="character" w:styleId="C15">
    <w:name w:val="Rubrik 9 Char"/>
    <w:basedOn w:val="C0"/>
    <w:link w:val="P9"/>
    <w:semiHidden/>
    <w:rPr>
      <w:rFonts w:asciiTheme="majorHAnsi" w:hAnsiTheme="majorHAnsi" w:cstheme="majorBidi" w:eastAsiaTheme="majorEastAsia"/>
      <w:i w:val="1"/>
      <w:iCs w:val="1"/>
      <w:color w:val="404040" w:themeColor="text1" w:themeTint="BF"/>
      <w:sz w:val="20"/>
      <w:szCs w:val="20"/>
    </w:rPr>
  </w:style>
  <w:style w:type="character" w:styleId="C16">
    <w:name w:val="Strong"/>
    <w:basedOn w:val="C0"/>
    <w:qFormat/>
    <w:rPr>
      <w:b w:val="1"/>
      <w:bCs w:val="1"/>
      <w:color w:val="000000" w:themeColor="text1"/>
    </w:rPr>
  </w:style>
  <w:style w:type="character" w:styleId="C17">
    <w:name w:val="Emphasis"/>
    <w:basedOn w:val="C0"/>
    <w:qFormat/>
    <w:rPr>
      <w:i w:val="1"/>
      <w:iCs w:val="1"/>
      <w:color w:val="auto"/>
    </w:rPr>
  </w:style>
  <w:style w:type="character" w:styleId="C18">
    <w:name w:val="Citat Char"/>
    <w:basedOn w:val="C0"/>
    <w:link w:val="P20"/>
    <w:rPr>
      <w:i w:val="1"/>
      <w:iCs w:val="1"/>
      <w:color w:val="000000" w:themeColor="text1"/>
    </w:rPr>
  </w:style>
  <w:style w:type="character" w:styleId="C19">
    <w:name w:val="Starkt citat Char"/>
    <w:basedOn w:val="C0"/>
    <w:link w:val="P21"/>
    <w:rPr>
      <w:color w:val="000000" w:themeColor="text1"/>
      <w:shd w:val="clear" w:color="auto" w:fill="F2F2F2" w:themeFill="background1" w:themeFillShade="F2"/>
    </w:rPr>
  </w:style>
  <w:style w:type="character" w:styleId="C20">
    <w:name w:val="Subtle Emphasis"/>
    <w:basedOn w:val="C0"/>
    <w:qFormat/>
    <w:rPr>
      <w:i w:val="1"/>
      <w:iCs w:val="1"/>
      <w:color w:val="404040" w:themeColor="text1" w:themeTint="BF"/>
    </w:rPr>
  </w:style>
  <w:style w:type="character" w:styleId="C21">
    <w:name w:val="Intense Emphasis"/>
    <w:basedOn w:val="C0"/>
    <w:qFormat/>
    <w:rPr>
      <w:b w:val="1"/>
      <w:i w:val="1"/>
      <w:bCs w:val="1"/>
      <w:iCs w:val="1"/>
      <w:caps w:val="1"/>
    </w:rPr>
  </w:style>
  <w:style w:type="character" w:styleId="C22">
    <w:name w:val="Subtle Reference1"/>
    <w:basedOn w:val="C0"/>
    <w:qFormat/>
    <w:rPr>
      <w:smallCaps w:val="1"/>
      <w:color w:val="404040" w:themeColor="text1" w:themeTint="BF"/>
      <w:u w:val="single" w:color="7F7F7F" w:themeColor="text1" w:themeTint="80"/>
    </w:rPr>
  </w:style>
  <w:style w:type="character" w:styleId="C23">
    <w:name w:val="Intense Reference1"/>
    <w:basedOn w:val="C0"/>
    <w:qFormat/>
    <w:rPr>
      <w:b w:val="1"/>
      <w:bCs w:val="1"/>
      <w:smallCaps w:val="1"/>
      <w:u w:val="single"/>
    </w:rPr>
  </w:style>
  <w:style w:type="character" w:styleId="C24">
    <w:name w:val="Book Title"/>
    <w:basedOn w:val="C0"/>
    <w:qFormat/>
    <w:rPr>
      <w:b w:val="0"/>
      <w:bCs w:val="0"/>
      <w:smallCaps w:val="1"/>
      <w:spacing w:val="5"/>
    </w:rPr>
  </w:style>
  <w:style w:type="character" w:styleId="C25">
    <w:name w:val="Footnote Reference"/>
    <w:semiHidden/>
    <w:rPr>
      <w:vertAlign w:val="superscript"/>
    </w:rPr>
  </w:style>
  <w:style w:type="character" w:styleId="C26">
    <w:name w:val="Footnote Text Char"/>
    <w:link w:val="P33"/>
    <w:semiHidden/>
    <w:rPr>
      <w:sz w:val="20"/>
      <w:szCs w:val="20"/>
    </w:rPr>
  </w:style>
  <w:style w:type="character" w:styleId="C27">
    <w:name w:val="Endnote Reference"/>
    <w:semiHidden/>
    <w:rPr>
      <w:vertAlign w:val="superscript"/>
    </w:rPr>
  </w:style>
  <w:style w:type="character" w:styleId="C28">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1"/>
    <w:pPr>
      <w:spacing w:lineRule="auto" w:line="240" w:after="0" w:beforeAutospacing="0" w:afterAutospacing="0"/>
    </w:pPr>
    <w:rPr>
      <w:rFonts w:eastAsia="Yu Mincho"/>
      <w:lang w:eastAsia="sv-SE"/>
    </w:r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rPr>
      <w:rFonts w:eastAsiaTheme="minorHAnsi"/>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19" Type="http://schemas.openxmlformats.org/officeDocument/2006/relationships/image" Target="/media/image19.pn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7" Type="http://schemas.openxmlformats.org/officeDocument/2006/relationships/image" Target="/media/image17.jpg" /></Relationships>
</file>

<file path=word/_rels/header2.xml.rels>&#65279;<?xml version="1.0" encoding="utf-8"?><Relationships xmlns="http://schemas.openxmlformats.org/package/2006/relationships"><Relationship Id="Relimage18" Type="http://schemas.openxmlformats.org/officeDocument/2006/relationships/image" Target="/media/image18.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2024-12-16T16:20:01.4369745+01:00</versionGiltigFran>
  <detaljplansreferens>78fc0caa-4207-4495-a77b-a29e4f5a3d6d</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be_kvartersmark01</identitet>
    <Lage>
      <planomrade>true</planomrade>
    </Lage>
    <Indelning>
      <tema>Beskrivning av detaljplanen</tema>
      <grupp>Kvartersmark</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be_vattenområde01</identitet>
    <Lage>
      <planomrade>true</planomrade>
    </Lage>
    <Indelning>
      <tema>Beskrivning av detaljplanen</tema>
      <grupp>Vattenområde</grupp>
    </Indelning>
  </Omfattning>
  <Omfattning>
    <identitet>be_befintligt01</identitet>
    <Lage>
      <planomrade>true</planomrade>
    </Lage>
    <Indelning>
      <tema>Beskrivning av detaljplanen</tema>
      <grupp>Befintligt</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pu_översiktsplan01</identitet>
    <Lage>
      <planomrade>true</planomrade>
    </Lage>
    <Indelning>
      <tema>Planeringsunderlag</tema>
      <grupp>Kommunala</grupp>
      <undergrupp>Översiktsplan</undergrupp>
    </Indelning>
  </Omfattning>
  <Omfattning>
    <identitet>pu_översiktsplan02</identitet>
    <Lage>
      <planomrade>true</planomrade>
    </Lage>
    <Indelning>
      <tema>Planeringsunderlag</tema>
      <grupp>Kommunala</grupp>
      <undergrupp>Översiktsplan</undergrupp>
    </Indelning>
  </Omfattning>
  <Omfattning>
    <identitet>pu_detaljplan01</identitet>
    <Lage>
      <planomrade>true</planomrade>
    </Lage>
    <Indelning>
      <tema>Planeringsunderlag</tema>
      <grupp>Kommunala</grupp>
      <undergrupp>Detaljplan</undergrupp>
    </Indelning>
  </Omfattning>
  <Omfattning>
    <identitet>pu_barnkonsekvensanalys01</identitet>
    <Lage>
      <planomrade>true</planomrade>
    </Lage>
    <Indelning>
      <tema>Planeringsunderlag</tema>
      <grupp>Utredningar</grupp>
      <undergrupp>Barnkonsekvensanalys</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pu_bullerutredning01</identitet>
    <Lage>
      <planomrade>true</planomrade>
    </Lage>
    <Indelning>
      <tema>Planeringsunderlag</tema>
      <grupp>Utredningar</grupp>
      <undergrupp>Bullerutredning</undergrupp>
    </Indelning>
  </Omfattning>
  <Omfattning>
    <identitet>mo_motivtillreglering01</identitet>
    <Lage>
      <lmg:Yta>
        <lmg:absolutLagesosakerhetPlan>0</lmg:absolutLagesosakerhetPlan>
        <lmg:absolutLagesosakerhetHojd>0</lmg:absolutLagesosakerhetHojd>
        <lmg:hojdsystem>RH 2000</lmg:hojdsystem>
        <gml:Polygon gml:id="ID_07c38c13-dfa0-484c-b94c-07b150bf6c4e" srsName="EPSG:3009" srsDimension="2">
          <gml:exterior>
            <gml:LinearRing gml:id="ID_47290d49-7681-4129-940d-01e391ece145">
              <gml:posList>6660502.059 181259.661 6660498.348 181260.929 6660496.356 181261.61 6660492.599 181262.894 6660369.125 181305.09 6660309.57 181324.775 6660294.136 181329.876 6660291.087 181322.458 6660269.604 181270.193 6660265.099 181259.234 6660273.167 181257.82 6660273.676 181259.059 6660277.06 181267.29 6660279.107 181272.271 6660298.702 181319.941 6660306.882 181317.237 6660314.48 181314.726 6660314.509 181314.717 6660319.716 181312.995 6660366.576 181297.507 6660478.033 181259.417 6660485.037 181256.781 6660485.589 181251.088 6660485.963 181246.973 6660486.5 181242.852 6660497.46 181239.516 6660502.278 181237.923 6660505.945 181249.878 6660508.293 181257.53 6660503.559 181259.148 6660502.059 181259.661</gml:posList>
            </gml:LinearRing>
          </gml:exterior>
        </gml:Polygon>
      </lmg:Yta>
      <planbestammelsereferens>65f47f8c-3449-4f36-9e1f-b84096026c73</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b8588ba6-35a9-4a30-bc7d-7cc34a5fd45d" srsName="EPSG:3009" srsDimension="2">
          <gml:exterior>
            <gml:LinearRing gml:id="ID_35e94bca-942f-44b4-b323-c254474ac7b2">
              <gml:posList>6660502.059 181259.661 6660498.348 181260.929 6660496.356 181261.61 6660492.599 181262.894 6660369.125 181305.09 6660309.57 181324.775 6660294.136 181329.876 6660291.087 181322.458 6660269.604 181270.193 6660265.099 181259.234 6660273.167 181257.82 6660273.676 181259.059 6660277.06 181267.29 6660279.107 181272.271 6660298.702 181319.941 6660306.882 181317.237 6660314.48 181314.726 6660314.509 181314.717 6660319.716 181312.995 6660366.576 181297.507 6660478.033 181259.417 6660485.037 181256.781 6660485.589 181251.088 6660485.963 181246.973 6660486.5 181242.852 6660497.46 181239.516 6660502.278 181237.923 6660505.945 181249.878 6660508.293 181257.53 6660503.559 181259.148 6660502.059 181259.661</gml:posList>
            </gml:LinearRing>
          </gml:exterior>
        </gml:Polygon>
      </lmg:Yta>
      <planbestammelsereferens>c36b78d3-f9b5-4e86-8af8-3c7ff0c7d44e</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9a9bbe44-892b-417a-880f-da325b236d28" srsName="EPSG:3009" srsDimension="2">
          <gml:exterior>
            <gml:LinearRing gml:id="ID_a427c4cc-1969-406f-ae49-8f0a1698f0ac">
              <gml:posList>6660298.083 181339.479 6660294.136 181329.876 6660309.57 181324.775 6660369.125 181305.09 6660492.599 181262.894 6660496.356 181261.61 6660498.348 181260.929 6660502.059 181259.661 6660503.559 181259.148 6660508.293 181257.53 6660510.223 181263.82 6660511.382 181267.598 6660518.584 181291.069 6660520.639 181297.768 6660522.107 181302.554 6660522.171 181302.763 6660525.044 181312.125 6660330.076 181382.275 6660317.53 181386.789 6660311.068 181371.07 6660309.162 181366.431 6660298.083 181339.479</gml:posList>
            </gml:LinearRing>
          </gml:exterior>
        </gml:Polygon>
      </lmg:Yta>
      <planbestammelsereferens>46a04963-3c3c-47e1-92c1-bfb521657398</planbestammelsereferens>
    </Lage>
    <Lage>
      <lmg:Yta>
        <lmg:absolutLagesosakerhetPlan>0</lmg:absolutLagesosakerhetPlan>
        <lmg:absolutLagesosakerhetHojd>0</lmg:absolutLagesosakerhetHojd>
        <lmg:hojdsystem>RH 2000</lmg:hojdsystem>
        <gml:Polygon gml:id="ID_269dfb5c-db5b-4734-ae8f-8fad2c7e5d5a" srsName="EPSG:3009" srsDimension="2">
          <gml:exterior>
            <gml:LinearRing gml:id="ID_73de3ff5-c7ab-490a-9dab-1a0cd2fd4904">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27ee4fa9-4be6-49be-a686-8346a7dc7c3d</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4d76bea2-eae5-4ee4-b510-7f8baf026cb2" srsName="EPSG:3009" srsDimension="2">
          <gml:exterior>
            <gml:LinearRing gml:id="ID_76c92169-f461-4131-8869-54cfd0370dbf">
              <gml:posList>6660273.167 181257.82 6660279.306 181256.745 6660284.956 181255.755 6660285.616 181255.639 6660290.524 181267.578 6660279.107 181272.271 6660277.06 181267.29 6660273.676 181259.059 6660273.167 181257.82</gml:posList>
            </gml:LinearRing>
          </gml:exterior>
        </gml:Polygon>
      </lmg:Yta>
      <planbestammelsereferens>78f8c9e5-4a01-4359-b5b5-9980bda53a22</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b0230fcf-ad8c-4000-88a6-68a72a59da2a" srsName="EPSG:3009" srsDimension="2">
          <gml:exterior>
            <gml:LinearRing gml:id="ID_c98d842b-5f33-4c15-81b3-cbbb175dc8a8">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4f923870-2fdd-4640-b0c8-7110ecdbbee2</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bd1036ed-d0b7-4da9-864f-b15b6395783f" srsName="EPSG:3009" srsDimension="2">
          <gml:exterior>
            <gml:LinearRing gml:id="ID_fc2b132b-bb9a-4026-9ca0-446338971eb0">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ef1717a8-6398-46c8-af84-5729f72530b8</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5f1c0a3d-2a37-4eeb-bb9c-f1d1c87bb8c4" srsName="EPSG:3009" srsDimension="2">
          <gml:exterior>
            <gml:LinearRing gml:id="ID_3c7c63f4-db74-48ce-9d74-76bef915fcac">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d23f20bb-46eb-4120-9d47-623fd9458b4f</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f60d38a1-4f9e-42d8-bf33-b6d5ba3b3b08" srsName="EPSG:3009" srsDimension="2">
          <gml:exterior>
            <gml:LinearRing gml:id="ID_c4fd1a55-22ad-4fb8-9cde-f6498e354a04">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15420b15-d935-47d9-9637-b0522672fffa</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7560987e-1454-45d2-9862-53f9768a02b8" srsName="EPSG:3009" srsDimension="2">
          <gml:exterior>
            <gml:LinearRing gml:id="ID_e2a9e9ce-5dbd-459c-a59c-34c0ca47ffb6">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e6d3430c-928b-4764-b597-6a6092d07287</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57f414a7-280e-4d12-9492-8888b56b8e88" srsName="EPSG:3009" srsDimension="2">
          <gml:exterior>
            <gml:LinearRing gml:id="ID_03da4014-fa0f-4b0d-800d-97bc8e57a91f">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5a6d6483-75e2-4ae1-833a-d676bb7fc247</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bfdb21d5-3962-4303-8524-ab2698154375" srsName="EPSG:3009" srsDimension="2">
          <gml:exterior>
            <gml:LinearRing gml:id="ID_7dd22f63-14cc-4e2b-b63b-20216abbd6bb">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13951613-bf2f-4c8b-bf8b-14d36f28f5cc</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1cca2609-f40f-4f5c-ba91-b1038b7c91da" srsName="EPSG:3009" srsDimension="2">
          <gml:exterior>
            <gml:LinearRing gml:id="ID_bd63d7dd-8153-4556-94f4-002bb402d06c">
              <gml:posList>6660298.702 181319.941 6660279.107 181272.271 6660290.524 181267.578 6660285.616 181255.639 6660291.756 181254.563 6660292.924 181254.281 6660315.097 181248.933 6660340.842 181243.88 6660363.788 181238.654 6660381.711 181231.277 6660406.213 181221.836 6660416.811 181218.008 6660426.138 181214.639 6660455.058 181206.955 6660490.582 181199.805 6660493.53 181209.412 6660502.278 181237.923 6660497.46 181239.516 6660486.5 181242.852 6660485.963 181246.973 6660485.589 181251.088 6660485.037 181256.781 6660478.033 181259.417 6660366.576 181297.507 6660319.716 181312.995 6660314.509 181314.717 6660314.48 181314.726 6660306.882 181317.237 6660298.702 181319.941</gml:posList>
            </gml:LinearRing>
          </gml:exterior>
        </gml:Polygon>
      </lmg:Yta>
      <planbestammelsereferens>6ad43af3-b34d-4598-89f4-32059c6f34ef</planbestammelsereferens>
    </Lage>
    <Indelning>
      <tema>Motiv till detaljplanens regleringar</tema>
      <grupp>Motiv till reglering</grupp>
    </Indelning>
  </Omfattning>
  <Omfattning>
    <identitet>pf_planbesked01</identitet>
    <Lage>
      <planomrade>true</planomrade>
    </Lage>
    <Indelning>
      <tema>Planeringsförutsättningar</tema>
      <grupp>Kommunala</grupp>
      <undergrupp>Planbesked</undergrupp>
    </Indelning>
  </Omfattning>
  <Omfattning>
    <identitet>pf_översiktsplan01</identitet>
    <Lage>
      <planomrade>true</planomrade>
    </Lage>
    <Indelning>
      <tema>Planeringsförutsättningar</tema>
      <grupp>Kommunala</grupp>
      <undergrupp>Översiktsplan</undergrupp>
    </Indelning>
  </Omfattning>
  <Omfattning>
    <identitet>pf_fördjupadöversiktsplanförsöderbärke01</identitet>
    <Lage>
      <planomrade>true</planomrade>
    </Lage>
    <Indelning>
      <tema>Planeringsförutsättningar</tema>
      <grupp>Kommunala</grupp>
      <undergrupp>Fördjupad översiktsplan för Söderbärke</undergrupp>
    </Indelning>
  </Omfattning>
  <Omfattning>
    <identitet>pf_regionplan01</identitet>
    <Lage>
      <planomrade>true</planomrade>
    </Lage>
    <Indelning>
      <tema>Planeringsförutsättningar</tema>
      <grupp>Regionala</grupp>
      <undergrupp>Regionplan</undergrupp>
    </Indelning>
  </Omfattning>
  <Omfattning>
    <identitet>pf_naturvård01</identitet>
    <Lage>
      <planomrade>true</planomrade>
    </Lage>
    <Indelning>
      <tema>Planeringsförutsättningar</tema>
      <grupp>Riksintressen</grupp>
      <undergrupp>Naturvård</undergrupp>
    </Indelning>
  </Omfattning>
  <Omfattning>
    <identitet>pf_friluftsliv01</identitet>
    <Lage>
      <planomrade>true</planomrade>
    </Lage>
    <Indelning>
      <tema>Planeringsförutsättningar</tema>
      <grupp>Riksintressen</grupp>
      <undergrupp>Friluftsliv</undergrupp>
    </Indelning>
  </Omfattning>
  <Omfattning>
    <identitet>pf_kulturmiljövård01</identitet>
    <Lage>
      <planomrade>true</planomrade>
    </Lage>
    <Indelning>
      <tema>Planeringsförutsättningar</tema>
      <grupp>Riksintressen</grupp>
      <undergrupp>Kulturmiljövård</undergrupp>
    </Indelning>
  </Omfattning>
  <Omfattning>
    <identitet>pf_rörligtfriluftsliv01</identitet>
    <Lage>
      <planomrade>true</planomrade>
    </Lage>
    <Indelning>
      <tema>Planeringsförutsättningar</tema>
      <grupp>Riksintressen</grupp>
      <undergrupp>Rörligt friluftsliv</undergrupp>
    </Indelning>
  </Omfattning>
  <Omfattning>
    <identitet>pf_natura200001</identitet>
    <Lage>
      <planomrade>true</planomrade>
    </Lage>
    <Indelning>
      <tema>Planeringsförutsättningar</tema>
      <grupp>Riksintressen</grupp>
      <undergrupp>Natura 2000</undergrupp>
    </Indelning>
  </Omfattning>
  <Omfattning>
    <identitet>pf_trafikkommunikation01</identitet>
    <Lage>
      <planomrade>true</planomrade>
    </Lage>
    <Indelning>
      <tema>Planeringsförutsättningar</tema>
      <grupp>Riksintressen</grupp>
      <undergrupp>Trafikkommunikation</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ko_grönområde01</identitet>
    <Lage>
      <planomrade>true</planomrade>
    </Lage>
    <Indelning>
      <tema>Konsekvenser</tema>
      <grupp>Natur</grupp>
      <undergrupp>Grönområde</undergrupp>
    </Indelning>
  </Omfattning>
  <Omfattning>
    <identitet>ko_landskapsbild01</identitet>
    <Lage>
      <planomrade>true</planomrade>
    </Lage>
    <Indelning>
      <tema>Konsekvenser</tema>
      <grupp>Natur</grupp>
      <undergrupp>Landskapsbild</undergrupp>
    </Indelning>
  </Omfattning>
  <Omfattning>
    <identitet>pf_geotekniskaförhållanden01</identitet>
    <Lage>
      <planomrade>true</planomrade>
    </Lage>
    <Indelning>
      <tema>Planeringsförutsättningar</tema>
      <grupp>Geotekniska förhållanden</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pf_fysiskmiljö03</identitet>
    <Lage>
      <planomrade>true</planomrade>
    </Lage>
    <Indelning>
      <tema>Planeringsförutsättningar</tema>
      <grupp>Fysisk miljö</grupp>
    </Indelning>
  </Omfattning>
  <Omfattning>
    <identitet>be_vattenområde02</identitet>
    <Lage>
      <planomrade>true</planomrade>
    </Lage>
    <Indelning>
      <tema>Beskrivning av detaljplanen</tema>
      <grupp>Vattenområde</grupp>
    </Indelning>
  </Omfattning>
  <Omfattning>
    <identitet>pf_fornlämningar01</identitet>
    <Lage>
      <planomrade>true</planomrade>
    </Lage>
    <Indelning>
      <tema>Planeringsförutsättningar</tema>
      <grupp>Kulturmiljö</grupp>
      <undergrupp>Fornlämningar</undergrupp>
    </Indelning>
  </Omfattning>
  <Omfattning>
    <identitet>pf_byggnadsminnen01</identitet>
    <Lage>
      <planomrade>true</planomrade>
    </Lage>
    <Indelning>
      <tema>Planeringsförutsättningar</tema>
      <grupp>Kulturmiljö</grupp>
      <undergrupp>Byggnadsminnen</undergrupp>
    </Indelning>
  </Omfattning>
  <Omfattning>
    <identitet>pf_lokalgata01</identitet>
    <Lage>
      <planomrade>true</planomrade>
    </Lage>
    <Indelning>
      <tema>Planeringsförutsättningar</tema>
      <grupp>Trafik</grupp>
      <undergrupp>Lokalgata</undergrupp>
    </Indelning>
  </Omfattning>
  <Omfattning>
    <identitet>ko_motortrafik01</identitet>
    <Lage>
      <planomrade>true</planomrade>
    </Lage>
    <Indelning>
      <tema>Konsekvenser</tema>
      <grupp>Trafik</grupp>
      <undergrupp>Motortrafik</undergrupp>
    </Indelning>
  </Omfattning>
  <Omfattning>
    <identitet>pf_gångochcykeltrafik01</identitet>
    <Lage>
      <planomrade>true</planomrade>
    </Lage>
    <Indelning>
      <tema>Planeringsförutsättningar</tema>
      <grupp>Trafik</grupp>
      <undergrupp>Gång- och cykeltrafik</undergrupp>
    </Indelning>
  </Omfattning>
  <Omfattning>
    <identitet>pf_kollektivtrafik01</identitet>
    <Lage>
      <planomrade>true</planomrade>
    </Lage>
    <Indelning>
      <tema>Planeringsförutsättningar</tema>
      <grupp>Trafik</grupp>
      <undergrupp>Kollektivtrafik</undergrupp>
    </Indelning>
  </Omfattning>
  <Omfattning>
    <identitet>pf_tillgänglighet01</identitet>
    <Lage>
      <planomrade>true</planomrade>
    </Lage>
    <Indelning>
      <tema>Planeringsförutsättningar</tema>
      <grupp>Trafik</grupp>
      <undergrupp>Tillgänglighet</undergrupp>
    </Indelning>
  </Omfattning>
  <Omfattning>
    <identitet>ko_sociala01</identitet>
    <Lage>
      <planomrade>true</planomrade>
    </Lage>
    <Indelning>
      <tema>Konsekvenser</tema>
      <grupp>Sociala</grupp>
    </Indelning>
  </Omfattning>
  <Omfattning>
    <identitet>pf_vattenochavlopp01</identitet>
    <Lage>
      <planomrade>true</planomrade>
    </Lage>
    <Indelning>
      <tema>Planeringsförutsättningar</tema>
      <grupp>Teknik</grupp>
      <undergrupp>Vatten och avlopp</undergrupp>
    </Indelning>
  </Omfattning>
  <Omfattning>
    <identitet>ko_dagvatten01</identitet>
    <Lage>
      <planomrade>true</planomrade>
    </Lage>
    <Indelning>
      <tema>Konsekvenser</tema>
      <grupp>Miljö</grupp>
      <undergrupp>Dagvatten</undergrupp>
    </Indelning>
  </Omfattning>
  <Omfattning>
    <identitet>pf_eltelevärmeochbredband01</identitet>
    <Lage>
      <planomrade>true</planomrade>
    </Lage>
    <Indelning>
      <tema>Planeringsförutsättningar</tema>
      <grupp>Teknik</grupp>
      <undergrupp>El, tele, värme och bredband</undergrupp>
    </Indelning>
  </Omfattning>
  <Omfattning>
    <identitet>pf_avfall01</identitet>
    <Lage>
      <planomrade>true</planomrade>
    </Lage>
    <Indelning>
      <tema>Planeringsförutsättningar</tema>
      <grupp>Teknik</grupp>
      <undergrupp>Avfall</undergrupp>
    </Indelning>
  </Omfattning>
  <Omfattning>
    <identitet>pf_luft01</identitet>
    <Lage>
      <planomrade>true</planomrade>
    </Lage>
    <Indelning>
      <tema>Planeringsförutsättningar</tema>
      <grupp>Miljökvalitetsnormer</grupp>
      <undergrupp>Luft</undergrupp>
    </Indelning>
  </Omfattning>
  <Omfattning>
    <identitet>ko_luft01</identitet>
    <Lage>
      <planomrade>true</planomrade>
    </Lage>
    <Indelning>
      <tema>Konsekvenser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ko_vatten01</identitet>
    <Lage>
      <planomrade>true</planomrade>
    </Lage>
    <Indelning>
      <tema>Konsekvenser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ko_buller01</identitet>
    <Lage>
      <planomrade>true</planomrade>
    </Lage>
    <Indelning>
      <tema>Konsekvenser</tema>
      <grupp>Miljökvalitetsnormer</grupp>
      <undergrupp>Buller</undergrupp>
    </Indelning>
  </Omfattning>
  <Omfattning>
    <identitet>pf_omgivningsbuller01</identitet>
    <Lage>
      <planomrade>true</planomrade>
    </Lage>
    <Indelning>
      <tema>Planeringsförutsättningar</tema>
      <grupp>Hälsa och säkerhet</grupp>
      <undergrupp>Omgivningsbuller</undergrupp>
    </Indelning>
  </Omfattning>
  <Omfattning>
    <identitet>pf_omgivningsbuller02</identitet>
    <Lage>
      <planomrade>true</planomrade>
    </Lage>
    <Indelning>
      <tema>Planeringsförutsättningar</tema>
      <grupp>Hälsa och säkerhet</grupp>
      <undergrupp>Omgivningsbuller</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ko_hälsaochsäkerhet01</identitet>
    <Lage>
      <planomrade>true</planomrade>
    </Lage>
    <Indelning>
      <tema>Konsekvenser</tema>
      <grupp>Hälsa och säkerhet</grupp>
    </Indelning>
  </Omfattning>
  <Omfattning>
    <identitet>pf_förorenadmark01</identitet>
    <Lage>
      <planomrade>true</planomrade>
    </Lage>
    <Indelning>
      <tema>Planeringsförutsättningar</tema>
      <grupp>Hälsa och säkerhet</grupp>
      <undergrupp>Förorenad mark</undergrupp>
    </Indelning>
  </Omfattning>
  <Omfattning>
    <identitet>pf_hälsaochsäkerhet01</identitet>
    <Lage>
      <planomrade>true</planomrade>
    </Lage>
    <Indelning>
      <tema>Planeringsförutsättningar</tema>
      <grupp>Hälsa och säkerhet</grupp>
    </Indelning>
  </Omfattning>
  <Omfattning>
    <identitet>pf_hälsaochsäkerhet02</identitet>
    <Lage>
      <planomrade>true</planomrade>
    </Lage>
    <Indelning>
      <tema>Planeringsförutsättningar</tema>
      <grupp>Hälsa och säkerhet</grupp>
    </Indelning>
  </Omfattning>
  <Omfattning>
    <identitet>pf_hälsaochsäkerhet03</identitet>
    <Lage>
      <planomrade>true</planomrade>
    </Lage>
    <Indelning>
      <tema>Planeringsförutsättningar</tema>
      <grupp>Hälsa och säkerhet</grupp>
    </Indelning>
  </Omfattning>
  <Omfattning>
    <identitet>gf_fastighetsrättsligafrågor01</identitet>
    <Lage>
      <planomrade>true</planomrade>
    </Lage>
    <Indelning>
      <tema>Genomförandefrågor</tema>
      <grupp>Fastighetsrättsliga frågor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gf_annat01</identitet>
    <Lage>
      <planomrade>true</planomrade>
    </Lage>
    <Indelning>
      <tema>Genomförandefrågor</tema>
      <grupp>Annat</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gf_avfall01</identitet>
    <Lage>
      <planomrade>true</planomrade>
    </Lage>
    <Indelning>
      <tema>Genomförandefrågor</tema>
      <grupp>Tekniska frågor</grupp>
      <undergrupp>Avfall</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gf_tidplan01</identitet>
    <Lage>
      <planomrade>true</planomrade>
    </Lage>
    <Indelning>
      <tema>Genomförandefrågor</tema>
      <grupp>Organisatoriska frågor</grupp>
      <undergrupp>Tidplan</undergrupp>
    </Indelning>
  </Omfattning>
</Planbeskrivning>
</file>

<file path=customXml/itemProps1.xml><?xml version="1.0" encoding="utf-8"?>
<ds:datastoreItem xmlns:ds="http://schemas.openxmlformats.org/officeDocument/2006/customXml" ds:itemID="{2e06f410-3202-408a-9724-fe63d09ceb4c}">
  <ds:schemaRefs>
    <ds:schemaRef ds:uri="http://schemas.microsoft.com/vsto/samples"/>
  </ds:schemaRefs>
</ds:datastoreItem>
</file>

<file path=customXml/itemProps2.xml><?xml version="1.0" encoding="utf-8"?>
<ds:datastoreItem xmlns:ds="http://schemas.openxmlformats.org/officeDocument/2006/customXml" ds:itemID="0b520d48-0959-4098-88be-64e3429ba404">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Samir Hazrat</dc:creator>
  <dcterms:created xsi:type="dcterms:W3CDTF">2024-12-09T14:43:00Z</dcterms:created>
  <cp:lastModifiedBy>Samir Hazrat</cp:lastModifiedBy>
  <cp:lastPrinted>2024-07-25T10:42:00Z</cp:lastPrinted>
  <dcterms:modified xsi:type="dcterms:W3CDTF">2024-12-16T15:20:45Z</dcterms:modified>
  <cp:revision>8</cp:revision>
</cp:coreProperties>
</file>