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 Id="customR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pPr>
        <w:rPr>
          <w:rFonts w:cs="Arial"/>
          <w:b w:val="1"/>
          <w:sz w:val="32"/>
        </w:rPr>
      </w:pPr>
      <w:r>
        <w:rPr>
          <w:rFonts w:cs="Arial"/>
          <w:noProof w:val="1"/>
        </w:rPr>
        <mc:AlternateContent>
          <mc:Choice Requires="wps">
            <w:drawing>
              <wp:anchor xmlns:wp="http://schemas.openxmlformats.org/drawingml/2006/wordprocessingDrawing" distT="0" distB="0" distL="114300" distR="114300" simplePos="0" relativeHeight="1" behindDoc="0" locked="0" layoutInCell="1" allowOverlap="1">
                <wp:simplePos x="0" y="0"/>
                <wp:positionH relativeFrom="page">
                  <wp:align>left</wp:align>
                </wp:positionH>
                <wp:positionV relativeFrom="paragraph">
                  <wp:posOffset>-896620</wp:posOffset>
                </wp:positionV>
                <wp:extent cx="208915" cy="10802620"/>
                <wp:effectExtent l="0" t="0" r="19685" b="17780"/>
                <wp:wrapNone/>
                <wp:docPr id="6" name="Rektangel 6"/>
                <wp:cNvGraphicFramePr/>
                <a:graphic xmlns:a="http://schemas.openxmlformats.org/drawingml/2006/main">
                  <a:graphicData uri="http://schemas.microsoft.com/office/word/2010/wordprocessingShape">
                    <wps:wsp>
                      <wps:cNvSpPr/>
                      <wps:spPr>
                        <a:xfrm>
                          <a:off x="0" y="0"/>
                          <a:ext cx="209007" cy="10802984"/>
                        </a:xfrm>
                        <a:prstGeom prst="rect"/>
                        <a:solidFill>
                          <a:srgbClr val="062F50"/>
                        </a:solidFill>
                        <a:ln>
                          <a:solidFill>
                            <a:srgbClr val="062F50"/>
                          </a:solidFill>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xmlns:o="urn:schemas-microsoft-com:office:office" id="Rektangel 6" o:spid="_x0000_s1026" style="position:absolute;width:16.45pt;height:850.6pt;z-index:1;mso-wrap-distance-left:9pt;mso-wrap-distance-top:0pt;mso-wrap-distance-right:9pt;mso-wrap-distance-bottom:0pt;margin-left:0pt;margin-top:-70.6pt;mso-position-horizontal:left;mso-position-horizontal-relative:page;mso-position-vertical:absolute;mso-position-vertical-relative:text;v-text-anchor:middle" o:allowincell="t" fillcolor="#062F50" strokecolor="#062F50" strokeweight="1pt" stroked="t">
                <v:textbox inset="3mm,1mm,3mm,1mm">
                  <w:txbxContent>
                    <w:p/>
                  </w:txbxContent>
                </v:textbox>
              </v:rect>
            </w:pict>
          </mc:Fallback>
        </mc:AlternateContent>
      </w:r>
    </w:p>
    <w:p>
      <w:pPr>
        <w:spacing w:after="160" w:beforeAutospacing="0" w:afterAutospacing="0"/>
        <w:rPr>
          <w:rFonts w:cs="Arial"/>
          <w:b w:val="1"/>
          <w:sz w:val="32"/>
        </w:rPr>
      </w:pPr>
      <w:r>
        <w:rPr>
          <w:rFonts w:cs="Arial"/>
          <w:bCs w:val="1"/>
          <w:noProof w:val="1"/>
          <w:color w:val="00C2FB"/>
          <w:sz w:val="18"/>
        </w:rPr>
        <w:drawing>
          <wp:anchor xmlns:wp="http://schemas.openxmlformats.org/drawingml/2006/wordprocessingDrawing" distT="0" distB="0" distL="114300" distR="114300" simplePos="0" relativeHeight="251659265" behindDoc="1" locked="0" layoutInCell="1" allowOverlap="1">
            <wp:simplePos x="0" y="0"/>
            <wp:positionH relativeFrom="column">
              <wp:posOffset>-552450</wp:posOffset>
            </wp:positionH>
            <wp:positionV relativeFrom="paragraph">
              <wp:posOffset>-189230</wp:posOffset>
            </wp:positionV>
            <wp:extent cx="1713865" cy="700405"/>
            <wp:effectExtent l="0" t="0" r="635" b="4445"/>
            <wp:wrapNone/>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5"/>
                    <pic:cNvPicPr/>
                  </pic:nvPicPr>
                  <pic:blipFill dpi="0">
                    <a:blip xmlns:r="http://schemas.openxmlformats.org/officeDocument/2006/relationships" r:embed="Relimage1" cstate="print"/>
                    <a:srcRect l="6736"/>
                    <a:stretch>
                      <a:fillRect/>
                    </a:stretch>
                  </pic:blipFill>
                  <pic:spPr bwMode="auto">
                    <a:xfrm>
                      <a:off x="0" y="0"/>
                      <a:ext cx="1713865" cy="700405"/>
                    </a:xfrm>
                    <a:prstGeom prst="rect"/>
                    <a:ln>
                      <a:noFill/>
                    </a:ln>
                  </pic:spPr>
                </pic:pic>
              </a:graphicData>
            </a:graphic>
          </wp:anchor>
        </w:drawing>
      </w:r>
      <w:bookmarkStart w:id="0" w:name="_Hlk214612556"/>
      <w:bookmarkEnd w:id="0"/>
      <w:bookmarkStart w:id="1" w:name="_Hlk215829830"/>
      <w:bookmarkEnd w:id="1"/>
    </w:p>
    <w:p>
      <w:pPr>
        <w:pBdr>
          <w:top w:val="none" w:sz="0" w:space="0" w:shadow="0" w:frame="0" w:color="auto"/>
          <w:left w:val="none" w:sz="0" w:space="0" w:shadow="0" w:frame="0" w:color="auto"/>
          <w:bottom w:val="single" w:sz="4" w:space="1" w:shadow="0" w:frame="0" w:color="auto"/>
          <w:right w:val="none" w:sz="0" w:space="0" w:shadow="0" w:frame="0" w:color="auto"/>
          <w:between w:val="none" w:sz="0" w:space="0" w:shadow="0" w:frame="0" w:color="auto"/>
        </w:pBdr>
        <w:spacing w:lineRule="atLeast" w:line="240" w:beforeAutospacing="0" w:afterAutospacing="0"/>
        <w:rPr>
          <w:rFonts w:cs="Arial"/>
          <w:b w:val="1"/>
          <w:sz w:val="32"/>
        </w:rPr>
      </w:pPr>
    </w:p>
    <w:p>
      <w:pPr>
        <w:pBdr>
          <w:top w:val="none" w:sz="0" w:space="0" w:shadow="0" w:frame="0" w:color="auto"/>
          <w:left w:val="none" w:sz="0" w:space="0" w:shadow="0" w:frame="0" w:color="auto"/>
          <w:bottom w:val="single" w:sz="4" w:space="1" w:shadow="0" w:frame="0" w:color="auto"/>
          <w:right w:val="none" w:sz="0" w:space="0" w:shadow="0" w:frame="0" w:color="auto"/>
          <w:between w:val="none" w:sz="0" w:space="0" w:shadow="0" w:frame="0" w:color="auto"/>
        </w:pBdr>
        <w:spacing w:lineRule="atLeast" w:line="240" w:beforeAutospacing="0" w:afterAutospacing="0"/>
        <w:rPr>
          <w:rFonts w:cs="Arial"/>
          <w:b w:val="1"/>
          <w:sz w:val="32"/>
        </w:rPr>
      </w:pPr>
    </w:p>
    <w:p>
      <w:pPr>
        <w:pBdr>
          <w:top w:val="none" w:sz="0" w:space="0" w:shadow="0" w:frame="0" w:color="auto"/>
          <w:left w:val="none" w:sz="0" w:space="0" w:shadow="0" w:frame="0" w:color="auto"/>
          <w:bottom w:val="single" w:sz="4" w:space="1" w:shadow="0" w:frame="0" w:color="auto"/>
          <w:right w:val="none" w:sz="0" w:space="0" w:shadow="0" w:frame="0" w:color="auto"/>
          <w:between w:val="none" w:sz="0" w:space="0" w:shadow="0" w:frame="0" w:color="auto"/>
        </w:pBdr>
        <w:spacing w:lineRule="auto" w:line="240" w:beforeAutospacing="0" w:afterAutospacing="0"/>
        <w:rPr>
          <w:rFonts w:cs="Arial"/>
          <w:b w:val="1"/>
          <w:sz w:val="36"/>
          <w:szCs w:val="24"/>
        </w:rPr>
      </w:pPr>
      <w:r>
        <w:rPr>
          <w:rFonts w:cs="Arial"/>
          <w:b w:val="1"/>
          <w:sz w:val="32"/>
        </w:rPr>
        <w:t>Detaljplan för Härnö-Solum 1:103</w:t>
      </w:r>
    </w:p>
    <w:p>
      <w:pPr>
        <w:pBdr>
          <w:top w:val="none" w:sz="0" w:space="0" w:shadow="0" w:frame="0" w:color="auto"/>
          <w:left w:val="none" w:sz="0" w:space="0" w:shadow="0" w:frame="0" w:color="auto"/>
          <w:bottom w:val="single" w:sz="4" w:space="1" w:shadow="0" w:frame="0" w:color="auto"/>
          <w:right w:val="none" w:sz="0" w:space="0" w:shadow="0" w:frame="0" w:color="auto"/>
          <w:between w:val="none" w:sz="0" w:space="0" w:shadow="0" w:frame="0" w:color="auto"/>
        </w:pBdr>
        <w:spacing w:lineRule="auto" w:line="240" w:beforeAutospacing="0" w:afterAutospacing="0"/>
        <w:rPr>
          <w:rFonts w:cs="Arial"/>
          <w:b w:val="1"/>
          <w:sz w:val="32"/>
        </w:rPr>
      </w:pPr>
      <w:r>
        <w:rPr>
          <w:rFonts w:cs="Arial"/>
          <w:b w:val="1"/>
          <w:sz w:val="32"/>
        </w:rPr>
        <w:t>i Härnösands kommun, Västernorrlands län</w:t>
      </w:r>
    </w:p>
    <w:p>
      <w:pPr>
        <w:rPr>
          <w:rFonts w:cs="Arial"/>
          <w:color w:val="2E75B5" w:themeColor="accent5" w:themeShade="BF"/>
          <w:szCs w:val="24"/>
        </w:rPr>
      </w:pPr>
      <w:r>
        <w:rPr>
          <w:rFonts w:cs="Arial"/>
          <w:b w:val="1"/>
          <w:noProof w:val="1"/>
          <w:sz w:val="32"/>
        </w:rPr>
        <w:drawing>
          <wp:inline xmlns:wp="http://schemas.openxmlformats.org/drawingml/2006/wordprocessingDrawing" distT="0" distB="0" distL="0" distR="0">
            <wp:extent cx="5292090" cy="3616960"/>
            <wp:effectExtent l="0" t="0" r="3810" b="254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6"/>
                    <pic:cNvPicPr/>
                  </pic:nvPicPr>
                  <pic:blipFill dpi="0">
                    <a:blip xmlns:r="http://schemas.openxmlformats.org/officeDocument/2006/relationships" r:embed="Relimage2"/>
                    <a:srcRect/>
                    <a:stretch>
                      <a:fillRect/>
                    </a:stretch>
                  </pic:blipFill>
                  <pic:spPr>
                    <a:xfrm>
                      <a:off x="0" y="0"/>
                      <a:ext cx="5292090" cy="3616960"/>
                    </a:xfrm>
                    <a:prstGeom prst="rect"/>
                  </pic:spPr>
                </pic:pic>
              </a:graphicData>
            </a:graphic>
          </wp:inline>
        </w:drawing>
      </w:r>
    </w:p>
    <w:p>
      <w:pPr>
        <w:rPr>
          <w:rFonts w:cs="Arial"/>
          <w:color w:val="2E75B5" w:themeColor="accent5" w:themeShade="BF"/>
          <w:sz w:val="22"/>
        </w:rPr>
      </w:pPr>
    </w:p>
    <w:tbl>
      <w:tblPr>
        <w:tblStyle w:val="T7"/>
        <w:tblW w:w="8359" w:type="dxa"/>
        <w:tblLayout w:type="fixed"/>
        <w:tblLook w:val="04A0"/>
      </w:tblPr>
      <w:tblGrid/>
      <w:tr>
        <w:trPr>
          <w:trHeight w:hRule="atLeast" w:val="678"/>
        </w:trPr>
        <w:tc>
          <w:tcPr>
            <w:cnfStyle w:val="001000000000"/>
            <w:tcW w:w="4673" w:type="dxa"/>
            <w:gridSpan w:val="3"/>
            <w:shd w:val="clear" w:color="auto" w:fill="auto"/>
          </w:tcPr>
          <w:p>
            <w:pPr>
              <w:rPr>
                <w:rFonts w:cs="Arial"/>
                <w:color w:val="auto"/>
                <w:sz w:val="36"/>
                <w:szCs w:val="36"/>
              </w:rPr>
            </w:pPr>
            <w:r>
              <w:rPr>
                <w:rFonts w:cs="Arial"/>
                <w:color w:val="auto"/>
                <w:sz w:val="32"/>
                <w:szCs w:val="32"/>
              </w:rPr>
              <w:t xml:space="preserve">Planbeskrivning – </w:t>
            </w:r>
            <w:r>
              <w:rPr>
                <w:rFonts w:cs="Arial"/>
                <w:b w:val="0"/>
                <w:bCs w:val="0"/>
                <w:color w:val="auto"/>
                <w:sz w:val="32"/>
                <w:szCs w:val="32"/>
              </w:rPr>
              <w:t xml:space="preserve">Antagandehandling </w:t>
              <w:br w:type="textWrapping"/>
            </w:r>
            <w:r>
              <w:t>2026-03-19</w:t>
            </w:r>
          </w:p>
        </w:tc>
        <w:tc>
          <w:tcPr>
            <w:tcW w:w="1701" w:type="dxa"/>
            <w:shd w:val="clear" w:color="auto" w:fill="auto"/>
          </w:tcPr>
          <w:p>
            <w:pPr>
              <w:spacing w:lineRule="auto" w:line="259" w:beforeAutospacing="0" w:afterAutospacing="0"/>
              <w:rPr>
                <w:rFonts w:cs="Arial"/>
                <w:b w:val="0"/>
                <w:bCs w:val="0"/>
                <w:color w:val="auto"/>
              </w:rPr>
            </w:pPr>
            <w:r>
              <w:rPr>
                <w:rFonts w:cs="Arial"/>
                <w:b w:val="0"/>
                <w:bCs w:val="0"/>
                <w:color w:val="auto"/>
              </w:rPr>
              <w:t>Aktnummer:</w:t>
              <w:br w:type="textWrapping"/>
            </w:r>
            <w:r>
              <w:rPr>
                <w:rFonts w:cs="Arial"/>
                <w:color w:val="auto"/>
                <w:szCs w:val="24"/>
              </w:rPr>
              <w:t>2280-DP-528</w:t>
            </w:r>
          </w:p>
        </w:tc>
        <w:tc>
          <w:tcPr>
            <w:tcW w:w="1985" w:type="dxa"/>
            <w:shd w:val="clear" w:color="auto" w:fill="auto"/>
          </w:tcPr>
          <w:p>
            <w:pPr>
              <w:rPr>
                <w:rFonts w:cs="Arial"/>
                <w:b w:val="0"/>
                <w:color w:val="auto"/>
                <w:szCs w:val="24"/>
              </w:rPr>
            </w:pPr>
            <w:r>
              <w:rPr>
                <w:rFonts w:cs="Arial"/>
                <w:b w:val="0"/>
                <w:color w:val="auto"/>
                <w:szCs w:val="24"/>
              </w:rPr>
              <w:t>Diarienummer:</w:t>
            </w:r>
          </w:p>
          <w:p>
            <w:pPr>
              <w:rPr>
                <w:rFonts w:cs="Arial"/>
                <w:szCs w:val="24"/>
              </w:rPr>
            </w:pPr>
            <w:r>
              <w:rPr>
                <w:rFonts w:cs="Arial"/>
                <w:color w:val="auto"/>
                <w:szCs w:val="24"/>
              </w:rPr>
              <w:t>SAM-2025-2115</w:t>
              <w:br w:type="textWrapping"/>
            </w:r>
          </w:p>
        </w:tc>
      </w:tr>
      <w:tr>
        <w:trPr>
          <w:trHeight w:hRule="atLeast" w:val="3360"/>
        </w:trPr>
        <w:tc>
          <w:tcPr>
            <w:cnfStyle w:val="001000000000"/>
            <w:tcW w:w="1555" w:type="dxa"/>
            <w:shd w:val="clear" w:color="auto" w:fill="auto"/>
          </w:tcPr>
          <w:p>
            <w:pPr>
              <w:rPr>
                <w:rFonts w:cs="Arial"/>
                <w:b w:val="0"/>
                <w:bCs w:val="0"/>
                <w:iCs w:val="1"/>
                <w:color w:val="auto"/>
                <w:szCs w:val="24"/>
              </w:rPr>
            </w:pPr>
            <w:r>
              <w:rPr>
                <w:rFonts w:cs="Arial"/>
                <w:b w:val="0"/>
                <w:bCs w:val="0"/>
                <w:iCs w:val="1"/>
                <w:color w:val="auto"/>
                <w:szCs w:val="24"/>
              </w:rPr>
              <w:t>Gällande lagstiftning:</w:t>
            </w:r>
          </w:p>
          <w:p>
            <w:pPr>
              <w:rPr>
                <w:rFonts w:cs="Arial"/>
                <w:b w:val="0"/>
                <w:bCs w:val="0"/>
                <w:sz w:val="28"/>
                <w:szCs w:val="28"/>
              </w:rPr>
            </w:pPr>
            <w:r>
              <w:rPr>
                <w:rFonts w:cs="Arial"/>
                <w:b w:val="0"/>
                <w:bCs w:val="0"/>
                <w:iCs w:val="1"/>
                <w:color w:val="auto"/>
                <w:szCs w:val="24"/>
              </w:rPr>
              <w:t xml:space="preserve">PBL 2010:900 </w:t>
            </w:r>
          </w:p>
          <w:p>
            <w:pPr>
              <w:rPr>
                <w:rFonts w:cs="Arial"/>
                <w:b w:val="0"/>
                <w:bCs w:val="0"/>
                <w:color w:val="auto"/>
                <w:szCs w:val="24"/>
              </w:rPr>
            </w:pPr>
            <w:r>
              <w:rPr>
                <w:rFonts w:cs="Arial"/>
                <w:b w:val="0"/>
                <w:bCs w:val="0"/>
                <w:color w:val="auto"/>
                <w:szCs w:val="24"/>
              </w:rPr>
              <w:t>BFS 2020:5</w:t>
            </w:r>
          </w:p>
          <w:p>
            <w:pPr>
              <w:rPr>
                <w:rFonts w:cs="Arial"/>
                <w:b w:val="0"/>
                <w:bCs w:val="0"/>
                <w:color w:val="auto"/>
                <w:szCs w:val="24"/>
              </w:rPr>
            </w:pPr>
            <w:r>
              <w:rPr>
                <w:rFonts w:cs="Arial"/>
                <w:b w:val="0"/>
                <w:bCs w:val="0"/>
                <w:color w:val="auto"/>
                <w:szCs w:val="24"/>
              </w:rPr>
              <w:t>BFS 2020:6</w:t>
            </w:r>
          </w:p>
          <w:p>
            <w:pPr>
              <w:rPr>
                <w:rFonts w:cs="Arial"/>
                <w:b w:val="0"/>
                <w:bCs w:val="0"/>
                <w:color w:val="auto"/>
                <w:szCs w:val="24"/>
              </w:rPr>
            </w:pPr>
            <w:r>
              <w:rPr>
                <w:rFonts w:cs="Arial"/>
                <w:b w:val="0"/>
                <w:bCs w:val="0"/>
                <w:color w:val="auto"/>
                <w:szCs w:val="24"/>
              </w:rPr>
              <w:t>BFS 2020:8</w:t>
            </w:r>
          </w:p>
        </w:tc>
        <w:tc>
          <w:tcPr>
            <w:tcW w:w="1559" w:type="dxa"/>
            <w:shd w:val="clear" w:color="auto" w:fill="auto"/>
          </w:tcPr>
          <w:p>
            <w:pPr>
              <w:rPr>
                <w:rFonts w:cs="Arial"/>
                <w:color w:val="auto"/>
                <w:szCs w:val="24"/>
              </w:rPr>
            </w:pPr>
            <w:r>
              <w:rPr>
                <w:rFonts w:cs="Arial"/>
                <w:color w:val="auto"/>
                <w:szCs w:val="24"/>
              </w:rPr>
              <w:t>Planbesked:</w:t>
            </w:r>
          </w:p>
          <w:p>
            <w:pPr>
              <w:rPr>
                <w:rFonts w:cs="Arial"/>
                <w:color w:val="auto"/>
                <w:szCs w:val="24"/>
              </w:rPr>
            </w:pPr>
            <w:r>
              <w:rPr>
                <w:rFonts w:cs="Arial"/>
                <w:color w:val="auto"/>
                <w:szCs w:val="24"/>
              </w:rPr>
              <w:t xml:space="preserve">SAM § 114 </w:t>
            </w:r>
          </w:p>
          <w:p>
            <w:pPr>
              <w:rPr>
                <w:rFonts w:cs="Arial"/>
                <w:color w:val="auto"/>
                <w:szCs w:val="24"/>
                <w:highlight w:val="yellow"/>
              </w:rPr>
            </w:pPr>
            <w:r>
              <w:rPr>
                <w:rFonts w:cs="Arial"/>
                <w:color w:val="auto"/>
                <w:szCs w:val="24"/>
              </w:rPr>
              <w:t>2025-09-25</w:t>
            </w:r>
          </w:p>
        </w:tc>
        <w:tc>
          <w:tcPr>
            <w:tcW w:w="1559" w:type="dxa"/>
            <w:shd w:val="clear" w:color="auto" w:fill="auto"/>
          </w:tcPr>
          <w:p>
            <w:pPr>
              <w:rPr>
                <w:rFonts w:cs="Arial"/>
                <w:color w:val="auto"/>
                <w:szCs w:val="24"/>
              </w:rPr>
            </w:pPr>
            <w:r>
              <w:rPr>
                <w:rFonts w:cs="Arial"/>
                <w:color w:val="auto"/>
                <w:szCs w:val="24"/>
              </w:rPr>
              <w:t>Detaljplan påbörjad:</w:t>
            </w:r>
          </w:p>
          <w:p>
            <w:pPr>
              <w:rPr>
                <w:rFonts w:cs="Arial"/>
                <w:color w:val="4472C4" w:themeColor="accent1"/>
                <w:highlight w:val="yellow"/>
              </w:rPr>
            </w:pPr>
            <w:r>
              <w:rPr>
                <w:rFonts w:cs="Arial"/>
                <w:color w:val="auto"/>
                <w:szCs w:val="24"/>
              </w:rPr>
              <w:t>2025-10-03</w:t>
            </w:r>
          </w:p>
        </w:tc>
        <w:tc>
          <w:tcPr>
            <w:tcW w:w="1701" w:type="dxa"/>
            <w:shd w:val="clear" w:color="auto" w:fill="auto"/>
          </w:tcPr>
          <w:p>
            <w:pPr>
              <w:rPr>
                <w:rFonts w:cs="Arial"/>
                <w:color w:val="auto"/>
              </w:rPr>
            </w:pPr>
            <w:r>
              <w:rPr>
                <w:rFonts w:cs="Arial"/>
                <w:color w:val="auto"/>
              </w:rPr>
              <w:t>Antagen:</w:t>
            </w:r>
          </w:p>
          <w:p>
            <w:pPr>
              <w:rPr>
                <w:rFonts w:cs="Arial"/>
                <w:color w:val="auto"/>
                <w:szCs w:val="24"/>
              </w:rPr>
            </w:pPr>
            <w:r>
              <w:rPr>
                <w:rFonts w:cs="Arial"/>
                <w:color w:val="auto"/>
                <w:szCs w:val="24"/>
              </w:rPr>
              <w:t>2026-02-26</w:t>
            </w:r>
          </w:p>
        </w:tc>
        <w:tc>
          <w:tcPr>
            <w:tcW w:w="1985" w:type="dxa"/>
            <w:shd w:val="clear" w:color="auto" w:fill="auto"/>
          </w:tcPr>
          <w:p>
            <w:pPr>
              <w:rPr>
                <w:rFonts w:cs="Arial"/>
                <w:color w:val="auto"/>
                <w:szCs w:val="24"/>
              </w:rPr>
            </w:pPr>
            <w:r>
              <w:rPr>
                <w:rFonts w:cs="Arial"/>
                <w:color w:val="auto"/>
                <w:szCs w:val="24"/>
              </w:rPr>
              <w:t>Laga kraft:</w:t>
            </w:r>
          </w:p>
          <w:p>
            <w:pPr>
              <w:rPr>
                <w:rFonts w:cs="Arial"/>
                <w:color w:val="auto"/>
                <w:szCs w:val="24"/>
              </w:rPr>
            </w:pPr>
            <w:r>
              <w:rPr>
                <w:rFonts w:cs="Arial"/>
                <w:color w:val="auto"/>
                <w:szCs w:val="24"/>
              </w:rPr>
              <w:t>2026-03-19</w:t>
            </w:r>
          </w:p>
        </w:tc>
      </w:tr>
    </w:tbl>
    <w:p>
      <w:pPr>
        <w:rPr>
          <w:rFonts w:cs="Arial"/>
        </w:rPr>
      </w:pPr>
      <w:bookmarkStart w:id="2" w:name="_Toc26438685"/>
      <w:bookmarkStart w:id="3" w:name="_Toc36640949"/>
    </w:p>
    <w:p>
      <w:pPr>
        <w:rPr>
          <w:rFonts w:cs="Arial"/>
          <w:b w:val="1"/>
          <w:color w:val="2F5496" w:themeColor="accent1" w:themeShade="BF"/>
          <w:sz w:val="28"/>
        </w:rPr>
      </w:pPr>
      <w:r>
        <w:rPr>
          <w:rFonts w:cs="Arial"/>
          <w:b w:val="1"/>
          <w:color w:val="2F5496" w:themeColor="accent1" w:themeShade="BF"/>
          <w:sz w:val="28"/>
        </w:rPr>
        <w:t>Om planbeskrivningen</w:t>
      </w:r>
    </w:p>
    <w:p>
      <w:r>
        <w:t>Planbeskrivningens uppgift är att underlätta förståelsen av planförslagets innebörd. Beskrivningen ska redovisa planens syfte samt förutsättningar och förändringar. De tekniska, fastighetsrättsliga och ekonomiska åtgärder som behövs för att genomföra planen ska också framgå. Planbeskrivningen har ingen rättsverkan. Planen upprättas enligt reglerna i plan- och bygglagen 2010:900.</w:t>
      </w:r>
    </w:p>
    <w:p>
      <w:pPr>
        <w:rPr>
          <w:lang w:eastAsia="sv-SE"/>
        </w:rPr>
      </w:pPr>
      <w:r>
        <w:rPr>
          <w:lang w:eastAsia="sv-SE"/>
        </w:rPr>
        <w:t xml:space="preserve">Plankartan och dess bestämmelser är juridiskt bindande enligt plan- och bygglagen (PBL). Plankartan har tagits fram i Geosecma med Fysisk planering. </w:t>
      </w:r>
    </w:p>
    <w:p>
      <w:pPr>
        <w:rPr>
          <w:rFonts w:eastAsia="Arial"/>
          <w:szCs w:val="24"/>
        </w:rPr>
      </w:pPr>
      <w:r>
        <w:rPr>
          <w:lang w:eastAsia="sv-SE"/>
        </w:rPr>
        <w:t xml:space="preserve">Planbeskrivning är ett vägledande och förtydligande dokument till hur </w:t>
      </w:r>
      <w:r>
        <w:t>detaljplanen ska förstås och genomföras. Grundkartan är ett underlag för detaljplanearbet</w:t>
      </w:r>
      <w:r>
        <w:softHyphen/>
      </w:r>
      <w:r>
        <w:softHyphen/>
      </w:r>
      <w:r>
        <w:softHyphen/>
      </w:r>
      <w:r>
        <w:t>et som redovisar topografi och fastighetsförhållanden inom planområdet och dess närmaste omgivning. Grundkartan är framtagen med GNSS-mätningar i fält.</w:t>
      </w:r>
    </w:p>
    <w:p>
      <w:pPr>
        <w:rPr>
          <w:rFonts w:cs="Arial"/>
        </w:rPr>
      </w:pPr>
    </w:p>
    <w:p>
      <w:pPr>
        <w:pStyle w:val="P5"/>
        <w:rPr>
          <w:rFonts w:ascii="Arial" w:hAnsi="Arial" w:cs="Arial"/>
        </w:rPr>
      </w:pPr>
      <w:r>
        <w:rPr>
          <w:rFonts w:ascii="Arial" w:hAnsi="Arial" w:cs="Arial"/>
        </w:rPr>
        <w:t>Avsändare</w:t>
      </w:r>
    </w:p>
    <w:p>
      <w:pPr>
        <w:rPr>
          <w:rFonts w:cs="Arial"/>
        </w:rPr>
      </w:pPr>
      <w:r>
        <w:rPr>
          <w:rFonts w:cs="Arial"/>
        </w:rPr>
        <w:t>Härnösands kommun</w:t>
      </w:r>
    </w:p>
    <w:p>
      <w:pPr>
        <w:rPr>
          <w:rFonts w:cs="Arial"/>
        </w:rPr>
      </w:pPr>
      <w:r>
        <w:rPr>
          <w:rFonts w:cs="Arial"/>
        </w:rPr>
        <w:t>871 80 Härnösand</w:t>
      </w:r>
    </w:p>
    <w:p>
      <w:pPr>
        <w:rPr>
          <w:rFonts w:cs="Arial"/>
        </w:rPr>
      </w:pPr>
      <w:r>
        <w:rPr>
          <w:rFonts w:cs="Arial"/>
          <w:b w:val="1"/>
        </w:rPr>
        <w:t>Telefon</w:t>
      </w:r>
      <w:r>
        <w:rPr>
          <w:rFonts w:cs="Arial"/>
        </w:rPr>
        <w:t>: 0611-34 80 00</w:t>
      </w:r>
    </w:p>
    <w:p>
      <w:pPr>
        <w:rPr>
          <w:rFonts w:cs="Arial"/>
        </w:rPr>
      </w:pPr>
      <w:r>
        <w:rPr>
          <w:rFonts w:cs="Arial"/>
          <w:b w:val="1"/>
        </w:rPr>
        <w:t>E-post</w:t>
      </w:r>
      <w:r>
        <w:rPr>
          <w:rFonts w:cs="Arial"/>
        </w:rPr>
        <w:t>: kommun@harnosand.se</w:t>
      </w:r>
    </w:p>
    <w:p>
      <w:pPr>
        <w:rPr>
          <w:rFonts w:cs="Arial"/>
        </w:rPr>
      </w:pPr>
      <w:r>
        <w:rPr>
          <w:rFonts w:cs="Arial"/>
          <w:b w:val="1"/>
        </w:rPr>
        <w:t>Läs mer på</w:t>
      </w:r>
      <w:r>
        <w:rPr>
          <w:rFonts w:cs="Arial"/>
        </w:rPr>
        <w:t>: https://www.harnosand.se/detaljplanering</w:t>
      </w:r>
    </w:p>
    <w:p>
      <w:pPr>
        <w:rPr>
          <w:rFonts w:cs="Arial"/>
        </w:rPr>
      </w:pPr>
    </w:p>
    <w:p>
      <w:pPr>
        <w:rPr>
          <w:rFonts w:cs="Arial"/>
        </w:rPr>
      </w:pPr>
      <w:r>
        <w:rPr>
          <w:rFonts w:cs="Arial"/>
        </w:rPr>
        <w:t>Detaljplanen har tagits fram av Härnösands samhällsförvaltnings plan- och byggavdelning på delegation från kommunstyrelsen/fullmäktige.</w:t>
      </w:r>
    </w:p>
    <w:p>
      <w:pPr>
        <w:pStyle w:val="P6"/>
        <w:rPr>
          <w:rFonts w:ascii="Arial" w:hAnsi="Arial" w:cs="Arial"/>
          <w:color w:val="062F50"/>
        </w:rPr>
      </w:pPr>
    </w:p>
    <w:p>
      <w:pPr>
        <w:pStyle w:val="P25"/>
        <w:rPr>
          <w:rFonts w:ascii="Arial" w:hAnsi="Arial" w:cs="Arial"/>
          <w:color w:val="2F5496" w:themeColor="accent1" w:themeShade="BF"/>
        </w:rPr>
      </w:pPr>
      <w:r>
        <w:rPr>
          <w:rFonts w:ascii="Arial" w:hAnsi="Arial" w:cs="Arial"/>
          <w:color w:val="2F5496" w:themeColor="accent1" w:themeShade="BF"/>
        </w:rPr>
        <w:t>Medverkande</w:t>
      </w:r>
    </w:p>
    <w:p>
      <w:pPr>
        <w:rPr>
          <w:rFonts w:cs="Arial"/>
        </w:rPr>
      </w:pPr>
      <w:r>
        <w:rPr>
          <w:rFonts w:cs="Arial"/>
        </w:rPr>
        <w:t>Planarkitekt, Amme Hedström, Härnösands Kommun</w:t>
      </w:r>
    </w:p>
    <w:p>
      <w:pPr>
        <w:rPr>
          <w:rFonts w:cs="Arial"/>
        </w:rPr>
      </w:pPr>
      <w:r>
        <w:rPr>
          <w:rFonts w:cs="Arial"/>
        </w:rPr>
        <w:t>Medhandläggare, Thomas Indseth-Nylund, Härnösands Kommun</w:t>
      </w:r>
    </w:p>
    <w:p>
      <w:pPr>
        <w:rPr>
          <w:rFonts w:cs="Arial"/>
          <w:color w:val="0070C0"/>
          <w:lang w:eastAsia="sv-SE"/>
        </w:rPr>
      </w:pPr>
    </w:p>
    <w:p>
      <w:pPr>
        <w:spacing w:after="160" w:beforeAutospacing="0" w:afterAutospacing="0"/>
        <w:rPr>
          <w:rFonts w:cs="Arial"/>
          <w:b w:val="1"/>
          <w:bCs w:val="1"/>
          <w:color w:val="00A01E"/>
          <w:sz w:val="36"/>
          <w:szCs w:val="36"/>
        </w:rPr>
      </w:pPr>
      <w:bookmarkEnd w:id="2"/>
      <w:bookmarkEnd w:id="3"/>
      <w:bookmarkStart w:id="4" w:name="_Toc26438687"/>
    </w:p>
    <w:p>
      <w:pPr>
        <w:spacing w:after="160" w:beforeAutospacing="0" w:afterAutospacing="0"/>
        <w:rPr>
          <w:rFonts w:cs="Arial"/>
          <w:b w:val="1"/>
          <w:bCs w:val="1"/>
          <w:color w:val="00A01E"/>
          <w:sz w:val="36"/>
          <w:szCs w:val="36"/>
        </w:rPr>
      </w:pPr>
    </w:p>
    <w:p>
      <w:pPr>
        <w:rPr>
          <w:rFonts w:cs="Arial"/>
          <w:b w:val="1"/>
          <w:bCs w:val="1"/>
          <w:color w:val="00A01E"/>
          <w:sz w:val="36"/>
          <w:szCs w:val="36"/>
        </w:rPr>
      </w:pPr>
    </w:p>
    <w:p>
      <w:pPr>
        <w:rPr>
          <w:rFonts w:cs="Arial"/>
          <w:b w:val="1"/>
          <w:bCs w:val="1"/>
          <w:color w:val="00A01E"/>
          <w:sz w:val="36"/>
          <w:szCs w:val="36"/>
        </w:rPr>
      </w:pPr>
    </w:p>
    <w:p>
      <w:pPr>
        <w:spacing w:after="160" w:beforeAutospacing="0" w:afterAutospacing="0"/>
        <w:rPr>
          <w:rFonts w:cs="Arial"/>
          <w:b w:val="1"/>
          <w:bCs w:val="1"/>
          <w:sz w:val="28"/>
          <w:szCs w:val="32"/>
        </w:rPr>
      </w:pPr>
      <w:r>
        <w:rPr>
          <w:rFonts w:cs="Arial"/>
          <w:b w:val="1"/>
          <w:bCs w:val="1"/>
          <w:sz w:val="28"/>
          <w:szCs w:val="32"/>
        </w:rPr>
        <w:br w:type="page"/>
      </w:r>
    </w:p>
    <w:p>
      <w:pPr>
        <w:rPr>
          <w:rFonts w:cs="Arial"/>
          <w:b w:val="1"/>
          <w:bCs w:val="1"/>
          <w:sz w:val="28"/>
          <w:szCs w:val="28"/>
        </w:rPr>
      </w:pPr>
      <w:r>
        <w:rPr>
          <w:rFonts w:cs="Arial"/>
          <w:b w:val="1"/>
          <w:bCs w:val="1"/>
          <w:sz w:val="28"/>
          <w:szCs w:val="28"/>
        </w:rPr>
        <w:t>Detaljplaneprocessen (standardförfarande)</w:t>
      </w:r>
      <w:bookmarkEnd w:id="4"/>
    </w:p>
    <w:p>
      <w:pPr>
        <w:rPr>
          <w:rFonts w:cs="Arial"/>
          <w:b w:val="1"/>
          <w:sz w:val="28"/>
          <w:szCs w:val="32"/>
        </w:rPr>
      </w:pPr>
      <w:r>
        <w:rPr>
          <w:rFonts w:cs="Arial"/>
          <w:b w:val="1"/>
          <w:sz w:val="28"/>
          <w:szCs w:val="32"/>
        </w:rPr>
        <w:t>Om detaljplaner</w:t>
      </w:r>
    </w:p>
    <w:p>
      <w:pPr>
        <w:rPr>
          <w:rFonts w:cs="Arial"/>
          <w:lang w:eastAsia="sv-SE"/>
        </w:rPr>
      </w:pPr>
      <w:bookmarkStart w:id="5" w:name="be_ärendeinformation01"/>
      <w:r>
        <w:rPr>
          <w:rFonts w:cs="Arial"/>
          <w:lang w:eastAsia="sv-SE"/>
        </w:rPr>
        <w:t>En detaljplan reglerar hur mark och vatten får användas och hur bebyggelse och byggnadsverk får se ut. Detaljplanen reglerar rättigheter och skyldigheter. Plankartan är bindande vid prövning av exempelvis bygglov. Planbeskrivningen beskriver detalj</w:t>
      </w:r>
      <w:r>
        <w:rPr>
          <w:rFonts w:cs="Arial"/>
          <w:lang w:eastAsia="sv-SE"/>
        </w:rPr>
        <w:softHyphen/>
      </w:r>
      <w:r>
        <w:rPr>
          <w:rFonts w:cs="Arial"/>
          <w:lang w:eastAsia="sv-SE"/>
        </w:rPr>
        <w:t>planens syfte och hur plankartan ska tolkas.</w:t>
      </w:r>
    </w:p>
    <w:p>
      <w:pPr>
        <w:rPr>
          <w:rFonts w:cs="Arial"/>
          <w:noProof w:val="1"/>
          <w:lang w:eastAsia="sv-SE"/>
        </w:rPr>
      </w:pPr>
      <w:r>
        <w:rPr>
          <w:rFonts w:cs="Arial"/>
          <w:lang w:eastAsia="sv-SE"/>
        </w:rPr>
        <w:t>Under arbetet med detaljplanen tar kommunen ställning till hur marken får användas, utifrån en avvägning av allmänna och enskilda intressen. En detaljplan handläggs med begränsat förfarande, standardförfarande eller utökat förfarande. Denna detaljplan handläggs med ett standardförfarande, processen beskrivs nedan.</w:t>
      </w:r>
      <w:r>
        <w:rPr>
          <w:rFonts w:cs="Arial"/>
          <w:noProof w:val="1"/>
          <w:lang w:eastAsia="sv-SE"/>
        </w:rPr>
        <w:t xml:space="preserve"> </w:t>
      </w:r>
    </w:p>
    <w:p>
      <w:pPr>
        <w:spacing w:lineRule="auto" w:line="240" w:before="100" w:after="100" w:beforeAutospacing="1" w:afterAutospacing="1"/>
        <w:rPr>
          <w:rFonts w:ascii="Times New Roman" w:hAnsi="Times New Roman" w:cs="Times New Roman" w:eastAsia="Times New Roman"/>
          <w:szCs w:val="24"/>
          <w:lang w:eastAsia="sv-SE"/>
        </w:rPr>
      </w:pPr>
      <w:r>
        <w:rPr>
          <w:rFonts w:ascii="Times New Roman" w:hAnsi="Times New Roman" w:cs="Times New Roman" w:eastAsia="Times New Roman"/>
          <w:noProof w:val="1"/>
          <w:szCs w:val="24"/>
          <w:lang w:eastAsia="sv-SE"/>
        </w:rPr>
        <mc:AlternateContent>
          <mc:Choice Requires="wps">
            <w:drawing>
              <wp:anchor xmlns:wp="http://schemas.openxmlformats.org/drawingml/2006/wordprocessingDrawing" distT="0" distB="0" distL="114300" distR="114300" simplePos="0" relativeHeight="17" behindDoc="0" locked="0" layoutInCell="1" allowOverlap="1">
                <wp:simplePos x="0" y="0"/>
                <wp:positionH relativeFrom="margin">
                  <wp:posOffset>4518660</wp:posOffset>
                </wp:positionH>
                <wp:positionV relativeFrom="paragraph">
                  <wp:posOffset>173355</wp:posOffset>
                </wp:positionV>
                <wp:extent cx="762635" cy="470535"/>
                <wp:effectExtent l="19050" t="38100" r="18415" b="43815"/>
                <wp:wrapNone/>
                <wp:docPr id="21" name="Rektangel 21"/>
                <wp:cNvGraphicFramePr/>
                <a:graphic xmlns:a="http://schemas.openxmlformats.org/drawingml/2006/main">
                  <a:graphicData uri="http://schemas.microsoft.com/office/word/2010/wordprocessingShape">
                    <wps:wsp>
                      <wps:cNvSpPr/>
                      <wps:spPr>
                        <a:xfrm>
                          <a:off x="0" y="0"/>
                          <a:ext cx="763195" cy="470639"/>
                        </a:xfrm>
                        <a:custGeom>
                          <a:gdLst>
                            <a:gd name="connsiteX0" fmla="*/ 0 w 896816"/>
                            <a:gd name="connsiteY0" fmla="*/ 0 h 457004"/>
                            <a:gd name="connsiteX1" fmla="*/ 896816 w 896816"/>
                            <a:gd name="connsiteY1" fmla="*/ 0 h 457004"/>
                            <a:gd name="connsiteX2" fmla="*/ 896816 w 896816"/>
                            <a:gd name="connsiteY2" fmla="*/ 457004 h 457004"/>
                            <a:gd name="connsiteX3" fmla="*/ 0 w 896816"/>
                            <a:gd name="connsiteY3" fmla="*/ 457004 h 457004"/>
                            <a:gd name="connsiteX4" fmla="*/ 0 w 896816"/>
                            <a:gd name="connsiteY4" fmla="*/ 0 h 457004"/>
                            <a:gd name="connsiteX0" fmla="*/ 0 w 896816"/>
                            <a:gd name="connsiteY0" fmla="*/ 0 h 457004"/>
                            <a:gd name="connsiteX1" fmla="*/ 756139 w 896816"/>
                            <a:gd name="connsiteY1" fmla="*/ 0 h 457004"/>
                            <a:gd name="connsiteX2" fmla="*/ 896816 w 896816"/>
                            <a:gd name="connsiteY2" fmla="*/ 0 h 457004"/>
                            <a:gd name="connsiteX3" fmla="*/ 896816 w 896816"/>
                            <a:gd name="connsiteY3" fmla="*/ 457004 h 457004"/>
                            <a:gd name="connsiteX4" fmla="*/ 0 w 896816"/>
                            <a:gd name="connsiteY4" fmla="*/ 457004 h 457004"/>
                            <a:gd name="connsiteX5" fmla="*/ 0 w 896816"/>
                            <a:gd name="connsiteY5" fmla="*/ 0 h 457004"/>
                            <a:gd name="connsiteX0" fmla="*/ 0 w 896816"/>
                            <a:gd name="connsiteY0" fmla="*/ 0 h 463061"/>
                            <a:gd name="connsiteX1" fmla="*/ 756139 w 896816"/>
                            <a:gd name="connsiteY1" fmla="*/ 0 h 463061"/>
                            <a:gd name="connsiteX2" fmla="*/ 896816 w 896816"/>
                            <a:gd name="connsiteY2" fmla="*/ 0 h 463061"/>
                            <a:gd name="connsiteX3" fmla="*/ 896816 w 896816"/>
                            <a:gd name="connsiteY3" fmla="*/ 457004 h 463061"/>
                            <a:gd name="connsiteX4" fmla="*/ 791308 w 896816"/>
                            <a:gd name="connsiteY4" fmla="*/ 463061 h 463061"/>
                            <a:gd name="connsiteX5" fmla="*/ 0 w 896816"/>
                            <a:gd name="connsiteY5" fmla="*/ 457004 h 463061"/>
                            <a:gd name="connsiteX6" fmla="*/ 0 w 896816"/>
                            <a:gd name="connsiteY6" fmla="*/ 0 h 463061"/>
                            <a:gd name="connsiteX0" fmla="*/ 0 w 896816"/>
                            <a:gd name="connsiteY0" fmla="*/ 0 h 463061"/>
                            <a:gd name="connsiteX1" fmla="*/ 756139 w 896816"/>
                            <a:gd name="connsiteY1" fmla="*/ 0 h 463061"/>
                            <a:gd name="connsiteX2" fmla="*/ 896816 w 896816"/>
                            <a:gd name="connsiteY2" fmla="*/ 0 h 463061"/>
                            <a:gd name="connsiteX3" fmla="*/ 879227 w 896816"/>
                            <a:gd name="connsiteY3" fmla="*/ 281103 h 463061"/>
                            <a:gd name="connsiteX4" fmla="*/ 791308 w 896816"/>
                            <a:gd name="connsiteY4" fmla="*/ 463061 h 463061"/>
                            <a:gd name="connsiteX5" fmla="*/ 0 w 896816"/>
                            <a:gd name="connsiteY5" fmla="*/ 457004 h 463061"/>
                            <a:gd name="connsiteX6" fmla="*/ 0 w 896816"/>
                            <a:gd name="connsiteY6" fmla="*/ 0 h 463061"/>
                            <a:gd name="connsiteX0" fmla="*/ 0 w 879227"/>
                            <a:gd name="connsiteY0" fmla="*/ 0 h 463061"/>
                            <a:gd name="connsiteX1" fmla="*/ 756139 w 879227"/>
                            <a:gd name="connsiteY1" fmla="*/ 0 h 463061"/>
                            <a:gd name="connsiteX2" fmla="*/ 879227 w 879227"/>
                            <a:gd name="connsiteY2" fmla="*/ 281103 h 463061"/>
                            <a:gd name="connsiteX3" fmla="*/ 791308 w 879227"/>
                            <a:gd name="connsiteY3" fmla="*/ 463061 h 463061"/>
                            <a:gd name="connsiteX4" fmla="*/ 0 w 879227"/>
                            <a:gd name="connsiteY4" fmla="*/ 457004 h 463061"/>
                            <a:gd name="connsiteX5" fmla="*/ 0 w 879227"/>
                            <a:gd name="connsiteY5" fmla="*/ 0 h 463061"/>
                            <a:gd name="connsiteX0" fmla="*/ 0 w 855771"/>
                            <a:gd name="connsiteY0" fmla="*/ 0 h 463061"/>
                            <a:gd name="connsiteX1" fmla="*/ 756139 w 855771"/>
                            <a:gd name="connsiteY1" fmla="*/ 0 h 463061"/>
                            <a:gd name="connsiteX2" fmla="*/ 855771 w 855771"/>
                            <a:gd name="connsiteY2" fmla="*/ 257649 h 463061"/>
                            <a:gd name="connsiteX3" fmla="*/ 791308 w 855771"/>
                            <a:gd name="connsiteY3" fmla="*/ 463061 h 463061"/>
                            <a:gd name="connsiteX4" fmla="*/ 0 w 855771"/>
                            <a:gd name="connsiteY4" fmla="*/ 457004 h 463061"/>
                            <a:gd name="connsiteX5" fmla="*/ 0 w 855771"/>
                            <a:gd name="connsiteY5" fmla="*/ 0 h 463061"/>
                            <a:gd name="connsiteX0" fmla="*/ 0 w 855771"/>
                            <a:gd name="connsiteY0" fmla="*/ 0 h 486515"/>
                            <a:gd name="connsiteX1" fmla="*/ 756139 w 855771"/>
                            <a:gd name="connsiteY1" fmla="*/ 0 h 486515"/>
                            <a:gd name="connsiteX2" fmla="*/ 855771 w 855771"/>
                            <a:gd name="connsiteY2" fmla="*/ 257649 h 486515"/>
                            <a:gd name="connsiteX3" fmla="*/ 738528 w 855771"/>
                            <a:gd name="connsiteY3" fmla="*/ 486515 h 486515"/>
                            <a:gd name="connsiteX4" fmla="*/ 0 w 855771"/>
                            <a:gd name="connsiteY4" fmla="*/ 457004 h 486515"/>
                            <a:gd name="connsiteX5" fmla="*/ 0 w 855771"/>
                            <a:gd name="connsiteY5" fmla="*/ 0 h 486515"/>
                            <a:gd name="connsiteX0" fmla="*/ 0 w 855771"/>
                            <a:gd name="connsiteY0" fmla="*/ 0 h 457103"/>
                            <a:gd name="connsiteX1" fmla="*/ 756139 w 855771"/>
                            <a:gd name="connsiteY1" fmla="*/ 0 h 457103"/>
                            <a:gd name="connsiteX2" fmla="*/ 855771 w 855771"/>
                            <a:gd name="connsiteY2" fmla="*/ 257649 h 457103"/>
                            <a:gd name="connsiteX3" fmla="*/ 756121 w 855771"/>
                            <a:gd name="connsiteY3" fmla="*/ 457103 h 457103"/>
                            <a:gd name="connsiteX4" fmla="*/ 0 w 855771"/>
                            <a:gd name="connsiteY4" fmla="*/ 457004 h 457103"/>
                            <a:gd name="connsiteX5" fmla="*/ 0 w 855771"/>
                            <a:gd name="connsiteY5" fmla="*/ 0 h 457103"/>
                            <a:gd name="connsiteX0" fmla="*/ 0 w 855771"/>
                            <a:gd name="connsiteY0" fmla="*/ 0 h 457103"/>
                            <a:gd name="connsiteX1" fmla="*/ 738546 w 855771"/>
                            <a:gd name="connsiteY1" fmla="*/ 11737 h 457103"/>
                            <a:gd name="connsiteX2" fmla="*/ 855771 w 855771"/>
                            <a:gd name="connsiteY2" fmla="*/ 257649 h 457103"/>
                            <a:gd name="connsiteX3" fmla="*/ 756121 w 855771"/>
                            <a:gd name="connsiteY3" fmla="*/ 457103 h 457103"/>
                            <a:gd name="connsiteX4" fmla="*/ 0 w 855771"/>
                            <a:gd name="connsiteY4" fmla="*/ 457004 h 457103"/>
                            <a:gd name="connsiteX5" fmla="*/ 0 w 855771"/>
                            <a:gd name="connsiteY5" fmla="*/ 0 h 457103"/>
                            <a:gd name="connsiteX0" fmla="*/ 0 w 855771"/>
                            <a:gd name="connsiteY0" fmla="*/ 0 h 462189"/>
                            <a:gd name="connsiteX1" fmla="*/ 738546 w 855771"/>
                            <a:gd name="connsiteY1" fmla="*/ 11737 h 462189"/>
                            <a:gd name="connsiteX2" fmla="*/ 855771 w 855771"/>
                            <a:gd name="connsiteY2" fmla="*/ 257649 h 462189"/>
                            <a:gd name="connsiteX3" fmla="*/ 740874 w 855771"/>
                            <a:gd name="connsiteY3" fmla="*/ 462189 h 462189"/>
                            <a:gd name="connsiteX4" fmla="*/ 0 w 855771"/>
                            <a:gd name="connsiteY4" fmla="*/ 457004 h 462189"/>
                            <a:gd name="connsiteX5" fmla="*/ 0 w 855771"/>
                            <a:gd name="connsiteY5" fmla="*/ 0 h 462189"/>
                            <a:gd name="connsiteX0" fmla="*/ 0 w 740874"/>
                            <a:gd name="connsiteY0" fmla="*/ 0 h 462189"/>
                            <a:gd name="connsiteX1" fmla="*/ 738546 w 740874"/>
                            <a:gd name="connsiteY1" fmla="*/ 11737 h 462189"/>
                            <a:gd name="connsiteX2" fmla="*/ 740874 w 740874"/>
                            <a:gd name="connsiteY2" fmla="*/ 462189 h 462189"/>
                            <a:gd name="connsiteX3" fmla="*/ 0 w 740874"/>
                            <a:gd name="connsiteY3" fmla="*/ 457004 h 462189"/>
                            <a:gd name="connsiteX4" fmla="*/ 0 w 740874"/>
                            <a:gd name="connsiteY4" fmla="*/ 0 h 462189"/>
                            <a:gd name="connsiteX0" fmla="*/ 0 w 763191"/>
                            <a:gd name="connsiteY0" fmla="*/ 0 h 470639"/>
                            <a:gd name="connsiteX1" fmla="*/ 738546 w 763191"/>
                            <a:gd name="connsiteY1" fmla="*/ 11737 h 470639"/>
                            <a:gd name="connsiteX2" fmla="*/ 763191 w 763191"/>
                            <a:gd name="connsiteY2" fmla="*/ 470639 h 470639"/>
                            <a:gd name="connsiteX3" fmla="*/ 0 w 763191"/>
                            <a:gd name="connsiteY3" fmla="*/ 457004 h 470639"/>
                            <a:gd name="connsiteX4" fmla="*/ 0 w 763191"/>
                            <a:gd name="connsiteY4" fmla="*/ 0 h 470639"/>
                            <a:gd name="connsiteX0" fmla="*/ 0 w 763191"/>
                            <a:gd name="connsiteY0" fmla="*/ 0 h 470639"/>
                            <a:gd name="connsiteX1" fmla="*/ 763191 w 763191"/>
                            <a:gd name="connsiteY1" fmla="*/ 19172 h 470639"/>
                            <a:gd name="connsiteX2" fmla="*/ 763191 w 763191"/>
                            <a:gd name="connsiteY2" fmla="*/ 470639 h 470639"/>
                            <a:gd name="connsiteX3" fmla="*/ 0 w 763191"/>
                            <a:gd name="connsiteY3" fmla="*/ 457004 h 470639"/>
                            <a:gd name="connsiteX4" fmla="*/ 0 w 763191"/>
                            <a:gd name="connsiteY4" fmla="*/ 0 h 470639"/>
                          </a:gdLst>
                          <a:cxnLst>
                            <a:cxn ang="0">
                              <a:pos x="connsiteX0" y="connsiteY0"/>
                            </a:cxn>
                            <a:cxn ang="0">
                              <a:pos x="connsiteX1" y="connsiteY1"/>
                            </a:cxn>
                            <a:cxn ang="0">
                              <a:pos x="connsiteX2" y="connsiteY2"/>
                            </a:cxn>
                            <a:cxn ang="0">
                              <a:pos x="connsiteX3" y="connsiteY3"/>
                            </a:cxn>
                            <a:cxn ang="0">
                              <a:pos x="connsiteX4" y="connsiteY4"/>
                            </a:cxn>
                          </a:cxnLst>
                          <a:rect l="l" t="t" r="r" b="b"/>
                          <a:pathLst>
                            <a:path w="763191" h="470639">
                              <a:moveTo>
                                <a:pt x="0" y="0"/>
                              </a:moveTo>
                              <a:lnTo>
                                <a:pt x="763191" y="19172"/>
                              </a:lnTo>
                              <a:lnTo>
                                <a:pt x="763191" y="470639"/>
                              </a:lnTo>
                              <a:lnTo>
                                <a:pt x="0" y="457004"/>
                              </a:lnTo>
                              <a:lnTo>
                                <a:pt x="0" y="0"/>
                              </a:lnTo>
                              <a:close/>
                            </a:path>
                          </a:pathLst>
                        </a:cu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Rektangel 21" o:spid="_x0000_s1027" style="position:absolute;width:60.05pt;height:37.05pt;z-index:17;mso-wrap-distance-left:9pt;mso-wrap-distance-top:0pt;mso-wrap-distance-right:9pt;mso-wrap-distance-bottom:0pt;margin-left:355.8pt;margin-top:13.65pt;mso-position-horizontal:absolute;mso-position-horizontal-relative:margin;mso-position-vertical:absolute;mso-position-vertical-relative:text;v-text-anchor:middle" o:allowincell="t" filled="f" strokecolor="#FF0000" strokeweight="2.25pt" stroked="t" coordsize="1201,741" path="m0,0l763191,19172,763191,470639,,457004,,,xe">
                <v:textbox inset="3mm,1mm,3mm,1mm">
                  <w:txbxContent>
                    <w:p/>
                  </w:txbxContent>
                </v:textbox>
              </v:shape>
            </w:pict>
          </mc:Fallback>
        </mc:AlternateContent>
      </w:r>
      <w:r>
        <w:rPr>
          <w:rFonts w:ascii="Times New Roman" w:hAnsi="Times New Roman" w:cs="Times New Roman" w:eastAsia="Times New Roman"/>
          <w:noProof w:val="1"/>
          <w:szCs w:val="24"/>
          <w:lang w:eastAsia="sv-SE"/>
        </w:rPr>
        <w:drawing>
          <wp:inline xmlns:wp="http://schemas.openxmlformats.org/drawingml/2006/wordprocessingDrawing" distT="0" distB="0" distL="0" distR="0">
            <wp:extent cx="5292090" cy="515620"/>
            <wp:effectExtent l="0" t="0" r="3810" b="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7"/>
                    <pic:cNvPicPr/>
                  </pic:nvPicPr>
                  <pic:blipFill dpi="0">
                    <a:blip xmlns:r="http://schemas.openxmlformats.org/officeDocument/2006/relationships" r:embed="Relimage3"/>
                    <a:srcRect t="22065"/>
                    <a:stretch>
                      <a:fillRect/>
                    </a:stretch>
                  </pic:blipFill>
                  <pic:spPr bwMode="auto">
                    <a:xfrm>
                      <a:off x="0" y="0"/>
                      <a:ext cx="5292090" cy="515673"/>
                    </a:xfrm>
                    <a:prstGeom prst="rect"/>
                    <a:ln>
                      <a:noFill/>
                    </a:ln>
                  </pic:spPr>
                </pic:pic>
              </a:graphicData>
            </a:graphic>
          </wp:inline>
        </w:drawing>
      </w:r>
    </w:p>
    <w:p>
      <w:pPr>
        <w:rPr>
          <w:rFonts w:cs="Arial"/>
          <w:b w:val="1"/>
          <w:sz w:val="28"/>
          <w:szCs w:val="28"/>
        </w:rPr>
      </w:pPr>
      <w:r>
        <w:rPr>
          <w:rFonts w:cs="Arial"/>
          <w:b w:val="1"/>
          <w:sz w:val="28"/>
          <w:szCs w:val="28"/>
        </w:rPr>
        <w:t>Samråd</w:t>
      </w:r>
    </w:p>
    <w:p>
      <w:r>
        <w:t>Samråd av planförslaget sker med länsstyrelsen, lantmäterimyndigheten, kända sakägare och andra berörda. Syftet med samrådet är att samla in information och synpunkter, förankra förslaget och få fram ett så bra beslutsunderlag som möjligt. De skriftliga synpunkter som inkommit under samrådstiden redovisas och bemöts i en samråds</w:t>
      </w:r>
      <w:r>
        <w:softHyphen/>
      </w:r>
      <w:r>
        <w:t>redogörelse. Därefter justeras förslaget utifrån inkomna synpunkter.</w:t>
      </w:r>
    </w:p>
    <w:p>
      <w:pPr>
        <w:rPr>
          <w:rFonts w:cs="Arial"/>
          <w:b w:val="1"/>
          <w:sz w:val="28"/>
          <w:szCs w:val="28"/>
          <w:lang w:eastAsia="sv-SE"/>
        </w:rPr>
      </w:pPr>
      <w:r>
        <w:rPr>
          <w:rFonts w:cs="Arial"/>
          <w:b w:val="1"/>
          <w:sz w:val="28"/>
          <w:szCs w:val="28"/>
          <w:lang w:eastAsia="sv-SE"/>
        </w:rPr>
        <w:t>Granskning</w:t>
      </w:r>
    </w:p>
    <w:p>
      <w:pPr>
        <w:rPr>
          <w:rFonts w:cs="Arial"/>
          <w:lang w:eastAsia="sv-SE"/>
        </w:rPr>
      </w:pPr>
      <w:r>
        <w:rPr>
          <w:rFonts w:cs="Arial"/>
          <w:lang w:eastAsia="sv-SE"/>
        </w:rPr>
        <w:t xml:space="preserve">Planförslaget ska därefter tillgängliggöras för granskning i minst två veckor. Granskningen är ytterligare ett tillfälle att lämna synpunkter på planförslaget. </w:t>
      </w:r>
    </w:p>
    <w:p>
      <w:pPr>
        <w:rPr>
          <w:rFonts w:cs="Arial"/>
          <w:b w:val="1"/>
          <w:sz w:val="28"/>
          <w:szCs w:val="28"/>
          <w:lang w:eastAsia="sv-SE"/>
        </w:rPr>
      </w:pPr>
      <w:r>
        <w:rPr>
          <w:rFonts w:cs="Arial"/>
          <w:b w:val="1"/>
          <w:sz w:val="28"/>
          <w:szCs w:val="28"/>
          <w:lang w:eastAsia="sv-SE"/>
        </w:rPr>
        <w:t>Antagande</w:t>
      </w:r>
    </w:p>
    <w:p>
      <w:pPr>
        <w:rPr>
          <w:rFonts w:cs="Arial"/>
          <w:lang w:eastAsia="sv-SE"/>
        </w:rPr>
      </w:pPr>
      <w:r>
        <w:rPr>
          <w:rFonts w:cs="Arial"/>
          <w:lang w:eastAsia="sv-SE"/>
        </w:rPr>
        <w:t xml:space="preserve">Detaljplanen antas genom ett politiskt beslut av kommunfullmäktige. </w:t>
      </w:r>
    </w:p>
    <w:p>
      <w:pPr>
        <w:rPr>
          <w:rFonts w:cs="Arial"/>
          <w:b w:val="1"/>
          <w:sz w:val="28"/>
          <w:szCs w:val="28"/>
          <w:lang w:eastAsia="sv-SE"/>
        </w:rPr>
      </w:pPr>
      <w:r>
        <w:rPr>
          <w:rFonts w:cs="Arial"/>
          <w:b w:val="1"/>
          <w:sz w:val="28"/>
          <w:szCs w:val="28"/>
          <w:lang w:eastAsia="sv-SE"/>
        </w:rPr>
        <w:t>Laga kraft</w:t>
      </w:r>
    </w:p>
    <w:p>
      <w:pPr>
        <w:rPr>
          <w:rFonts w:cs="Arial"/>
        </w:rPr>
      </w:pPr>
      <w:r>
        <w:rPr>
          <w:rFonts w:cs="Arial"/>
        </w:rPr>
        <w:t xml:space="preserve">Om detaljplanen inte överklagas får beslutet att anta detaljplanen laga kraft, vilket innebär att detaljplanen får rättsverkan. </w:t>
      </w:r>
      <w:bookmarkStart w:id="6" w:name="_Hlk222126695"/>
      <w:r>
        <w:rPr>
          <w:rFonts w:cs="Arial"/>
        </w:rPr>
        <w:t>Därefter kan genomförandet av detaljplanen påbörjas.</w:t>
      </w:r>
      <w:bookmarkEnd w:id="6"/>
    </w:p>
    <w:p>
      <w:pPr>
        <w:spacing w:after="160" w:beforeAutospacing="0" w:afterAutospacing="0"/>
        <w:rPr>
          <w:rFonts w:cs="Arial"/>
          <w:b w:val="1"/>
          <w:bCs w:val="1"/>
          <w:sz w:val="28"/>
          <w:szCs w:val="28"/>
        </w:rPr>
      </w:pPr>
      <w:bookmarkEnd w:id="5"/>
      <w:r>
        <w:rPr>
          <w:rFonts w:cs="Arial"/>
        </w:rPr>
        <w:br w:type="page"/>
      </w:r>
      <w:r>
        <w:rPr>
          <w:rFonts w:cs="Arial"/>
          <w:b w:val="1"/>
          <w:bCs w:val="1"/>
          <w:sz w:val="28"/>
          <w:szCs w:val="28"/>
        </w:rPr>
        <w:t>Sakägarkrets</w:t>
      </w:r>
    </w:p>
    <w:p>
      <w:bookmarkStart w:id="7" w:name="be_ärendeinformation02"/>
      <w:r>
        <w:t>Detaljplanens sakägarkrets består av närliggande fastighetsägare samt andra som bedöms beröras direkt av planens genomförande.</w:t>
      </w:r>
      <w:bookmarkEnd w:id="7"/>
      <w:r>
        <w:br w:type="textWrapping"/>
      </w:r>
    </w:p>
    <w:p>
      <w:pPr>
        <w:spacing w:after="160" w:beforeAutospacing="0" w:afterAutospacing="0"/>
        <w:rPr>
          <w:rFonts w:cs="Arial"/>
          <w:b w:val="1"/>
          <w:bCs w:val="1"/>
          <w:color w:val="2F5496" w:themeColor="accent1" w:themeShade="BF"/>
          <w:sz w:val="32"/>
          <w:szCs w:val="32"/>
        </w:rPr>
      </w:pPr>
      <w:r>
        <w:rPr>
          <w:rFonts w:cs="Arial"/>
          <w:b w:val="1"/>
          <w:bCs w:val="1"/>
          <w:color w:val="2F5496" w:themeColor="accent1" w:themeShade="BF"/>
          <w:sz w:val="32"/>
          <w:szCs w:val="32"/>
        </w:rPr>
        <w:br w:type="page"/>
      </w:r>
    </w:p>
    <w:p>
      <w:pPr>
        <w:pStyle w:val="P12"/>
      </w:pPr>
      <w:r>
        <w:t>Innehåll</w:t>
      </w:r>
    </w:p>
    <w:p>
      <w:pPr>
        <w:pStyle w:val="P13"/>
        <w:tabs>
          <w:tab w:val="right" w:pos="8324" w:leader="dot"/>
        </w:tabs>
        <w:rPr>
          <w:rFonts w:cstheme="minorBidi" w:eastAsiaTheme="minorEastAsia"/>
          <w:b w:val="0"/>
          <w:bCs w:val="0"/>
          <w:caps w:val="0"/>
          <w:noProof w:val="1"/>
          <w:sz w:val="22"/>
          <w:szCs w:val="22"/>
          <w:lang w:eastAsia="sv-SE"/>
        </w:rPr>
      </w:pPr>
      <w:r>
        <w:fldChar w:fldCharType="begin"/>
      </w:r>
      <w:r>
        <w:instrText xml:space="preserve"> TOC \o "1-3" \h \z \u </w:instrText>
      </w:r>
      <w:r>
        <w:fldChar w:fldCharType="separate"/>
      </w:r>
      <w:hyperlink w:anchor="_Toc220311588">
        <w:r>
          <w:rPr>
            <w:rStyle w:val="C2"/>
            <w:noProof w:val="1"/>
          </w:rPr>
          <w:t>Planens syfte</w:t>
        </w:r>
        <w:r>
          <w:rPr>
            <w:noProof w:val="1"/>
          </w:rPr>
          <w:tab/>
        </w:r>
        <w:r>
          <w:rPr>
            <w:noProof w:val="1"/>
          </w:rPr>
          <w:fldChar w:fldCharType="begin"/>
        </w:r>
        <w:r>
          <w:rPr>
            <w:noProof w:val="1"/>
          </w:rPr>
          <w:instrText xml:space="preserve"> PAGEREF _Toc220311588 \h </w:instrText>
        </w:r>
        <w:r>
          <w:rPr>
            <w:noProof w:val="1"/>
          </w:rPr>
          <w:fldChar w:fldCharType="separate"/>
        </w:r>
        <w:r>
          <w:rPr>
            <w:noProof w:val="1"/>
          </w:rPr>
          <w:t>1</w:t>
        </w:r>
        <w:r>
          <w:rPr>
            <w:noProof w:val="1"/>
          </w:rPr>
          <w:fldChar w:fldCharType="end"/>
        </w:r>
      </w:hyperlink>
    </w:p>
    <w:p>
      <w:pPr>
        <w:pStyle w:val="P13"/>
        <w:tabs>
          <w:tab w:val="right" w:pos="8324" w:leader="dot"/>
        </w:tabs>
        <w:rPr>
          <w:rFonts w:cstheme="minorBidi" w:eastAsiaTheme="minorEastAsia"/>
          <w:b w:val="0"/>
          <w:bCs w:val="0"/>
          <w:caps w:val="0"/>
          <w:noProof w:val="1"/>
          <w:sz w:val="22"/>
          <w:szCs w:val="22"/>
          <w:lang w:eastAsia="sv-SE"/>
        </w:rPr>
      </w:pPr>
      <w:hyperlink w:anchor="_Toc220311589">
        <w:r>
          <w:rPr>
            <w:rStyle w:val="C2"/>
            <w:noProof w:val="1"/>
          </w:rPr>
          <w:t>Beskrivning av detaljplanen</w:t>
        </w:r>
        <w:r>
          <w:rPr>
            <w:noProof w:val="1"/>
          </w:rPr>
          <w:tab/>
        </w:r>
        <w:r>
          <w:rPr>
            <w:noProof w:val="1"/>
          </w:rPr>
          <w:fldChar w:fldCharType="begin"/>
        </w:r>
        <w:r>
          <w:rPr>
            <w:noProof w:val="1"/>
          </w:rPr>
          <w:instrText xml:space="preserve"> PAGEREF _Toc220311589 \h </w:instrText>
        </w:r>
        <w:r>
          <w:rPr>
            <w:noProof w:val="1"/>
          </w:rPr>
          <w:fldChar w:fldCharType="separate"/>
        </w:r>
        <w:r>
          <w:rPr>
            <w:noProof w:val="1"/>
          </w:rPr>
          <w:t>1</w:t>
        </w:r>
        <w:r>
          <w:rPr>
            <w:noProof w:val="1"/>
          </w:rPr>
          <w:fldChar w:fldCharType="end"/>
        </w:r>
      </w:hyperlink>
    </w:p>
    <w:p>
      <w:pPr>
        <w:pStyle w:val="P14"/>
        <w:tabs>
          <w:tab w:val="right" w:pos="8324" w:leader="dot"/>
        </w:tabs>
        <w:rPr>
          <w:rFonts w:cstheme="minorBidi" w:eastAsiaTheme="minorEastAsia"/>
          <w:smallCaps w:val="0"/>
          <w:noProof w:val="1"/>
          <w:sz w:val="22"/>
          <w:szCs w:val="22"/>
          <w:lang w:eastAsia="sv-SE"/>
        </w:rPr>
      </w:pPr>
      <w:hyperlink w:anchor="_Toc220311590">
        <w:r>
          <w:rPr>
            <w:rStyle w:val="C2"/>
            <w:rFonts w:cs="Arial"/>
            <w:noProof w:val="1"/>
          </w:rPr>
          <w:t>Plandata</w:t>
        </w:r>
        <w:r>
          <w:rPr>
            <w:noProof w:val="1"/>
          </w:rPr>
          <w:tab/>
        </w:r>
        <w:r>
          <w:rPr>
            <w:noProof w:val="1"/>
          </w:rPr>
          <w:fldChar w:fldCharType="begin"/>
        </w:r>
        <w:r>
          <w:rPr>
            <w:noProof w:val="1"/>
          </w:rPr>
          <w:instrText xml:space="preserve"> PAGEREF _Toc220311590 \h </w:instrText>
        </w:r>
        <w:r>
          <w:rPr>
            <w:noProof w:val="1"/>
          </w:rPr>
          <w:fldChar w:fldCharType="separate"/>
        </w:r>
        <w:r>
          <w:rPr>
            <w:noProof w:val="1"/>
          </w:rPr>
          <w:t>1</w:t>
        </w:r>
        <w:r>
          <w:rPr>
            <w:noProof w:val="1"/>
          </w:rPr>
          <w:fldChar w:fldCharType="end"/>
        </w:r>
      </w:hyperlink>
    </w:p>
    <w:p>
      <w:pPr>
        <w:pStyle w:val="P14"/>
        <w:tabs>
          <w:tab w:val="right" w:pos="8324" w:leader="dot"/>
        </w:tabs>
        <w:rPr>
          <w:rFonts w:cstheme="minorBidi" w:eastAsiaTheme="minorEastAsia"/>
          <w:smallCaps w:val="0"/>
          <w:noProof w:val="1"/>
          <w:sz w:val="22"/>
          <w:szCs w:val="22"/>
          <w:lang w:eastAsia="sv-SE"/>
        </w:rPr>
      </w:pPr>
      <w:hyperlink w:anchor="_Toc220311591">
        <w:r>
          <w:rPr>
            <w:rStyle w:val="C2"/>
            <w:rFonts w:cs="Arial"/>
            <w:noProof w:val="1"/>
          </w:rPr>
          <w:t>Planens huvuddrag</w:t>
        </w:r>
        <w:r>
          <w:rPr>
            <w:noProof w:val="1"/>
          </w:rPr>
          <w:tab/>
        </w:r>
        <w:r>
          <w:rPr>
            <w:noProof w:val="1"/>
          </w:rPr>
          <w:fldChar w:fldCharType="begin"/>
        </w:r>
        <w:r>
          <w:rPr>
            <w:noProof w:val="1"/>
          </w:rPr>
          <w:instrText xml:space="preserve"> PAGEREF _Toc220311591 \h </w:instrText>
        </w:r>
        <w:r>
          <w:rPr>
            <w:noProof w:val="1"/>
          </w:rPr>
          <w:fldChar w:fldCharType="separate"/>
        </w:r>
        <w:r>
          <w:rPr>
            <w:noProof w:val="1"/>
          </w:rPr>
          <w:t>2</w:t>
        </w:r>
        <w:r>
          <w:rPr>
            <w:noProof w:val="1"/>
          </w:rPr>
          <w:fldChar w:fldCharType="end"/>
        </w:r>
      </w:hyperlink>
    </w:p>
    <w:p>
      <w:pPr>
        <w:pStyle w:val="P14"/>
        <w:tabs>
          <w:tab w:val="right" w:pos="8324" w:leader="dot"/>
        </w:tabs>
        <w:rPr>
          <w:rFonts w:cstheme="minorBidi" w:eastAsiaTheme="minorEastAsia"/>
          <w:smallCaps w:val="0"/>
          <w:noProof w:val="1"/>
          <w:sz w:val="22"/>
          <w:szCs w:val="22"/>
          <w:lang w:eastAsia="sv-SE"/>
        </w:rPr>
      </w:pPr>
      <w:hyperlink w:anchor="_Toc220311592">
        <w:r>
          <w:rPr>
            <w:rStyle w:val="C2"/>
            <w:rFonts w:cs="Arial"/>
            <w:noProof w:val="1"/>
          </w:rPr>
          <w:t>Genomförandetid</w:t>
        </w:r>
        <w:r>
          <w:rPr>
            <w:noProof w:val="1"/>
          </w:rPr>
          <w:tab/>
        </w:r>
        <w:r>
          <w:rPr>
            <w:noProof w:val="1"/>
          </w:rPr>
          <w:fldChar w:fldCharType="begin"/>
        </w:r>
        <w:r>
          <w:rPr>
            <w:noProof w:val="1"/>
          </w:rPr>
          <w:instrText xml:space="preserve"> PAGEREF _Toc220311592 \h </w:instrText>
        </w:r>
        <w:r>
          <w:rPr>
            <w:noProof w:val="1"/>
          </w:rPr>
          <w:fldChar w:fldCharType="separate"/>
        </w:r>
        <w:r>
          <w:rPr>
            <w:noProof w:val="1"/>
          </w:rPr>
          <w:t>3</w:t>
        </w:r>
        <w:r>
          <w:rPr>
            <w:noProof w:val="1"/>
          </w:rPr>
          <w:fldChar w:fldCharType="end"/>
        </w:r>
      </w:hyperlink>
    </w:p>
    <w:p>
      <w:pPr>
        <w:pStyle w:val="P14"/>
        <w:tabs>
          <w:tab w:val="right" w:pos="8324" w:leader="dot"/>
        </w:tabs>
        <w:rPr>
          <w:rFonts w:cstheme="minorBidi" w:eastAsiaTheme="minorEastAsia"/>
          <w:smallCaps w:val="0"/>
          <w:noProof w:val="1"/>
          <w:sz w:val="22"/>
          <w:szCs w:val="22"/>
          <w:lang w:eastAsia="sv-SE"/>
        </w:rPr>
      </w:pPr>
      <w:hyperlink w:anchor="_Toc220311593">
        <w:r>
          <w:rPr>
            <w:rStyle w:val="C2"/>
            <w:rFonts w:eastAsia="Calibri"/>
            <w:noProof w:val="1"/>
          </w:rPr>
          <w:t>Grundkarta</w:t>
        </w:r>
        <w:r>
          <w:rPr>
            <w:noProof w:val="1"/>
          </w:rPr>
          <w:tab/>
        </w:r>
        <w:r>
          <w:rPr>
            <w:noProof w:val="1"/>
          </w:rPr>
          <w:fldChar w:fldCharType="begin"/>
        </w:r>
        <w:r>
          <w:rPr>
            <w:noProof w:val="1"/>
          </w:rPr>
          <w:instrText xml:space="preserve"> PAGEREF _Toc220311593 \h </w:instrText>
        </w:r>
        <w:r>
          <w:rPr>
            <w:noProof w:val="1"/>
          </w:rPr>
          <w:fldChar w:fldCharType="separate"/>
        </w:r>
        <w:r>
          <w:rPr>
            <w:noProof w:val="1"/>
          </w:rPr>
          <w:t>3</w:t>
        </w:r>
        <w:r>
          <w:rPr>
            <w:noProof w:val="1"/>
          </w:rPr>
          <w:fldChar w:fldCharType="end"/>
        </w:r>
      </w:hyperlink>
    </w:p>
    <w:p>
      <w:pPr>
        <w:pStyle w:val="P14"/>
        <w:tabs>
          <w:tab w:val="right" w:pos="8324" w:leader="dot"/>
        </w:tabs>
        <w:rPr>
          <w:rFonts w:cstheme="minorBidi" w:eastAsiaTheme="minorEastAsia"/>
          <w:smallCaps w:val="0"/>
          <w:noProof w:val="1"/>
          <w:sz w:val="22"/>
          <w:szCs w:val="22"/>
          <w:lang w:eastAsia="sv-SE"/>
        </w:rPr>
      </w:pPr>
      <w:hyperlink w:anchor="_Toc220311594">
        <w:r>
          <w:rPr>
            <w:rStyle w:val="C2"/>
            <w:rFonts w:cs="Arial"/>
            <w:noProof w:val="1"/>
          </w:rPr>
          <w:t>Utredningar</w:t>
        </w:r>
        <w:r>
          <w:rPr>
            <w:noProof w:val="1"/>
          </w:rPr>
          <w:tab/>
        </w:r>
        <w:r>
          <w:rPr>
            <w:noProof w:val="1"/>
          </w:rPr>
          <w:fldChar w:fldCharType="begin"/>
        </w:r>
        <w:r>
          <w:rPr>
            <w:noProof w:val="1"/>
          </w:rPr>
          <w:instrText xml:space="preserve"> PAGEREF _Toc220311594 \h </w:instrText>
        </w:r>
        <w:r>
          <w:rPr>
            <w:noProof w:val="1"/>
          </w:rPr>
          <w:fldChar w:fldCharType="separate"/>
        </w:r>
        <w:r>
          <w:rPr>
            <w:noProof w:val="1"/>
          </w:rPr>
          <w:t>3</w:t>
        </w:r>
        <w:r>
          <w:rPr>
            <w:noProof w:val="1"/>
          </w:rPr>
          <w:fldChar w:fldCharType="end"/>
        </w:r>
      </w:hyperlink>
    </w:p>
    <w:p>
      <w:pPr>
        <w:pStyle w:val="P13"/>
        <w:tabs>
          <w:tab w:val="right" w:pos="8324" w:leader="dot"/>
        </w:tabs>
        <w:rPr>
          <w:rFonts w:cstheme="minorBidi" w:eastAsiaTheme="minorEastAsia"/>
          <w:b w:val="0"/>
          <w:bCs w:val="0"/>
          <w:caps w:val="0"/>
          <w:noProof w:val="1"/>
          <w:sz w:val="22"/>
          <w:szCs w:val="22"/>
          <w:lang w:eastAsia="sv-SE"/>
        </w:rPr>
      </w:pPr>
      <w:hyperlink w:anchor="_Toc220311595">
        <w:r>
          <w:rPr>
            <w:rStyle w:val="C2"/>
            <w:noProof w:val="1"/>
          </w:rPr>
          <w:t>Planförslaget</w:t>
        </w:r>
        <w:r>
          <w:rPr>
            <w:noProof w:val="1"/>
          </w:rPr>
          <w:tab/>
        </w:r>
        <w:r>
          <w:rPr>
            <w:noProof w:val="1"/>
          </w:rPr>
          <w:fldChar w:fldCharType="begin"/>
        </w:r>
        <w:r>
          <w:rPr>
            <w:noProof w:val="1"/>
          </w:rPr>
          <w:instrText xml:space="preserve"> PAGEREF _Toc220311595 \h </w:instrText>
        </w:r>
        <w:r>
          <w:rPr>
            <w:noProof w:val="1"/>
          </w:rPr>
          <w:fldChar w:fldCharType="separate"/>
        </w:r>
        <w:r>
          <w:rPr>
            <w:noProof w:val="1"/>
          </w:rPr>
          <w:t>4</w:t>
        </w:r>
        <w:r>
          <w:rPr>
            <w:noProof w:val="1"/>
          </w:rPr>
          <w:fldChar w:fldCharType="end"/>
        </w:r>
      </w:hyperlink>
    </w:p>
    <w:p>
      <w:pPr>
        <w:pStyle w:val="P14"/>
        <w:tabs>
          <w:tab w:val="right" w:pos="8324" w:leader="dot"/>
        </w:tabs>
        <w:rPr>
          <w:rFonts w:cstheme="minorBidi" w:eastAsiaTheme="minorEastAsia"/>
          <w:smallCaps w:val="0"/>
          <w:noProof w:val="1"/>
          <w:sz w:val="22"/>
          <w:szCs w:val="22"/>
          <w:lang w:eastAsia="sv-SE"/>
        </w:rPr>
      </w:pPr>
      <w:hyperlink w:anchor="_Toc220311596">
        <w:r>
          <w:rPr>
            <w:rStyle w:val="C2"/>
            <w:rFonts w:cs="Arial"/>
            <w:noProof w:val="1"/>
          </w:rPr>
          <w:t>Allmän platsmark</w:t>
        </w:r>
        <w:r>
          <w:rPr>
            <w:noProof w:val="1"/>
          </w:rPr>
          <w:tab/>
        </w:r>
        <w:r>
          <w:rPr>
            <w:noProof w:val="1"/>
          </w:rPr>
          <w:fldChar w:fldCharType="begin"/>
        </w:r>
        <w:r>
          <w:rPr>
            <w:noProof w:val="1"/>
          </w:rPr>
          <w:instrText xml:space="preserve"> PAGEREF _Toc220311596 \h </w:instrText>
        </w:r>
        <w:r>
          <w:rPr>
            <w:noProof w:val="1"/>
          </w:rPr>
          <w:fldChar w:fldCharType="separate"/>
        </w:r>
        <w:r>
          <w:rPr>
            <w:noProof w:val="1"/>
          </w:rPr>
          <w:t>4</w:t>
        </w:r>
        <w:r>
          <w:rPr>
            <w:noProof w:val="1"/>
          </w:rPr>
          <w:fldChar w:fldCharType="end"/>
        </w:r>
      </w:hyperlink>
    </w:p>
    <w:p>
      <w:pPr>
        <w:pStyle w:val="P14"/>
        <w:tabs>
          <w:tab w:val="right" w:pos="8324" w:leader="dot"/>
        </w:tabs>
        <w:rPr>
          <w:rFonts w:cstheme="minorBidi" w:eastAsiaTheme="minorEastAsia"/>
          <w:smallCaps w:val="0"/>
          <w:noProof w:val="1"/>
          <w:sz w:val="22"/>
          <w:szCs w:val="22"/>
          <w:lang w:eastAsia="sv-SE"/>
        </w:rPr>
      </w:pPr>
      <w:hyperlink w:anchor="_Toc220311597">
        <w:r>
          <w:rPr>
            <w:rStyle w:val="C2"/>
            <w:rFonts w:cs="Arial"/>
            <w:noProof w:val="1"/>
          </w:rPr>
          <w:t>Vattenområde</w:t>
        </w:r>
        <w:r>
          <w:rPr>
            <w:noProof w:val="1"/>
          </w:rPr>
          <w:tab/>
        </w:r>
        <w:r>
          <w:rPr>
            <w:noProof w:val="1"/>
          </w:rPr>
          <w:fldChar w:fldCharType="begin"/>
        </w:r>
        <w:r>
          <w:rPr>
            <w:noProof w:val="1"/>
          </w:rPr>
          <w:instrText xml:space="preserve"> PAGEREF _Toc220311597 \h </w:instrText>
        </w:r>
        <w:r>
          <w:rPr>
            <w:noProof w:val="1"/>
          </w:rPr>
          <w:fldChar w:fldCharType="separate"/>
        </w:r>
        <w:r>
          <w:rPr>
            <w:noProof w:val="1"/>
          </w:rPr>
          <w:t>4</w:t>
        </w:r>
        <w:r>
          <w:rPr>
            <w:noProof w:val="1"/>
          </w:rPr>
          <w:fldChar w:fldCharType="end"/>
        </w:r>
      </w:hyperlink>
    </w:p>
    <w:p>
      <w:pPr>
        <w:pStyle w:val="P14"/>
        <w:tabs>
          <w:tab w:val="right" w:pos="8324" w:leader="dot"/>
        </w:tabs>
        <w:rPr>
          <w:rFonts w:cstheme="minorBidi" w:eastAsiaTheme="minorEastAsia"/>
          <w:smallCaps w:val="0"/>
          <w:noProof w:val="1"/>
          <w:sz w:val="22"/>
          <w:szCs w:val="22"/>
          <w:lang w:eastAsia="sv-SE"/>
        </w:rPr>
      </w:pPr>
      <w:hyperlink w:anchor="_Toc220311598">
        <w:r>
          <w:rPr>
            <w:rStyle w:val="C2"/>
            <w:rFonts w:cs="Arial"/>
            <w:noProof w:val="1"/>
          </w:rPr>
          <w:t>Kvartersmark</w:t>
        </w:r>
        <w:r>
          <w:rPr>
            <w:noProof w:val="1"/>
          </w:rPr>
          <w:tab/>
        </w:r>
        <w:r>
          <w:rPr>
            <w:noProof w:val="1"/>
          </w:rPr>
          <w:fldChar w:fldCharType="begin"/>
        </w:r>
        <w:r>
          <w:rPr>
            <w:noProof w:val="1"/>
          </w:rPr>
          <w:instrText xml:space="preserve"> PAGEREF _Toc220311598 \h </w:instrText>
        </w:r>
        <w:r>
          <w:rPr>
            <w:noProof w:val="1"/>
          </w:rPr>
          <w:fldChar w:fldCharType="separate"/>
        </w:r>
        <w:r>
          <w:rPr>
            <w:noProof w:val="1"/>
          </w:rPr>
          <w:t>4</w:t>
        </w:r>
        <w:r>
          <w:rPr>
            <w:noProof w:val="1"/>
          </w:rPr>
          <w:fldChar w:fldCharType="end"/>
        </w:r>
      </w:hyperlink>
    </w:p>
    <w:p>
      <w:pPr>
        <w:pStyle w:val="P14"/>
        <w:tabs>
          <w:tab w:val="right" w:pos="8324" w:leader="dot"/>
        </w:tabs>
        <w:rPr>
          <w:rFonts w:cstheme="minorBidi" w:eastAsiaTheme="minorEastAsia"/>
          <w:smallCaps w:val="0"/>
          <w:noProof w:val="1"/>
          <w:sz w:val="22"/>
          <w:szCs w:val="22"/>
          <w:lang w:eastAsia="sv-SE"/>
        </w:rPr>
      </w:pPr>
      <w:hyperlink w:anchor="_Toc220311599">
        <w:r>
          <w:rPr>
            <w:rStyle w:val="C2"/>
            <w:rFonts w:cs="Arial"/>
            <w:noProof w:val="1"/>
          </w:rPr>
          <w:t>Egenskapsbestämmelser inom kvartersmark</w:t>
        </w:r>
        <w:r>
          <w:rPr>
            <w:noProof w:val="1"/>
          </w:rPr>
          <w:tab/>
        </w:r>
        <w:r>
          <w:rPr>
            <w:noProof w:val="1"/>
          </w:rPr>
          <w:fldChar w:fldCharType="begin"/>
        </w:r>
        <w:r>
          <w:rPr>
            <w:noProof w:val="1"/>
          </w:rPr>
          <w:instrText xml:space="preserve"> PAGEREF _Toc220311599 \h </w:instrText>
        </w:r>
        <w:r>
          <w:rPr>
            <w:noProof w:val="1"/>
          </w:rPr>
          <w:fldChar w:fldCharType="separate"/>
        </w:r>
        <w:r>
          <w:rPr>
            <w:noProof w:val="1"/>
          </w:rPr>
          <w:t>5</w:t>
        </w:r>
        <w:r>
          <w:rPr>
            <w:noProof w:val="1"/>
          </w:rPr>
          <w:fldChar w:fldCharType="end"/>
        </w:r>
      </w:hyperlink>
    </w:p>
    <w:p>
      <w:pPr>
        <w:pStyle w:val="P15"/>
        <w:tabs>
          <w:tab w:val="right" w:pos="8324" w:leader="dot"/>
        </w:tabs>
        <w:rPr>
          <w:rFonts w:cstheme="minorBidi" w:eastAsiaTheme="minorEastAsia"/>
          <w:i w:val="0"/>
          <w:iCs w:val="0"/>
          <w:noProof w:val="1"/>
          <w:sz w:val="22"/>
          <w:szCs w:val="22"/>
          <w:lang w:eastAsia="sv-SE"/>
        </w:rPr>
      </w:pPr>
      <w:hyperlink w:anchor="_Toc220311600">
        <w:r>
          <w:rPr>
            <w:rStyle w:val="C2"/>
            <w:noProof w:val="1"/>
          </w:rPr>
          <w:t>Utnyttjandegrad</w:t>
        </w:r>
        <w:r>
          <w:rPr>
            <w:noProof w:val="1"/>
          </w:rPr>
          <w:tab/>
        </w:r>
        <w:r>
          <w:rPr>
            <w:noProof w:val="1"/>
          </w:rPr>
          <w:fldChar w:fldCharType="begin"/>
        </w:r>
        <w:r>
          <w:rPr>
            <w:noProof w:val="1"/>
          </w:rPr>
          <w:instrText xml:space="preserve"> PAGEREF _Toc220311600 \h </w:instrText>
        </w:r>
        <w:r>
          <w:rPr>
            <w:noProof w:val="1"/>
          </w:rPr>
          <w:fldChar w:fldCharType="separate"/>
        </w:r>
        <w:r>
          <w:rPr>
            <w:noProof w:val="1"/>
          </w:rPr>
          <w:t>5</w:t>
        </w:r>
        <w:r>
          <w:rPr>
            <w:noProof w:val="1"/>
          </w:rPr>
          <w:fldChar w:fldCharType="end"/>
        </w:r>
      </w:hyperlink>
    </w:p>
    <w:p>
      <w:pPr>
        <w:pStyle w:val="P15"/>
        <w:tabs>
          <w:tab w:val="right" w:pos="8324" w:leader="dot"/>
        </w:tabs>
        <w:rPr>
          <w:rFonts w:cstheme="minorBidi" w:eastAsiaTheme="minorEastAsia"/>
          <w:i w:val="0"/>
          <w:iCs w:val="0"/>
          <w:noProof w:val="1"/>
          <w:sz w:val="22"/>
          <w:szCs w:val="22"/>
          <w:lang w:eastAsia="sv-SE"/>
        </w:rPr>
      </w:pPr>
      <w:hyperlink w:anchor="_Toc220311601">
        <w:r>
          <w:rPr>
            <w:rStyle w:val="C2"/>
            <w:noProof w:val="1"/>
          </w:rPr>
          <w:t>Fastighetsstorlek</w:t>
        </w:r>
        <w:r>
          <w:rPr>
            <w:noProof w:val="1"/>
          </w:rPr>
          <w:tab/>
        </w:r>
        <w:r>
          <w:rPr>
            <w:noProof w:val="1"/>
          </w:rPr>
          <w:fldChar w:fldCharType="begin"/>
        </w:r>
        <w:r>
          <w:rPr>
            <w:noProof w:val="1"/>
          </w:rPr>
          <w:instrText xml:space="preserve"> PAGEREF _Toc220311601 \h </w:instrText>
        </w:r>
        <w:r>
          <w:rPr>
            <w:noProof w:val="1"/>
          </w:rPr>
          <w:fldChar w:fldCharType="separate"/>
        </w:r>
        <w:r>
          <w:rPr>
            <w:noProof w:val="1"/>
          </w:rPr>
          <w:t>5</w:t>
        </w:r>
        <w:r>
          <w:rPr>
            <w:noProof w:val="1"/>
          </w:rPr>
          <w:fldChar w:fldCharType="end"/>
        </w:r>
      </w:hyperlink>
    </w:p>
    <w:p>
      <w:pPr>
        <w:pStyle w:val="P15"/>
        <w:tabs>
          <w:tab w:val="right" w:pos="8324" w:leader="dot"/>
        </w:tabs>
        <w:rPr>
          <w:rFonts w:cstheme="minorBidi" w:eastAsiaTheme="minorEastAsia"/>
          <w:i w:val="0"/>
          <w:iCs w:val="0"/>
          <w:noProof w:val="1"/>
          <w:sz w:val="22"/>
          <w:szCs w:val="22"/>
          <w:lang w:eastAsia="sv-SE"/>
        </w:rPr>
      </w:pPr>
      <w:hyperlink w:anchor="_Toc220311602">
        <w:r>
          <w:rPr>
            <w:rStyle w:val="C2"/>
            <w:noProof w:val="1"/>
            <w:lang w:eastAsia="sv-SE"/>
          </w:rPr>
          <w:t>Höjd på byggnadsverk</w:t>
        </w:r>
        <w:r>
          <w:rPr>
            <w:noProof w:val="1"/>
          </w:rPr>
          <w:tab/>
        </w:r>
        <w:r>
          <w:rPr>
            <w:noProof w:val="1"/>
          </w:rPr>
          <w:fldChar w:fldCharType="begin"/>
        </w:r>
        <w:r>
          <w:rPr>
            <w:noProof w:val="1"/>
          </w:rPr>
          <w:instrText xml:space="preserve"> PAGEREF _Toc220311602 \h </w:instrText>
        </w:r>
        <w:r>
          <w:rPr>
            <w:noProof w:val="1"/>
          </w:rPr>
          <w:fldChar w:fldCharType="separate"/>
        </w:r>
        <w:r>
          <w:rPr>
            <w:noProof w:val="1"/>
          </w:rPr>
          <w:t>7</w:t>
        </w:r>
        <w:r>
          <w:rPr>
            <w:noProof w:val="1"/>
          </w:rPr>
          <w:fldChar w:fldCharType="end"/>
        </w:r>
      </w:hyperlink>
    </w:p>
    <w:p>
      <w:pPr>
        <w:pStyle w:val="P15"/>
        <w:tabs>
          <w:tab w:val="right" w:pos="8324" w:leader="dot"/>
        </w:tabs>
        <w:rPr>
          <w:rFonts w:cstheme="minorBidi" w:eastAsiaTheme="minorEastAsia"/>
          <w:i w:val="0"/>
          <w:iCs w:val="0"/>
          <w:noProof w:val="1"/>
          <w:sz w:val="22"/>
          <w:szCs w:val="22"/>
          <w:lang w:eastAsia="sv-SE"/>
        </w:rPr>
      </w:pPr>
      <w:hyperlink w:anchor="_Toc220311603">
        <w:r>
          <w:rPr>
            <w:rStyle w:val="C2"/>
            <w:noProof w:val="1"/>
            <w:lang w:eastAsia="sv-SE"/>
          </w:rPr>
          <w:t>Utformning</w:t>
        </w:r>
        <w:r>
          <w:rPr>
            <w:noProof w:val="1"/>
          </w:rPr>
          <w:tab/>
        </w:r>
        <w:r>
          <w:rPr>
            <w:noProof w:val="1"/>
          </w:rPr>
          <w:fldChar w:fldCharType="begin"/>
        </w:r>
        <w:r>
          <w:rPr>
            <w:noProof w:val="1"/>
          </w:rPr>
          <w:instrText xml:space="preserve"> PAGEREF _Toc220311603 \h </w:instrText>
        </w:r>
        <w:r>
          <w:rPr>
            <w:noProof w:val="1"/>
          </w:rPr>
          <w:fldChar w:fldCharType="separate"/>
        </w:r>
        <w:r>
          <w:rPr>
            <w:noProof w:val="1"/>
          </w:rPr>
          <w:t>8</w:t>
        </w:r>
        <w:r>
          <w:rPr>
            <w:noProof w:val="1"/>
          </w:rPr>
          <w:fldChar w:fldCharType="end"/>
        </w:r>
      </w:hyperlink>
    </w:p>
    <w:p>
      <w:pPr>
        <w:pStyle w:val="P15"/>
        <w:tabs>
          <w:tab w:val="right" w:pos="8324" w:leader="dot"/>
        </w:tabs>
        <w:rPr>
          <w:rFonts w:cstheme="minorBidi" w:eastAsiaTheme="minorEastAsia"/>
          <w:i w:val="0"/>
          <w:iCs w:val="0"/>
          <w:noProof w:val="1"/>
          <w:sz w:val="22"/>
          <w:szCs w:val="22"/>
          <w:lang w:eastAsia="sv-SE"/>
        </w:rPr>
      </w:pPr>
      <w:hyperlink w:anchor="_Toc220311604">
        <w:r>
          <w:rPr>
            <w:rStyle w:val="C2"/>
            <w:noProof w:val="1"/>
            <w:lang w:eastAsia="sv-SE"/>
          </w:rPr>
          <w:t>Upphävande av strandskydd</w:t>
        </w:r>
        <w:r>
          <w:rPr>
            <w:noProof w:val="1"/>
          </w:rPr>
          <w:tab/>
        </w:r>
        <w:r>
          <w:rPr>
            <w:noProof w:val="1"/>
          </w:rPr>
          <w:fldChar w:fldCharType="begin"/>
        </w:r>
        <w:r>
          <w:rPr>
            <w:noProof w:val="1"/>
          </w:rPr>
          <w:instrText xml:space="preserve"> PAGEREF _Toc220311604 \h </w:instrText>
        </w:r>
        <w:r>
          <w:rPr>
            <w:noProof w:val="1"/>
          </w:rPr>
          <w:fldChar w:fldCharType="separate"/>
        </w:r>
        <w:r>
          <w:rPr>
            <w:noProof w:val="1"/>
          </w:rPr>
          <w:t>8</w:t>
        </w:r>
        <w:r>
          <w:rPr>
            <w:noProof w:val="1"/>
          </w:rPr>
          <w:fldChar w:fldCharType="end"/>
        </w:r>
      </w:hyperlink>
    </w:p>
    <w:p>
      <w:pPr>
        <w:pStyle w:val="P13"/>
        <w:tabs>
          <w:tab w:val="right" w:pos="8324" w:leader="dot"/>
        </w:tabs>
        <w:rPr>
          <w:rFonts w:cstheme="minorBidi" w:eastAsiaTheme="minorEastAsia"/>
          <w:b w:val="0"/>
          <w:bCs w:val="0"/>
          <w:caps w:val="0"/>
          <w:noProof w:val="1"/>
          <w:sz w:val="22"/>
          <w:szCs w:val="22"/>
          <w:lang w:eastAsia="sv-SE"/>
        </w:rPr>
      </w:pPr>
      <w:hyperlink w:anchor="_Toc220311605">
        <w:r>
          <w:rPr>
            <w:rStyle w:val="C2"/>
            <w:rFonts w:cs="Arial"/>
            <w:noProof w:val="1"/>
          </w:rPr>
          <w:t>Förutsättningar i planområdet och konsekvenser av planförslaget</w:t>
        </w:r>
        <w:r>
          <w:rPr>
            <w:noProof w:val="1"/>
          </w:rPr>
          <w:tab/>
        </w:r>
        <w:r>
          <w:rPr>
            <w:noProof w:val="1"/>
          </w:rPr>
          <w:fldChar w:fldCharType="begin"/>
        </w:r>
        <w:r>
          <w:rPr>
            <w:noProof w:val="1"/>
          </w:rPr>
          <w:instrText xml:space="preserve"> PAGEREF _Toc220311605 \h </w:instrText>
        </w:r>
        <w:r>
          <w:rPr>
            <w:noProof w:val="1"/>
          </w:rPr>
          <w:fldChar w:fldCharType="separate"/>
        </w:r>
        <w:r>
          <w:rPr>
            <w:noProof w:val="1"/>
          </w:rPr>
          <w:t>9</w:t>
        </w:r>
        <w:r>
          <w:rPr>
            <w:noProof w:val="1"/>
          </w:rPr>
          <w:fldChar w:fldCharType="end"/>
        </w:r>
      </w:hyperlink>
    </w:p>
    <w:p>
      <w:pPr>
        <w:pStyle w:val="P14"/>
        <w:tabs>
          <w:tab w:val="right" w:pos="8324" w:leader="dot"/>
        </w:tabs>
        <w:rPr>
          <w:rFonts w:cstheme="minorBidi" w:eastAsiaTheme="minorEastAsia"/>
          <w:smallCaps w:val="0"/>
          <w:noProof w:val="1"/>
          <w:sz w:val="22"/>
          <w:szCs w:val="22"/>
          <w:lang w:eastAsia="sv-SE"/>
        </w:rPr>
      </w:pPr>
      <w:hyperlink w:anchor="_Toc220311606">
        <w:r>
          <w:rPr>
            <w:rStyle w:val="C2"/>
            <w:noProof w:val="1"/>
          </w:rPr>
          <w:t>Bebyggd miljö</w:t>
        </w:r>
        <w:r>
          <w:rPr>
            <w:noProof w:val="1"/>
          </w:rPr>
          <w:tab/>
        </w:r>
        <w:r>
          <w:rPr>
            <w:noProof w:val="1"/>
          </w:rPr>
          <w:fldChar w:fldCharType="begin"/>
        </w:r>
        <w:r>
          <w:rPr>
            <w:noProof w:val="1"/>
          </w:rPr>
          <w:instrText xml:space="preserve"> PAGEREF _Toc220311606 \h </w:instrText>
        </w:r>
        <w:r>
          <w:rPr>
            <w:noProof w:val="1"/>
          </w:rPr>
          <w:fldChar w:fldCharType="separate"/>
        </w:r>
        <w:r>
          <w:rPr>
            <w:noProof w:val="1"/>
          </w:rPr>
          <w:t>9</w:t>
        </w:r>
        <w:r>
          <w:rPr>
            <w:noProof w:val="1"/>
          </w:rPr>
          <w:fldChar w:fldCharType="end"/>
        </w:r>
      </w:hyperlink>
    </w:p>
    <w:p>
      <w:pPr>
        <w:pStyle w:val="P15"/>
        <w:tabs>
          <w:tab w:val="right" w:pos="8324" w:leader="dot"/>
        </w:tabs>
        <w:rPr>
          <w:rFonts w:cstheme="minorBidi" w:eastAsiaTheme="minorEastAsia"/>
          <w:i w:val="0"/>
          <w:iCs w:val="0"/>
          <w:noProof w:val="1"/>
          <w:sz w:val="22"/>
          <w:szCs w:val="22"/>
          <w:lang w:eastAsia="sv-SE"/>
        </w:rPr>
      </w:pPr>
      <w:hyperlink w:anchor="_Toc220311607">
        <w:r>
          <w:rPr>
            <w:rStyle w:val="C2"/>
            <w:noProof w:val="1"/>
          </w:rPr>
          <w:t>Bostäder</w:t>
        </w:r>
        <w:r>
          <w:rPr>
            <w:noProof w:val="1"/>
          </w:rPr>
          <w:tab/>
        </w:r>
        <w:r>
          <w:rPr>
            <w:noProof w:val="1"/>
          </w:rPr>
          <w:fldChar w:fldCharType="begin"/>
        </w:r>
        <w:r>
          <w:rPr>
            <w:noProof w:val="1"/>
          </w:rPr>
          <w:instrText xml:space="preserve"> PAGEREF _Toc220311607 \h </w:instrText>
        </w:r>
        <w:r>
          <w:rPr>
            <w:noProof w:val="1"/>
          </w:rPr>
          <w:fldChar w:fldCharType="separate"/>
        </w:r>
        <w:r>
          <w:rPr>
            <w:noProof w:val="1"/>
          </w:rPr>
          <w:t>9</w:t>
        </w:r>
        <w:r>
          <w:rPr>
            <w:noProof w:val="1"/>
          </w:rPr>
          <w:fldChar w:fldCharType="end"/>
        </w:r>
      </w:hyperlink>
    </w:p>
    <w:p>
      <w:pPr>
        <w:pStyle w:val="P15"/>
        <w:tabs>
          <w:tab w:val="right" w:pos="8324" w:leader="dot"/>
        </w:tabs>
        <w:rPr>
          <w:rFonts w:cstheme="minorBidi" w:eastAsiaTheme="minorEastAsia"/>
          <w:i w:val="0"/>
          <w:iCs w:val="0"/>
          <w:noProof w:val="1"/>
          <w:sz w:val="22"/>
          <w:szCs w:val="22"/>
          <w:lang w:eastAsia="sv-SE"/>
        </w:rPr>
      </w:pPr>
      <w:hyperlink w:anchor="_Toc220311608">
        <w:r>
          <w:rPr>
            <w:rStyle w:val="C2"/>
            <w:noProof w:val="1"/>
          </w:rPr>
          <w:t>Bebyggelsekaraktär och landskapsbild</w:t>
        </w:r>
        <w:r>
          <w:rPr>
            <w:noProof w:val="1"/>
          </w:rPr>
          <w:tab/>
        </w:r>
        <w:r>
          <w:rPr>
            <w:noProof w:val="1"/>
          </w:rPr>
          <w:fldChar w:fldCharType="begin"/>
        </w:r>
        <w:r>
          <w:rPr>
            <w:noProof w:val="1"/>
          </w:rPr>
          <w:instrText xml:space="preserve"> PAGEREF _Toc220311608 \h </w:instrText>
        </w:r>
        <w:r>
          <w:rPr>
            <w:noProof w:val="1"/>
          </w:rPr>
          <w:fldChar w:fldCharType="separate"/>
        </w:r>
        <w:r>
          <w:rPr>
            <w:noProof w:val="1"/>
          </w:rPr>
          <w:t>10</w:t>
        </w:r>
        <w:r>
          <w:rPr>
            <w:noProof w:val="1"/>
          </w:rPr>
          <w:fldChar w:fldCharType="end"/>
        </w:r>
      </w:hyperlink>
    </w:p>
    <w:p>
      <w:pPr>
        <w:pStyle w:val="P15"/>
        <w:tabs>
          <w:tab w:val="right" w:pos="8324" w:leader="dot"/>
        </w:tabs>
        <w:rPr>
          <w:rFonts w:cstheme="minorBidi" w:eastAsiaTheme="minorEastAsia"/>
          <w:i w:val="0"/>
          <w:iCs w:val="0"/>
          <w:noProof w:val="1"/>
          <w:sz w:val="22"/>
          <w:szCs w:val="22"/>
          <w:lang w:eastAsia="sv-SE"/>
        </w:rPr>
      </w:pPr>
      <w:hyperlink w:anchor="_Toc220311609">
        <w:r>
          <w:rPr>
            <w:rStyle w:val="C2"/>
            <w:noProof w:val="1"/>
          </w:rPr>
          <w:t>Service</w:t>
        </w:r>
        <w:r>
          <w:rPr>
            <w:noProof w:val="1"/>
          </w:rPr>
          <w:tab/>
        </w:r>
        <w:r>
          <w:rPr>
            <w:noProof w:val="1"/>
          </w:rPr>
          <w:fldChar w:fldCharType="begin"/>
        </w:r>
        <w:r>
          <w:rPr>
            <w:noProof w:val="1"/>
          </w:rPr>
          <w:instrText xml:space="preserve"> PAGEREF _Toc220311609 \h </w:instrText>
        </w:r>
        <w:r>
          <w:rPr>
            <w:noProof w:val="1"/>
          </w:rPr>
          <w:fldChar w:fldCharType="separate"/>
        </w:r>
        <w:r>
          <w:rPr>
            <w:noProof w:val="1"/>
          </w:rPr>
          <w:t>14</w:t>
        </w:r>
        <w:r>
          <w:rPr>
            <w:noProof w:val="1"/>
          </w:rPr>
          <w:fldChar w:fldCharType="end"/>
        </w:r>
      </w:hyperlink>
    </w:p>
    <w:p>
      <w:pPr>
        <w:pStyle w:val="P15"/>
        <w:tabs>
          <w:tab w:val="right" w:pos="8324" w:leader="dot"/>
        </w:tabs>
        <w:rPr>
          <w:rFonts w:cstheme="minorBidi" w:eastAsiaTheme="minorEastAsia"/>
          <w:i w:val="0"/>
          <w:iCs w:val="0"/>
          <w:noProof w:val="1"/>
          <w:sz w:val="22"/>
          <w:szCs w:val="22"/>
          <w:lang w:eastAsia="sv-SE"/>
        </w:rPr>
      </w:pPr>
      <w:hyperlink w:anchor="_Toc220311610">
        <w:r>
          <w:rPr>
            <w:rStyle w:val="C2"/>
            <w:noProof w:val="1"/>
          </w:rPr>
          <w:t>Kulturmiljö</w:t>
        </w:r>
        <w:r>
          <w:rPr>
            <w:noProof w:val="1"/>
          </w:rPr>
          <w:tab/>
        </w:r>
        <w:r>
          <w:rPr>
            <w:noProof w:val="1"/>
          </w:rPr>
          <w:fldChar w:fldCharType="begin"/>
        </w:r>
        <w:r>
          <w:rPr>
            <w:noProof w:val="1"/>
          </w:rPr>
          <w:instrText xml:space="preserve"> PAGEREF _Toc220311610 \h </w:instrText>
        </w:r>
        <w:r>
          <w:rPr>
            <w:noProof w:val="1"/>
          </w:rPr>
          <w:fldChar w:fldCharType="separate"/>
        </w:r>
        <w:r>
          <w:rPr>
            <w:noProof w:val="1"/>
          </w:rPr>
          <w:t>14</w:t>
        </w:r>
        <w:r>
          <w:rPr>
            <w:noProof w:val="1"/>
          </w:rPr>
          <w:fldChar w:fldCharType="end"/>
        </w:r>
      </w:hyperlink>
    </w:p>
    <w:p>
      <w:pPr>
        <w:pStyle w:val="P15"/>
        <w:tabs>
          <w:tab w:val="right" w:pos="8324" w:leader="dot"/>
        </w:tabs>
        <w:rPr>
          <w:rFonts w:cstheme="minorBidi" w:eastAsiaTheme="minorEastAsia"/>
          <w:i w:val="0"/>
          <w:iCs w:val="0"/>
          <w:noProof w:val="1"/>
          <w:sz w:val="22"/>
          <w:szCs w:val="22"/>
          <w:lang w:eastAsia="sv-SE"/>
        </w:rPr>
      </w:pPr>
      <w:hyperlink w:anchor="_Toc220311611">
        <w:r>
          <w:rPr>
            <w:rStyle w:val="C2"/>
            <w:noProof w:val="1"/>
            <w:lang w:eastAsia="sv-SE"/>
          </w:rPr>
          <w:t>Fornlämningar</w:t>
        </w:r>
        <w:r>
          <w:rPr>
            <w:noProof w:val="1"/>
          </w:rPr>
          <w:tab/>
        </w:r>
        <w:r>
          <w:rPr>
            <w:noProof w:val="1"/>
          </w:rPr>
          <w:fldChar w:fldCharType="begin"/>
        </w:r>
        <w:r>
          <w:rPr>
            <w:noProof w:val="1"/>
          </w:rPr>
          <w:instrText xml:space="preserve"> PAGEREF _Toc220311611 \h </w:instrText>
        </w:r>
        <w:r>
          <w:rPr>
            <w:noProof w:val="1"/>
          </w:rPr>
          <w:fldChar w:fldCharType="separate"/>
        </w:r>
        <w:r>
          <w:rPr>
            <w:noProof w:val="1"/>
          </w:rPr>
          <w:t>15</w:t>
        </w:r>
        <w:r>
          <w:rPr>
            <w:noProof w:val="1"/>
          </w:rPr>
          <w:fldChar w:fldCharType="end"/>
        </w:r>
      </w:hyperlink>
    </w:p>
    <w:p>
      <w:pPr>
        <w:pStyle w:val="P14"/>
        <w:tabs>
          <w:tab w:val="right" w:pos="8324" w:leader="dot"/>
        </w:tabs>
        <w:rPr>
          <w:rFonts w:cstheme="minorBidi" w:eastAsiaTheme="minorEastAsia"/>
          <w:smallCaps w:val="0"/>
          <w:noProof w:val="1"/>
          <w:sz w:val="22"/>
          <w:szCs w:val="22"/>
          <w:lang w:eastAsia="sv-SE"/>
        </w:rPr>
      </w:pPr>
      <w:hyperlink w:anchor="_Toc220311612">
        <w:r>
          <w:rPr>
            <w:rStyle w:val="C2"/>
            <w:noProof w:val="1"/>
          </w:rPr>
          <w:t>Mark- och vattenförhållanden</w:t>
        </w:r>
        <w:r>
          <w:rPr>
            <w:noProof w:val="1"/>
          </w:rPr>
          <w:tab/>
        </w:r>
        <w:r>
          <w:rPr>
            <w:noProof w:val="1"/>
          </w:rPr>
          <w:fldChar w:fldCharType="begin"/>
        </w:r>
        <w:r>
          <w:rPr>
            <w:noProof w:val="1"/>
          </w:rPr>
          <w:instrText xml:space="preserve"> PAGEREF _Toc220311612 \h </w:instrText>
        </w:r>
        <w:r>
          <w:rPr>
            <w:noProof w:val="1"/>
          </w:rPr>
          <w:fldChar w:fldCharType="separate"/>
        </w:r>
        <w:r>
          <w:rPr>
            <w:noProof w:val="1"/>
          </w:rPr>
          <w:t>16</w:t>
        </w:r>
        <w:r>
          <w:rPr>
            <w:noProof w:val="1"/>
          </w:rPr>
          <w:fldChar w:fldCharType="end"/>
        </w:r>
      </w:hyperlink>
    </w:p>
    <w:p>
      <w:pPr>
        <w:pStyle w:val="P15"/>
        <w:tabs>
          <w:tab w:val="right" w:pos="8324" w:leader="dot"/>
        </w:tabs>
        <w:rPr>
          <w:rFonts w:cstheme="minorBidi" w:eastAsiaTheme="minorEastAsia"/>
          <w:i w:val="0"/>
          <w:iCs w:val="0"/>
          <w:noProof w:val="1"/>
          <w:sz w:val="22"/>
          <w:szCs w:val="22"/>
          <w:lang w:eastAsia="sv-SE"/>
        </w:rPr>
      </w:pPr>
      <w:hyperlink w:anchor="_Toc220311613">
        <w:r>
          <w:rPr>
            <w:rStyle w:val="C2"/>
            <w:noProof w:val="1"/>
          </w:rPr>
          <w:t>Naturmiljö</w:t>
        </w:r>
        <w:r>
          <w:rPr>
            <w:noProof w:val="1"/>
          </w:rPr>
          <w:tab/>
        </w:r>
        <w:r>
          <w:rPr>
            <w:noProof w:val="1"/>
          </w:rPr>
          <w:fldChar w:fldCharType="begin"/>
        </w:r>
        <w:r>
          <w:rPr>
            <w:noProof w:val="1"/>
          </w:rPr>
          <w:instrText xml:space="preserve"> PAGEREF _Toc220311613 \h </w:instrText>
        </w:r>
        <w:r>
          <w:rPr>
            <w:noProof w:val="1"/>
          </w:rPr>
          <w:fldChar w:fldCharType="separate"/>
        </w:r>
        <w:r>
          <w:rPr>
            <w:noProof w:val="1"/>
          </w:rPr>
          <w:t>16</w:t>
        </w:r>
        <w:r>
          <w:rPr>
            <w:noProof w:val="1"/>
          </w:rPr>
          <w:fldChar w:fldCharType="end"/>
        </w:r>
      </w:hyperlink>
    </w:p>
    <w:p>
      <w:pPr>
        <w:pStyle w:val="P15"/>
        <w:tabs>
          <w:tab w:val="right" w:pos="8324" w:leader="dot"/>
        </w:tabs>
        <w:rPr>
          <w:rFonts w:cstheme="minorBidi" w:eastAsiaTheme="minorEastAsia"/>
          <w:i w:val="0"/>
          <w:iCs w:val="0"/>
          <w:noProof w:val="1"/>
          <w:sz w:val="22"/>
          <w:szCs w:val="22"/>
          <w:lang w:eastAsia="sv-SE"/>
        </w:rPr>
      </w:pPr>
      <w:hyperlink w:anchor="_Toc220311614">
        <w:r>
          <w:rPr>
            <w:rStyle w:val="C2"/>
            <w:noProof w:val="1"/>
          </w:rPr>
          <w:t>Grönstruktur och rekreation</w:t>
        </w:r>
        <w:r>
          <w:rPr>
            <w:noProof w:val="1"/>
          </w:rPr>
          <w:tab/>
        </w:r>
        <w:r>
          <w:rPr>
            <w:noProof w:val="1"/>
          </w:rPr>
          <w:fldChar w:fldCharType="begin"/>
        </w:r>
        <w:r>
          <w:rPr>
            <w:noProof w:val="1"/>
          </w:rPr>
          <w:instrText xml:space="preserve"> PAGEREF _Toc220311614 \h </w:instrText>
        </w:r>
        <w:r>
          <w:rPr>
            <w:noProof w:val="1"/>
          </w:rPr>
          <w:fldChar w:fldCharType="separate"/>
        </w:r>
        <w:r>
          <w:rPr>
            <w:noProof w:val="1"/>
          </w:rPr>
          <w:t>16</w:t>
        </w:r>
        <w:r>
          <w:rPr>
            <w:noProof w:val="1"/>
          </w:rPr>
          <w:fldChar w:fldCharType="end"/>
        </w:r>
      </w:hyperlink>
    </w:p>
    <w:p>
      <w:pPr>
        <w:pStyle w:val="P15"/>
        <w:tabs>
          <w:tab w:val="right" w:pos="8324" w:leader="dot"/>
        </w:tabs>
        <w:rPr>
          <w:rFonts w:cstheme="minorBidi" w:eastAsiaTheme="minorEastAsia"/>
          <w:i w:val="0"/>
          <w:iCs w:val="0"/>
          <w:noProof w:val="1"/>
          <w:sz w:val="22"/>
          <w:szCs w:val="22"/>
          <w:lang w:eastAsia="sv-SE"/>
        </w:rPr>
      </w:pPr>
      <w:hyperlink w:anchor="_Toc220311615">
        <w:r>
          <w:rPr>
            <w:rStyle w:val="C2"/>
            <w:noProof w:val="1"/>
          </w:rPr>
          <w:t>Geotekniska förhållanden</w:t>
        </w:r>
        <w:r>
          <w:rPr>
            <w:noProof w:val="1"/>
          </w:rPr>
          <w:tab/>
        </w:r>
        <w:r>
          <w:rPr>
            <w:noProof w:val="1"/>
          </w:rPr>
          <w:fldChar w:fldCharType="begin"/>
        </w:r>
        <w:r>
          <w:rPr>
            <w:noProof w:val="1"/>
          </w:rPr>
          <w:instrText xml:space="preserve"> PAGEREF _Toc220311615 \h </w:instrText>
        </w:r>
        <w:r>
          <w:rPr>
            <w:noProof w:val="1"/>
          </w:rPr>
          <w:fldChar w:fldCharType="separate"/>
        </w:r>
        <w:r>
          <w:rPr>
            <w:noProof w:val="1"/>
          </w:rPr>
          <w:t>17</w:t>
        </w:r>
        <w:r>
          <w:rPr>
            <w:noProof w:val="1"/>
          </w:rPr>
          <w:fldChar w:fldCharType="end"/>
        </w:r>
      </w:hyperlink>
    </w:p>
    <w:p>
      <w:pPr>
        <w:pStyle w:val="P15"/>
        <w:tabs>
          <w:tab w:val="right" w:pos="8324" w:leader="dot"/>
        </w:tabs>
        <w:rPr>
          <w:rFonts w:cstheme="minorBidi" w:eastAsiaTheme="minorEastAsia"/>
          <w:i w:val="0"/>
          <w:iCs w:val="0"/>
          <w:noProof w:val="1"/>
          <w:sz w:val="22"/>
          <w:szCs w:val="22"/>
          <w:lang w:eastAsia="sv-SE"/>
        </w:rPr>
      </w:pPr>
      <w:hyperlink w:anchor="_Toc220311616">
        <w:r>
          <w:rPr>
            <w:rStyle w:val="C2"/>
            <w:noProof w:val="1"/>
          </w:rPr>
          <w:t>Hydrologiska förhållanden</w:t>
        </w:r>
        <w:r>
          <w:rPr>
            <w:noProof w:val="1"/>
          </w:rPr>
          <w:tab/>
        </w:r>
        <w:r>
          <w:rPr>
            <w:noProof w:val="1"/>
          </w:rPr>
          <w:fldChar w:fldCharType="begin"/>
        </w:r>
        <w:r>
          <w:rPr>
            <w:noProof w:val="1"/>
          </w:rPr>
          <w:instrText xml:space="preserve"> PAGEREF _Toc220311616 \h </w:instrText>
        </w:r>
        <w:r>
          <w:rPr>
            <w:noProof w:val="1"/>
          </w:rPr>
          <w:fldChar w:fldCharType="separate"/>
        </w:r>
        <w:r>
          <w:rPr>
            <w:noProof w:val="1"/>
          </w:rPr>
          <w:t>17</w:t>
        </w:r>
        <w:r>
          <w:rPr>
            <w:noProof w:val="1"/>
          </w:rPr>
          <w:fldChar w:fldCharType="end"/>
        </w:r>
      </w:hyperlink>
    </w:p>
    <w:p>
      <w:pPr>
        <w:pStyle w:val="P14"/>
        <w:tabs>
          <w:tab w:val="right" w:pos="8324" w:leader="dot"/>
        </w:tabs>
        <w:rPr>
          <w:rFonts w:cstheme="minorBidi" w:eastAsiaTheme="minorEastAsia"/>
          <w:smallCaps w:val="0"/>
          <w:noProof w:val="1"/>
          <w:sz w:val="22"/>
          <w:szCs w:val="22"/>
          <w:lang w:eastAsia="sv-SE"/>
        </w:rPr>
      </w:pPr>
      <w:hyperlink w:anchor="_Toc220311617">
        <w:r>
          <w:rPr>
            <w:rStyle w:val="C2"/>
            <w:rFonts w:eastAsia="Calibri"/>
            <w:noProof w:val="1"/>
          </w:rPr>
          <w:t>Sociala faktorer</w:t>
        </w:r>
        <w:r>
          <w:rPr>
            <w:noProof w:val="1"/>
          </w:rPr>
          <w:tab/>
        </w:r>
        <w:r>
          <w:rPr>
            <w:noProof w:val="1"/>
          </w:rPr>
          <w:fldChar w:fldCharType="begin"/>
        </w:r>
        <w:r>
          <w:rPr>
            <w:noProof w:val="1"/>
          </w:rPr>
          <w:instrText xml:space="preserve"> PAGEREF _Toc220311617 \h </w:instrText>
        </w:r>
        <w:r>
          <w:rPr>
            <w:noProof w:val="1"/>
          </w:rPr>
          <w:fldChar w:fldCharType="separate"/>
        </w:r>
        <w:r>
          <w:rPr>
            <w:noProof w:val="1"/>
          </w:rPr>
          <w:t>18</w:t>
        </w:r>
        <w:r>
          <w:rPr>
            <w:noProof w:val="1"/>
          </w:rPr>
          <w:fldChar w:fldCharType="end"/>
        </w:r>
      </w:hyperlink>
    </w:p>
    <w:p>
      <w:pPr>
        <w:pStyle w:val="P15"/>
        <w:tabs>
          <w:tab w:val="right" w:pos="8324" w:leader="dot"/>
        </w:tabs>
        <w:rPr>
          <w:rFonts w:cstheme="minorBidi" w:eastAsiaTheme="minorEastAsia"/>
          <w:i w:val="0"/>
          <w:iCs w:val="0"/>
          <w:noProof w:val="1"/>
          <w:sz w:val="22"/>
          <w:szCs w:val="22"/>
          <w:lang w:eastAsia="sv-SE"/>
        </w:rPr>
      </w:pPr>
      <w:hyperlink w:anchor="_Toc220311618">
        <w:r>
          <w:rPr>
            <w:rStyle w:val="C2"/>
            <w:noProof w:val="1"/>
          </w:rPr>
          <w:t>Friytor</w:t>
        </w:r>
        <w:r>
          <w:rPr>
            <w:noProof w:val="1"/>
          </w:rPr>
          <w:tab/>
        </w:r>
        <w:r>
          <w:rPr>
            <w:noProof w:val="1"/>
          </w:rPr>
          <w:fldChar w:fldCharType="begin"/>
        </w:r>
        <w:r>
          <w:rPr>
            <w:noProof w:val="1"/>
          </w:rPr>
          <w:instrText xml:space="preserve"> PAGEREF _Toc220311618 \h </w:instrText>
        </w:r>
        <w:r>
          <w:rPr>
            <w:noProof w:val="1"/>
          </w:rPr>
          <w:fldChar w:fldCharType="separate"/>
        </w:r>
        <w:r>
          <w:rPr>
            <w:noProof w:val="1"/>
          </w:rPr>
          <w:t>18</w:t>
        </w:r>
        <w:r>
          <w:rPr>
            <w:noProof w:val="1"/>
          </w:rPr>
          <w:fldChar w:fldCharType="end"/>
        </w:r>
      </w:hyperlink>
    </w:p>
    <w:p>
      <w:pPr>
        <w:pStyle w:val="P15"/>
        <w:tabs>
          <w:tab w:val="right" w:pos="8324" w:leader="dot"/>
        </w:tabs>
        <w:rPr>
          <w:rFonts w:cstheme="minorBidi" w:eastAsiaTheme="minorEastAsia"/>
          <w:i w:val="0"/>
          <w:iCs w:val="0"/>
          <w:noProof w:val="1"/>
          <w:sz w:val="22"/>
          <w:szCs w:val="22"/>
          <w:lang w:eastAsia="sv-SE"/>
        </w:rPr>
      </w:pPr>
      <w:hyperlink w:anchor="_Toc220311619">
        <w:r>
          <w:rPr>
            <w:rStyle w:val="C2"/>
            <w:noProof w:val="1"/>
          </w:rPr>
          <w:t>Ljusförhållanden</w:t>
        </w:r>
        <w:r>
          <w:rPr>
            <w:noProof w:val="1"/>
          </w:rPr>
          <w:tab/>
        </w:r>
        <w:r>
          <w:rPr>
            <w:noProof w:val="1"/>
          </w:rPr>
          <w:fldChar w:fldCharType="begin"/>
        </w:r>
        <w:r>
          <w:rPr>
            <w:noProof w:val="1"/>
          </w:rPr>
          <w:instrText xml:space="preserve"> PAGEREF _Toc220311619 \h </w:instrText>
        </w:r>
        <w:r>
          <w:rPr>
            <w:noProof w:val="1"/>
          </w:rPr>
          <w:fldChar w:fldCharType="separate"/>
        </w:r>
        <w:r>
          <w:rPr>
            <w:noProof w:val="1"/>
          </w:rPr>
          <w:t>18</w:t>
        </w:r>
        <w:r>
          <w:rPr>
            <w:noProof w:val="1"/>
          </w:rPr>
          <w:fldChar w:fldCharType="end"/>
        </w:r>
      </w:hyperlink>
    </w:p>
    <w:p>
      <w:pPr>
        <w:pStyle w:val="P15"/>
        <w:tabs>
          <w:tab w:val="right" w:pos="8324" w:leader="dot"/>
        </w:tabs>
        <w:rPr>
          <w:rFonts w:cstheme="minorBidi" w:eastAsiaTheme="minorEastAsia"/>
          <w:i w:val="0"/>
          <w:iCs w:val="0"/>
          <w:noProof w:val="1"/>
          <w:sz w:val="22"/>
          <w:szCs w:val="22"/>
          <w:lang w:eastAsia="sv-SE"/>
        </w:rPr>
      </w:pPr>
      <w:hyperlink w:anchor="_Toc220311620">
        <w:r>
          <w:rPr>
            <w:rStyle w:val="C2"/>
            <w:noProof w:val="1"/>
          </w:rPr>
          <w:t>Barnperspektiv</w:t>
        </w:r>
        <w:r>
          <w:rPr>
            <w:noProof w:val="1"/>
          </w:rPr>
          <w:tab/>
        </w:r>
        <w:r>
          <w:rPr>
            <w:noProof w:val="1"/>
          </w:rPr>
          <w:fldChar w:fldCharType="begin"/>
        </w:r>
        <w:r>
          <w:rPr>
            <w:noProof w:val="1"/>
          </w:rPr>
          <w:instrText xml:space="preserve"> PAGEREF _Toc220311620 \h </w:instrText>
        </w:r>
        <w:r>
          <w:rPr>
            <w:noProof w:val="1"/>
          </w:rPr>
          <w:fldChar w:fldCharType="separate"/>
        </w:r>
        <w:r>
          <w:rPr>
            <w:noProof w:val="1"/>
          </w:rPr>
          <w:t>19</w:t>
        </w:r>
        <w:r>
          <w:rPr>
            <w:noProof w:val="1"/>
          </w:rPr>
          <w:fldChar w:fldCharType="end"/>
        </w:r>
      </w:hyperlink>
    </w:p>
    <w:p>
      <w:pPr>
        <w:pStyle w:val="P15"/>
        <w:tabs>
          <w:tab w:val="right" w:pos="8324" w:leader="dot"/>
        </w:tabs>
        <w:rPr>
          <w:rFonts w:cstheme="minorBidi" w:eastAsiaTheme="minorEastAsia"/>
          <w:i w:val="0"/>
          <w:iCs w:val="0"/>
          <w:noProof w:val="1"/>
          <w:sz w:val="22"/>
          <w:szCs w:val="22"/>
          <w:lang w:eastAsia="sv-SE"/>
        </w:rPr>
      </w:pPr>
      <w:hyperlink w:anchor="_Toc220311621">
        <w:r>
          <w:rPr>
            <w:rStyle w:val="C2"/>
            <w:noProof w:val="1"/>
          </w:rPr>
          <w:t>Tillgänglighet, trygghet och jämställdhet</w:t>
        </w:r>
        <w:r>
          <w:rPr>
            <w:noProof w:val="1"/>
          </w:rPr>
          <w:tab/>
        </w:r>
        <w:r>
          <w:rPr>
            <w:noProof w:val="1"/>
          </w:rPr>
          <w:fldChar w:fldCharType="begin"/>
        </w:r>
        <w:r>
          <w:rPr>
            <w:noProof w:val="1"/>
          </w:rPr>
          <w:instrText xml:space="preserve"> PAGEREF _Toc220311621 \h </w:instrText>
        </w:r>
        <w:r>
          <w:rPr>
            <w:noProof w:val="1"/>
          </w:rPr>
          <w:fldChar w:fldCharType="separate"/>
        </w:r>
        <w:r>
          <w:rPr>
            <w:noProof w:val="1"/>
          </w:rPr>
          <w:t>20</w:t>
        </w:r>
        <w:r>
          <w:rPr>
            <w:noProof w:val="1"/>
          </w:rPr>
          <w:fldChar w:fldCharType="end"/>
        </w:r>
      </w:hyperlink>
    </w:p>
    <w:p>
      <w:pPr>
        <w:pStyle w:val="P14"/>
        <w:tabs>
          <w:tab w:val="right" w:pos="8324" w:leader="dot"/>
        </w:tabs>
        <w:rPr>
          <w:rFonts w:cstheme="minorBidi" w:eastAsiaTheme="minorEastAsia"/>
          <w:smallCaps w:val="0"/>
          <w:noProof w:val="1"/>
          <w:sz w:val="22"/>
          <w:szCs w:val="22"/>
          <w:lang w:eastAsia="sv-SE"/>
        </w:rPr>
      </w:pPr>
      <w:hyperlink w:anchor="_Toc220311622">
        <w:r>
          <w:rPr>
            <w:rStyle w:val="C2"/>
            <w:noProof w:val="1"/>
          </w:rPr>
          <w:t>Kommunikationer</w:t>
        </w:r>
        <w:r>
          <w:rPr>
            <w:noProof w:val="1"/>
          </w:rPr>
          <w:tab/>
        </w:r>
        <w:r>
          <w:rPr>
            <w:noProof w:val="1"/>
          </w:rPr>
          <w:fldChar w:fldCharType="begin"/>
        </w:r>
        <w:r>
          <w:rPr>
            <w:noProof w:val="1"/>
          </w:rPr>
          <w:instrText xml:space="preserve"> PAGEREF _Toc220311622 \h </w:instrText>
        </w:r>
        <w:r>
          <w:rPr>
            <w:noProof w:val="1"/>
          </w:rPr>
          <w:fldChar w:fldCharType="separate"/>
        </w:r>
        <w:r>
          <w:rPr>
            <w:noProof w:val="1"/>
          </w:rPr>
          <w:t>21</w:t>
        </w:r>
        <w:r>
          <w:rPr>
            <w:noProof w:val="1"/>
          </w:rPr>
          <w:fldChar w:fldCharType="end"/>
        </w:r>
      </w:hyperlink>
    </w:p>
    <w:p>
      <w:pPr>
        <w:pStyle w:val="P15"/>
        <w:tabs>
          <w:tab w:val="right" w:pos="8324" w:leader="dot"/>
        </w:tabs>
        <w:rPr>
          <w:rFonts w:cstheme="minorBidi" w:eastAsiaTheme="minorEastAsia"/>
          <w:i w:val="0"/>
          <w:iCs w:val="0"/>
          <w:noProof w:val="1"/>
          <w:sz w:val="22"/>
          <w:szCs w:val="22"/>
          <w:lang w:eastAsia="sv-SE"/>
        </w:rPr>
      </w:pPr>
      <w:hyperlink w:anchor="_Toc220311623">
        <w:r>
          <w:rPr>
            <w:rStyle w:val="C2"/>
            <w:noProof w:val="1"/>
          </w:rPr>
          <w:t>Gång- och cykeltrafik</w:t>
        </w:r>
        <w:r>
          <w:rPr>
            <w:noProof w:val="1"/>
          </w:rPr>
          <w:tab/>
        </w:r>
        <w:r>
          <w:rPr>
            <w:noProof w:val="1"/>
          </w:rPr>
          <w:fldChar w:fldCharType="begin"/>
        </w:r>
        <w:r>
          <w:rPr>
            <w:noProof w:val="1"/>
          </w:rPr>
          <w:instrText xml:space="preserve"> PAGEREF _Toc220311623 \h </w:instrText>
        </w:r>
        <w:r>
          <w:rPr>
            <w:noProof w:val="1"/>
          </w:rPr>
          <w:fldChar w:fldCharType="separate"/>
        </w:r>
        <w:r>
          <w:rPr>
            <w:noProof w:val="1"/>
          </w:rPr>
          <w:t>21</w:t>
        </w:r>
        <w:r>
          <w:rPr>
            <w:noProof w:val="1"/>
          </w:rPr>
          <w:fldChar w:fldCharType="end"/>
        </w:r>
      </w:hyperlink>
    </w:p>
    <w:p>
      <w:pPr>
        <w:pStyle w:val="P15"/>
        <w:tabs>
          <w:tab w:val="right" w:pos="8324" w:leader="dot"/>
        </w:tabs>
        <w:rPr>
          <w:rFonts w:cstheme="minorBidi" w:eastAsiaTheme="minorEastAsia"/>
          <w:i w:val="0"/>
          <w:iCs w:val="0"/>
          <w:noProof w:val="1"/>
          <w:sz w:val="22"/>
          <w:szCs w:val="22"/>
          <w:lang w:eastAsia="sv-SE"/>
        </w:rPr>
      </w:pPr>
      <w:hyperlink w:anchor="_Toc220311624">
        <w:r>
          <w:rPr>
            <w:rStyle w:val="C2"/>
            <w:noProof w:val="1"/>
          </w:rPr>
          <w:t>Kollektivtrafik</w:t>
        </w:r>
        <w:r>
          <w:rPr>
            <w:noProof w:val="1"/>
          </w:rPr>
          <w:tab/>
        </w:r>
        <w:r>
          <w:rPr>
            <w:noProof w:val="1"/>
          </w:rPr>
          <w:fldChar w:fldCharType="begin"/>
        </w:r>
        <w:r>
          <w:rPr>
            <w:noProof w:val="1"/>
          </w:rPr>
          <w:instrText xml:space="preserve"> PAGEREF _Toc220311624 \h </w:instrText>
        </w:r>
        <w:r>
          <w:rPr>
            <w:noProof w:val="1"/>
          </w:rPr>
          <w:fldChar w:fldCharType="separate"/>
        </w:r>
        <w:r>
          <w:rPr>
            <w:noProof w:val="1"/>
          </w:rPr>
          <w:t>21</w:t>
        </w:r>
        <w:r>
          <w:rPr>
            <w:noProof w:val="1"/>
          </w:rPr>
          <w:fldChar w:fldCharType="end"/>
        </w:r>
      </w:hyperlink>
    </w:p>
    <w:p>
      <w:pPr>
        <w:pStyle w:val="P15"/>
        <w:tabs>
          <w:tab w:val="right" w:pos="8324" w:leader="dot"/>
        </w:tabs>
        <w:rPr>
          <w:rFonts w:cstheme="minorBidi" w:eastAsiaTheme="minorEastAsia"/>
          <w:i w:val="0"/>
          <w:iCs w:val="0"/>
          <w:noProof w:val="1"/>
          <w:sz w:val="22"/>
          <w:szCs w:val="22"/>
          <w:lang w:eastAsia="sv-SE"/>
        </w:rPr>
      </w:pPr>
      <w:hyperlink w:anchor="_Toc220311625">
        <w:r>
          <w:rPr>
            <w:rStyle w:val="C2"/>
            <w:noProof w:val="1"/>
          </w:rPr>
          <w:t>Fordonstrafik</w:t>
        </w:r>
        <w:r>
          <w:rPr>
            <w:noProof w:val="1"/>
          </w:rPr>
          <w:tab/>
        </w:r>
        <w:r>
          <w:rPr>
            <w:noProof w:val="1"/>
          </w:rPr>
          <w:fldChar w:fldCharType="begin"/>
        </w:r>
        <w:r>
          <w:rPr>
            <w:noProof w:val="1"/>
          </w:rPr>
          <w:instrText xml:space="preserve"> PAGEREF _Toc220311625 \h </w:instrText>
        </w:r>
        <w:r>
          <w:rPr>
            <w:noProof w:val="1"/>
          </w:rPr>
          <w:fldChar w:fldCharType="separate"/>
        </w:r>
        <w:r>
          <w:rPr>
            <w:noProof w:val="1"/>
          </w:rPr>
          <w:t>21</w:t>
        </w:r>
        <w:r>
          <w:rPr>
            <w:noProof w:val="1"/>
          </w:rPr>
          <w:fldChar w:fldCharType="end"/>
        </w:r>
      </w:hyperlink>
    </w:p>
    <w:p>
      <w:pPr>
        <w:pStyle w:val="P15"/>
        <w:tabs>
          <w:tab w:val="right" w:pos="8324" w:leader="dot"/>
        </w:tabs>
        <w:rPr>
          <w:rFonts w:cstheme="minorBidi" w:eastAsiaTheme="minorEastAsia"/>
          <w:i w:val="0"/>
          <w:iCs w:val="0"/>
          <w:noProof w:val="1"/>
          <w:sz w:val="22"/>
          <w:szCs w:val="22"/>
          <w:lang w:eastAsia="sv-SE"/>
        </w:rPr>
      </w:pPr>
      <w:hyperlink w:anchor="_Toc220311626">
        <w:r>
          <w:rPr>
            <w:rStyle w:val="C2"/>
            <w:noProof w:val="1"/>
          </w:rPr>
          <w:t>Parkering, varumottagning och angöring</w:t>
        </w:r>
        <w:r>
          <w:rPr>
            <w:noProof w:val="1"/>
          </w:rPr>
          <w:tab/>
        </w:r>
        <w:r>
          <w:rPr>
            <w:noProof w:val="1"/>
          </w:rPr>
          <w:fldChar w:fldCharType="begin"/>
        </w:r>
        <w:r>
          <w:rPr>
            <w:noProof w:val="1"/>
          </w:rPr>
          <w:instrText xml:space="preserve"> PAGEREF _Toc220311626 \h </w:instrText>
        </w:r>
        <w:r>
          <w:rPr>
            <w:noProof w:val="1"/>
          </w:rPr>
          <w:fldChar w:fldCharType="separate"/>
        </w:r>
        <w:r>
          <w:rPr>
            <w:noProof w:val="1"/>
          </w:rPr>
          <w:t>21</w:t>
        </w:r>
        <w:r>
          <w:rPr>
            <w:noProof w:val="1"/>
          </w:rPr>
          <w:fldChar w:fldCharType="end"/>
        </w:r>
      </w:hyperlink>
    </w:p>
    <w:p>
      <w:pPr>
        <w:pStyle w:val="P14"/>
        <w:tabs>
          <w:tab w:val="right" w:pos="8324" w:leader="dot"/>
        </w:tabs>
        <w:rPr>
          <w:rFonts w:cstheme="minorBidi" w:eastAsiaTheme="minorEastAsia"/>
          <w:smallCaps w:val="0"/>
          <w:noProof w:val="1"/>
          <w:sz w:val="22"/>
          <w:szCs w:val="22"/>
          <w:lang w:eastAsia="sv-SE"/>
        </w:rPr>
      </w:pPr>
      <w:hyperlink w:anchor="_Toc220311627">
        <w:r>
          <w:rPr>
            <w:rStyle w:val="C2"/>
            <w:rFonts w:eastAsia="Calibri"/>
            <w:noProof w:val="1"/>
          </w:rPr>
          <w:t>Hälsa och säkerhet</w:t>
        </w:r>
        <w:r>
          <w:rPr>
            <w:noProof w:val="1"/>
          </w:rPr>
          <w:tab/>
        </w:r>
        <w:r>
          <w:rPr>
            <w:noProof w:val="1"/>
          </w:rPr>
          <w:fldChar w:fldCharType="begin"/>
        </w:r>
        <w:r>
          <w:rPr>
            <w:noProof w:val="1"/>
          </w:rPr>
          <w:instrText xml:space="preserve"> PAGEREF _Toc220311627 \h </w:instrText>
        </w:r>
        <w:r>
          <w:rPr>
            <w:noProof w:val="1"/>
          </w:rPr>
          <w:fldChar w:fldCharType="separate"/>
        </w:r>
        <w:r>
          <w:rPr>
            <w:noProof w:val="1"/>
          </w:rPr>
          <w:t>22</w:t>
        </w:r>
        <w:r>
          <w:rPr>
            <w:noProof w:val="1"/>
          </w:rPr>
          <w:fldChar w:fldCharType="end"/>
        </w:r>
      </w:hyperlink>
    </w:p>
    <w:p>
      <w:pPr>
        <w:pStyle w:val="P15"/>
        <w:tabs>
          <w:tab w:val="right" w:pos="8324" w:leader="dot"/>
        </w:tabs>
        <w:rPr>
          <w:rFonts w:cstheme="minorBidi" w:eastAsiaTheme="minorEastAsia"/>
          <w:i w:val="0"/>
          <w:iCs w:val="0"/>
          <w:noProof w:val="1"/>
          <w:sz w:val="22"/>
          <w:szCs w:val="22"/>
          <w:lang w:eastAsia="sv-SE"/>
        </w:rPr>
      </w:pPr>
      <w:hyperlink w:anchor="_Toc220311628">
        <w:r>
          <w:rPr>
            <w:rStyle w:val="C2"/>
            <w:noProof w:val="1"/>
          </w:rPr>
          <w:t>Risk för översvämning och skyfall</w:t>
        </w:r>
        <w:r>
          <w:rPr>
            <w:noProof w:val="1"/>
          </w:rPr>
          <w:tab/>
        </w:r>
        <w:r>
          <w:rPr>
            <w:noProof w:val="1"/>
          </w:rPr>
          <w:fldChar w:fldCharType="begin"/>
        </w:r>
        <w:r>
          <w:rPr>
            <w:noProof w:val="1"/>
          </w:rPr>
          <w:instrText xml:space="preserve"> PAGEREF _Toc220311628 \h </w:instrText>
        </w:r>
        <w:r>
          <w:rPr>
            <w:noProof w:val="1"/>
          </w:rPr>
          <w:fldChar w:fldCharType="separate"/>
        </w:r>
        <w:r>
          <w:rPr>
            <w:noProof w:val="1"/>
          </w:rPr>
          <w:t>22</w:t>
        </w:r>
        <w:r>
          <w:rPr>
            <w:noProof w:val="1"/>
          </w:rPr>
          <w:fldChar w:fldCharType="end"/>
        </w:r>
      </w:hyperlink>
    </w:p>
    <w:p>
      <w:pPr>
        <w:pStyle w:val="P15"/>
        <w:tabs>
          <w:tab w:val="right" w:pos="8324" w:leader="dot"/>
        </w:tabs>
        <w:rPr>
          <w:rFonts w:cstheme="minorBidi" w:eastAsiaTheme="minorEastAsia"/>
          <w:i w:val="0"/>
          <w:iCs w:val="0"/>
          <w:noProof w:val="1"/>
          <w:sz w:val="22"/>
          <w:szCs w:val="22"/>
          <w:lang w:eastAsia="sv-SE"/>
        </w:rPr>
      </w:pPr>
      <w:hyperlink w:anchor="_Toc220311629">
        <w:r>
          <w:rPr>
            <w:rStyle w:val="C2"/>
            <w:noProof w:val="1"/>
          </w:rPr>
          <w:t>Risk för ras, skred och erosion</w:t>
        </w:r>
        <w:r>
          <w:rPr>
            <w:noProof w:val="1"/>
          </w:rPr>
          <w:tab/>
        </w:r>
        <w:r>
          <w:rPr>
            <w:noProof w:val="1"/>
          </w:rPr>
          <w:fldChar w:fldCharType="begin"/>
        </w:r>
        <w:r>
          <w:rPr>
            <w:noProof w:val="1"/>
          </w:rPr>
          <w:instrText xml:space="preserve"> PAGEREF _Toc220311629 \h </w:instrText>
        </w:r>
        <w:r>
          <w:rPr>
            <w:noProof w:val="1"/>
          </w:rPr>
          <w:fldChar w:fldCharType="separate"/>
        </w:r>
        <w:r>
          <w:rPr>
            <w:noProof w:val="1"/>
          </w:rPr>
          <w:t>23</w:t>
        </w:r>
        <w:r>
          <w:rPr>
            <w:noProof w:val="1"/>
          </w:rPr>
          <w:fldChar w:fldCharType="end"/>
        </w:r>
      </w:hyperlink>
    </w:p>
    <w:p>
      <w:pPr>
        <w:pStyle w:val="P15"/>
        <w:tabs>
          <w:tab w:val="right" w:pos="8324" w:leader="dot"/>
        </w:tabs>
        <w:rPr>
          <w:rFonts w:cstheme="minorBidi" w:eastAsiaTheme="minorEastAsia"/>
          <w:i w:val="0"/>
          <w:iCs w:val="0"/>
          <w:noProof w:val="1"/>
          <w:sz w:val="22"/>
          <w:szCs w:val="22"/>
          <w:lang w:eastAsia="sv-SE"/>
        </w:rPr>
      </w:pPr>
      <w:hyperlink w:anchor="_Toc220311630">
        <w:r>
          <w:rPr>
            <w:rStyle w:val="C2"/>
            <w:noProof w:val="1"/>
          </w:rPr>
          <w:t>Förorenad mark</w:t>
        </w:r>
        <w:r>
          <w:rPr>
            <w:noProof w:val="1"/>
          </w:rPr>
          <w:tab/>
        </w:r>
        <w:r>
          <w:rPr>
            <w:noProof w:val="1"/>
          </w:rPr>
          <w:fldChar w:fldCharType="begin"/>
        </w:r>
        <w:r>
          <w:rPr>
            <w:noProof w:val="1"/>
          </w:rPr>
          <w:instrText xml:space="preserve"> PAGEREF _Toc220311630 \h </w:instrText>
        </w:r>
        <w:r>
          <w:rPr>
            <w:noProof w:val="1"/>
          </w:rPr>
          <w:fldChar w:fldCharType="separate"/>
        </w:r>
        <w:r>
          <w:rPr>
            <w:noProof w:val="1"/>
          </w:rPr>
          <w:t>23</w:t>
        </w:r>
        <w:r>
          <w:rPr>
            <w:noProof w:val="1"/>
          </w:rPr>
          <w:fldChar w:fldCharType="end"/>
        </w:r>
      </w:hyperlink>
    </w:p>
    <w:p>
      <w:pPr>
        <w:pStyle w:val="P15"/>
        <w:tabs>
          <w:tab w:val="right" w:pos="8324" w:leader="dot"/>
        </w:tabs>
        <w:rPr>
          <w:rFonts w:cstheme="minorBidi" w:eastAsiaTheme="minorEastAsia"/>
          <w:i w:val="0"/>
          <w:iCs w:val="0"/>
          <w:noProof w:val="1"/>
          <w:sz w:val="22"/>
          <w:szCs w:val="22"/>
          <w:lang w:eastAsia="sv-SE"/>
        </w:rPr>
      </w:pPr>
      <w:hyperlink w:anchor="_Toc220311631">
        <w:r>
          <w:rPr>
            <w:rStyle w:val="C2"/>
            <w:noProof w:val="1"/>
          </w:rPr>
          <w:t>Brandsäkerhet</w:t>
        </w:r>
        <w:r>
          <w:rPr>
            <w:noProof w:val="1"/>
          </w:rPr>
          <w:tab/>
        </w:r>
        <w:r>
          <w:rPr>
            <w:noProof w:val="1"/>
          </w:rPr>
          <w:fldChar w:fldCharType="begin"/>
        </w:r>
        <w:r>
          <w:rPr>
            <w:noProof w:val="1"/>
          </w:rPr>
          <w:instrText xml:space="preserve"> PAGEREF _Toc220311631 \h </w:instrText>
        </w:r>
        <w:r>
          <w:rPr>
            <w:noProof w:val="1"/>
          </w:rPr>
          <w:fldChar w:fldCharType="separate"/>
        </w:r>
        <w:r>
          <w:rPr>
            <w:noProof w:val="1"/>
          </w:rPr>
          <w:t>23</w:t>
        </w:r>
        <w:r>
          <w:rPr>
            <w:noProof w:val="1"/>
          </w:rPr>
          <w:fldChar w:fldCharType="end"/>
        </w:r>
      </w:hyperlink>
    </w:p>
    <w:p>
      <w:pPr>
        <w:pStyle w:val="P15"/>
        <w:tabs>
          <w:tab w:val="right" w:pos="8324" w:leader="dot"/>
        </w:tabs>
        <w:rPr>
          <w:rFonts w:cstheme="minorBidi" w:eastAsiaTheme="minorEastAsia"/>
          <w:i w:val="0"/>
          <w:iCs w:val="0"/>
          <w:noProof w:val="1"/>
          <w:sz w:val="22"/>
          <w:szCs w:val="22"/>
          <w:lang w:eastAsia="sv-SE"/>
        </w:rPr>
      </w:pPr>
      <w:hyperlink w:anchor="_Toc220311632">
        <w:r>
          <w:rPr>
            <w:rStyle w:val="C2"/>
            <w:noProof w:val="1"/>
          </w:rPr>
          <w:t>Radon</w:t>
        </w:r>
        <w:r>
          <w:rPr>
            <w:noProof w:val="1"/>
          </w:rPr>
          <w:tab/>
        </w:r>
        <w:r>
          <w:rPr>
            <w:noProof w:val="1"/>
          </w:rPr>
          <w:fldChar w:fldCharType="begin"/>
        </w:r>
        <w:r>
          <w:rPr>
            <w:noProof w:val="1"/>
          </w:rPr>
          <w:instrText xml:space="preserve"> PAGEREF _Toc220311632 \h </w:instrText>
        </w:r>
        <w:r>
          <w:rPr>
            <w:noProof w:val="1"/>
          </w:rPr>
          <w:fldChar w:fldCharType="separate"/>
        </w:r>
        <w:r>
          <w:rPr>
            <w:noProof w:val="1"/>
          </w:rPr>
          <w:t>23</w:t>
        </w:r>
        <w:r>
          <w:rPr>
            <w:noProof w:val="1"/>
          </w:rPr>
          <w:fldChar w:fldCharType="end"/>
        </w:r>
      </w:hyperlink>
    </w:p>
    <w:p>
      <w:pPr>
        <w:pStyle w:val="P15"/>
        <w:tabs>
          <w:tab w:val="right" w:pos="8324" w:leader="dot"/>
        </w:tabs>
        <w:rPr>
          <w:rFonts w:cstheme="minorBidi" w:eastAsiaTheme="minorEastAsia"/>
          <w:i w:val="0"/>
          <w:iCs w:val="0"/>
          <w:noProof w:val="1"/>
          <w:sz w:val="22"/>
          <w:szCs w:val="22"/>
          <w:lang w:eastAsia="sv-SE"/>
        </w:rPr>
      </w:pPr>
      <w:hyperlink w:anchor="_Toc220311633">
        <w:r>
          <w:rPr>
            <w:rStyle w:val="C2"/>
            <w:noProof w:val="1"/>
          </w:rPr>
          <w:t>Väg- och spårtrafiksbuller</w:t>
        </w:r>
        <w:r>
          <w:rPr>
            <w:noProof w:val="1"/>
          </w:rPr>
          <w:tab/>
        </w:r>
        <w:r>
          <w:rPr>
            <w:noProof w:val="1"/>
          </w:rPr>
          <w:fldChar w:fldCharType="begin"/>
        </w:r>
        <w:r>
          <w:rPr>
            <w:noProof w:val="1"/>
          </w:rPr>
          <w:instrText xml:space="preserve"> PAGEREF _Toc220311633 \h </w:instrText>
        </w:r>
        <w:r>
          <w:rPr>
            <w:noProof w:val="1"/>
          </w:rPr>
          <w:fldChar w:fldCharType="separate"/>
        </w:r>
        <w:r>
          <w:rPr>
            <w:noProof w:val="1"/>
          </w:rPr>
          <w:t>25</w:t>
        </w:r>
        <w:r>
          <w:rPr>
            <w:noProof w:val="1"/>
          </w:rPr>
          <w:fldChar w:fldCharType="end"/>
        </w:r>
      </w:hyperlink>
    </w:p>
    <w:p>
      <w:pPr>
        <w:pStyle w:val="P14"/>
        <w:tabs>
          <w:tab w:val="right" w:pos="8324" w:leader="dot"/>
        </w:tabs>
        <w:rPr>
          <w:rFonts w:cstheme="minorBidi" w:eastAsiaTheme="minorEastAsia"/>
          <w:smallCaps w:val="0"/>
          <w:noProof w:val="1"/>
          <w:sz w:val="22"/>
          <w:szCs w:val="22"/>
          <w:lang w:eastAsia="sv-SE"/>
        </w:rPr>
      </w:pPr>
      <w:hyperlink w:anchor="_Toc220311634">
        <w:r>
          <w:rPr>
            <w:rStyle w:val="C2"/>
            <w:noProof w:val="1"/>
          </w:rPr>
          <w:t>Teknisk försörjning</w:t>
        </w:r>
        <w:r>
          <w:rPr>
            <w:noProof w:val="1"/>
          </w:rPr>
          <w:tab/>
        </w:r>
        <w:r>
          <w:rPr>
            <w:noProof w:val="1"/>
          </w:rPr>
          <w:fldChar w:fldCharType="begin"/>
        </w:r>
        <w:r>
          <w:rPr>
            <w:noProof w:val="1"/>
          </w:rPr>
          <w:instrText xml:space="preserve"> PAGEREF _Toc220311634 \h </w:instrText>
        </w:r>
        <w:r>
          <w:rPr>
            <w:noProof w:val="1"/>
          </w:rPr>
          <w:fldChar w:fldCharType="separate"/>
        </w:r>
        <w:r>
          <w:rPr>
            <w:noProof w:val="1"/>
          </w:rPr>
          <w:t>26</w:t>
        </w:r>
        <w:r>
          <w:rPr>
            <w:noProof w:val="1"/>
          </w:rPr>
          <w:fldChar w:fldCharType="end"/>
        </w:r>
      </w:hyperlink>
    </w:p>
    <w:p>
      <w:pPr>
        <w:pStyle w:val="P15"/>
        <w:tabs>
          <w:tab w:val="right" w:pos="8324" w:leader="dot"/>
        </w:tabs>
        <w:rPr>
          <w:rFonts w:cstheme="minorBidi" w:eastAsiaTheme="minorEastAsia"/>
          <w:i w:val="0"/>
          <w:iCs w:val="0"/>
          <w:noProof w:val="1"/>
          <w:sz w:val="22"/>
          <w:szCs w:val="22"/>
          <w:lang w:eastAsia="sv-SE"/>
        </w:rPr>
      </w:pPr>
      <w:hyperlink w:anchor="_Toc220311635">
        <w:r>
          <w:rPr>
            <w:rStyle w:val="C2"/>
            <w:noProof w:val="1"/>
          </w:rPr>
          <w:t>Vatten och spillvatten</w:t>
        </w:r>
        <w:r>
          <w:rPr>
            <w:noProof w:val="1"/>
          </w:rPr>
          <w:tab/>
        </w:r>
        <w:r>
          <w:rPr>
            <w:noProof w:val="1"/>
          </w:rPr>
          <w:fldChar w:fldCharType="begin"/>
        </w:r>
        <w:r>
          <w:rPr>
            <w:noProof w:val="1"/>
          </w:rPr>
          <w:instrText xml:space="preserve"> PAGEREF _Toc220311635 \h </w:instrText>
        </w:r>
        <w:r>
          <w:rPr>
            <w:noProof w:val="1"/>
          </w:rPr>
          <w:fldChar w:fldCharType="separate"/>
        </w:r>
        <w:r>
          <w:rPr>
            <w:noProof w:val="1"/>
          </w:rPr>
          <w:t>26</w:t>
        </w:r>
        <w:r>
          <w:rPr>
            <w:noProof w:val="1"/>
          </w:rPr>
          <w:fldChar w:fldCharType="end"/>
        </w:r>
      </w:hyperlink>
    </w:p>
    <w:p>
      <w:pPr>
        <w:pStyle w:val="P15"/>
        <w:tabs>
          <w:tab w:val="right" w:pos="8324" w:leader="dot"/>
        </w:tabs>
        <w:rPr>
          <w:rFonts w:cstheme="minorBidi" w:eastAsiaTheme="minorEastAsia"/>
          <w:i w:val="0"/>
          <w:iCs w:val="0"/>
          <w:noProof w:val="1"/>
          <w:sz w:val="22"/>
          <w:szCs w:val="22"/>
          <w:lang w:eastAsia="sv-SE"/>
        </w:rPr>
      </w:pPr>
      <w:hyperlink w:anchor="_Toc220311636">
        <w:r>
          <w:rPr>
            <w:rStyle w:val="C2"/>
            <w:noProof w:val="1"/>
          </w:rPr>
          <w:t>Dagvatten</w:t>
        </w:r>
        <w:r>
          <w:rPr>
            <w:noProof w:val="1"/>
          </w:rPr>
          <w:tab/>
        </w:r>
        <w:r>
          <w:rPr>
            <w:noProof w:val="1"/>
          </w:rPr>
          <w:fldChar w:fldCharType="begin"/>
        </w:r>
        <w:r>
          <w:rPr>
            <w:noProof w:val="1"/>
          </w:rPr>
          <w:instrText xml:space="preserve"> PAGEREF _Toc220311636 \h </w:instrText>
        </w:r>
        <w:r>
          <w:rPr>
            <w:noProof w:val="1"/>
          </w:rPr>
          <w:fldChar w:fldCharType="separate"/>
        </w:r>
        <w:r>
          <w:rPr>
            <w:noProof w:val="1"/>
          </w:rPr>
          <w:t>26</w:t>
        </w:r>
        <w:r>
          <w:rPr>
            <w:noProof w:val="1"/>
          </w:rPr>
          <w:fldChar w:fldCharType="end"/>
        </w:r>
      </w:hyperlink>
    </w:p>
    <w:p>
      <w:pPr>
        <w:pStyle w:val="P15"/>
        <w:tabs>
          <w:tab w:val="right" w:pos="8324" w:leader="dot"/>
        </w:tabs>
        <w:rPr>
          <w:rFonts w:cstheme="minorBidi" w:eastAsiaTheme="minorEastAsia"/>
          <w:i w:val="0"/>
          <w:iCs w:val="0"/>
          <w:noProof w:val="1"/>
          <w:sz w:val="22"/>
          <w:szCs w:val="22"/>
          <w:lang w:eastAsia="sv-SE"/>
        </w:rPr>
      </w:pPr>
      <w:hyperlink w:anchor="_Toc220311637">
        <w:r>
          <w:rPr>
            <w:rStyle w:val="C2"/>
            <w:noProof w:val="1"/>
          </w:rPr>
          <w:t>El, fiber och tele</w:t>
        </w:r>
        <w:r>
          <w:rPr>
            <w:noProof w:val="1"/>
          </w:rPr>
          <w:tab/>
        </w:r>
        <w:r>
          <w:rPr>
            <w:noProof w:val="1"/>
          </w:rPr>
          <w:fldChar w:fldCharType="begin"/>
        </w:r>
        <w:r>
          <w:rPr>
            <w:noProof w:val="1"/>
          </w:rPr>
          <w:instrText xml:space="preserve"> PAGEREF _Toc220311637 \h </w:instrText>
        </w:r>
        <w:r>
          <w:rPr>
            <w:noProof w:val="1"/>
          </w:rPr>
          <w:fldChar w:fldCharType="separate"/>
        </w:r>
        <w:r>
          <w:rPr>
            <w:noProof w:val="1"/>
          </w:rPr>
          <w:t>27</w:t>
        </w:r>
        <w:r>
          <w:rPr>
            <w:noProof w:val="1"/>
          </w:rPr>
          <w:fldChar w:fldCharType="end"/>
        </w:r>
      </w:hyperlink>
    </w:p>
    <w:p>
      <w:pPr>
        <w:pStyle w:val="P15"/>
        <w:tabs>
          <w:tab w:val="right" w:pos="8324" w:leader="dot"/>
        </w:tabs>
        <w:rPr>
          <w:rFonts w:cstheme="minorBidi" w:eastAsiaTheme="minorEastAsia"/>
          <w:i w:val="0"/>
          <w:iCs w:val="0"/>
          <w:noProof w:val="1"/>
          <w:sz w:val="22"/>
          <w:szCs w:val="22"/>
          <w:lang w:eastAsia="sv-SE"/>
        </w:rPr>
      </w:pPr>
      <w:hyperlink w:anchor="_Toc220311638">
        <w:r>
          <w:rPr>
            <w:rStyle w:val="C2"/>
            <w:noProof w:val="1"/>
          </w:rPr>
          <w:t>Avfall</w:t>
        </w:r>
        <w:r>
          <w:rPr>
            <w:noProof w:val="1"/>
          </w:rPr>
          <w:tab/>
        </w:r>
        <w:r>
          <w:rPr>
            <w:noProof w:val="1"/>
          </w:rPr>
          <w:fldChar w:fldCharType="begin"/>
        </w:r>
        <w:r>
          <w:rPr>
            <w:noProof w:val="1"/>
          </w:rPr>
          <w:instrText xml:space="preserve"> PAGEREF _Toc220311638 \h </w:instrText>
        </w:r>
        <w:r>
          <w:rPr>
            <w:noProof w:val="1"/>
          </w:rPr>
          <w:fldChar w:fldCharType="separate"/>
        </w:r>
        <w:r>
          <w:rPr>
            <w:noProof w:val="1"/>
          </w:rPr>
          <w:t>27</w:t>
        </w:r>
        <w:r>
          <w:rPr>
            <w:noProof w:val="1"/>
          </w:rPr>
          <w:fldChar w:fldCharType="end"/>
        </w:r>
      </w:hyperlink>
    </w:p>
    <w:p>
      <w:pPr>
        <w:pStyle w:val="P13"/>
        <w:tabs>
          <w:tab w:val="right" w:pos="8324" w:leader="dot"/>
        </w:tabs>
        <w:rPr>
          <w:rFonts w:cstheme="minorBidi" w:eastAsiaTheme="minorEastAsia"/>
          <w:b w:val="0"/>
          <w:bCs w:val="0"/>
          <w:caps w:val="0"/>
          <w:noProof w:val="1"/>
          <w:sz w:val="22"/>
          <w:szCs w:val="22"/>
          <w:lang w:eastAsia="sv-SE"/>
        </w:rPr>
      </w:pPr>
      <w:hyperlink w:anchor="_Toc220311639">
        <w:r>
          <w:rPr>
            <w:rStyle w:val="C2"/>
            <w:noProof w:val="1"/>
          </w:rPr>
          <w:t>Befintliga planeringsunderlag</w:t>
        </w:r>
        <w:r>
          <w:rPr>
            <w:noProof w:val="1"/>
          </w:rPr>
          <w:tab/>
        </w:r>
        <w:r>
          <w:rPr>
            <w:noProof w:val="1"/>
          </w:rPr>
          <w:fldChar w:fldCharType="begin"/>
        </w:r>
        <w:r>
          <w:rPr>
            <w:noProof w:val="1"/>
          </w:rPr>
          <w:instrText xml:space="preserve"> PAGEREF _Toc220311639 \h </w:instrText>
        </w:r>
        <w:r>
          <w:rPr>
            <w:noProof w:val="1"/>
          </w:rPr>
          <w:fldChar w:fldCharType="separate"/>
        </w:r>
        <w:r>
          <w:rPr>
            <w:noProof w:val="1"/>
          </w:rPr>
          <w:t>28</w:t>
        </w:r>
        <w:r>
          <w:rPr>
            <w:noProof w:val="1"/>
          </w:rPr>
          <w:fldChar w:fldCharType="end"/>
        </w:r>
      </w:hyperlink>
    </w:p>
    <w:p>
      <w:pPr>
        <w:pStyle w:val="P14"/>
        <w:tabs>
          <w:tab w:val="right" w:pos="8324" w:leader="dot"/>
        </w:tabs>
        <w:rPr>
          <w:rFonts w:cstheme="minorBidi" w:eastAsiaTheme="minorEastAsia"/>
          <w:smallCaps w:val="0"/>
          <w:noProof w:val="1"/>
          <w:sz w:val="22"/>
          <w:szCs w:val="22"/>
          <w:lang w:eastAsia="sv-SE"/>
        </w:rPr>
      </w:pPr>
      <w:hyperlink w:anchor="_Toc220311640">
        <w:r>
          <w:rPr>
            <w:rStyle w:val="C2"/>
            <w:rFonts w:cs="Arial"/>
            <w:noProof w:val="1"/>
          </w:rPr>
          <w:t>Kommunala underlag</w:t>
        </w:r>
        <w:r>
          <w:rPr>
            <w:noProof w:val="1"/>
          </w:rPr>
          <w:tab/>
        </w:r>
        <w:r>
          <w:rPr>
            <w:noProof w:val="1"/>
          </w:rPr>
          <w:fldChar w:fldCharType="begin"/>
        </w:r>
        <w:r>
          <w:rPr>
            <w:noProof w:val="1"/>
          </w:rPr>
          <w:instrText xml:space="preserve"> PAGEREF _Toc220311640 \h </w:instrText>
        </w:r>
        <w:r>
          <w:rPr>
            <w:noProof w:val="1"/>
          </w:rPr>
          <w:fldChar w:fldCharType="separate"/>
        </w:r>
        <w:r>
          <w:rPr>
            <w:noProof w:val="1"/>
          </w:rPr>
          <w:t>28</w:t>
        </w:r>
        <w:r>
          <w:rPr>
            <w:noProof w:val="1"/>
          </w:rPr>
          <w:fldChar w:fldCharType="end"/>
        </w:r>
      </w:hyperlink>
    </w:p>
    <w:p>
      <w:pPr>
        <w:pStyle w:val="P15"/>
        <w:tabs>
          <w:tab w:val="right" w:pos="8324" w:leader="dot"/>
        </w:tabs>
        <w:rPr>
          <w:rFonts w:cstheme="minorBidi" w:eastAsiaTheme="minorEastAsia"/>
          <w:i w:val="0"/>
          <w:iCs w:val="0"/>
          <w:noProof w:val="1"/>
          <w:sz w:val="22"/>
          <w:szCs w:val="22"/>
          <w:lang w:eastAsia="sv-SE"/>
        </w:rPr>
      </w:pPr>
      <w:hyperlink w:anchor="_Toc220311641">
        <w:r>
          <w:rPr>
            <w:rStyle w:val="C2"/>
            <w:noProof w:val="1"/>
          </w:rPr>
          <w:t>Översiktsplan</w:t>
        </w:r>
        <w:r>
          <w:rPr>
            <w:noProof w:val="1"/>
          </w:rPr>
          <w:tab/>
        </w:r>
        <w:r>
          <w:rPr>
            <w:noProof w:val="1"/>
          </w:rPr>
          <w:fldChar w:fldCharType="begin"/>
        </w:r>
        <w:r>
          <w:rPr>
            <w:noProof w:val="1"/>
          </w:rPr>
          <w:instrText xml:space="preserve"> PAGEREF _Toc220311641 \h </w:instrText>
        </w:r>
        <w:r>
          <w:rPr>
            <w:noProof w:val="1"/>
          </w:rPr>
          <w:fldChar w:fldCharType="separate"/>
        </w:r>
        <w:r>
          <w:rPr>
            <w:noProof w:val="1"/>
          </w:rPr>
          <w:t>28</w:t>
        </w:r>
        <w:r>
          <w:rPr>
            <w:noProof w:val="1"/>
          </w:rPr>
          <w:fldChar w:fldCharType="end"/>
        </w:r>
      </w:hyperlink>
    </w:p>
    <w:p>
      <w:pPr>
        <w:pStyle w:val="P15"/>
        <w:tabs>
          <w:tab w:val="right" w:pos="8324" w:leader="dot"/>
        </w:tabs>
        <w:rPr>
          <w:rFonts w:cstheme="minorBidi" w:eastAsiaTheme="minorEastAsia"/>
          <w:i w:val="0"/>
          <w:iCs w:val="0"/>
          <w:noProof w:val="1"/>
          <w:sz w:val="22"/>
          <w:szCs w:val="22"/>
          <w:lang w:eastAsia="sv-SE"/>
        </w:rPr>
      </w:pPr>
      <w:hyperlink w:anchor="_Toc220311642">
        <w:r>
          <w:rPr>
            <w:rStyle w:val="C2"/>
            <w:noProof w:val="1"/>
          </w:rPr>
          <w:t>Detaljplaner och områdesbestämmelser</w:t>
        </w:r>
        <w:r>
          <w:rPr>
            <w:noProof w:val="1"/>
          </w:rPr>
          <w:tab/>
        </w:r>
        <w:r>
          <w:rPr>
            <w:noProof w:val="1"/>
          </w:rPr>
          <w:fldChar w:fldCharType="begin"/>
        </w:r>
        <w:r>
          <w:rPr>
            <w:noProof w:val="1"/>
          </w:rPr>
          <w:instrText xml:space="preserve"> PAGEREF _Toc220311642 \h </w:instrText>
        </w:r>
        <w:r>
          <w:rPr>
            <w:noProof w:val="1"/>
          </w:rPr>
          <w:fldChar w:fldCharType="separate"/>
        </w:r>
        <w:r>
          <w:rPr>
            <w:noProof w:val="1"/>
          </w:rPr>
          <w:t>29</w:t>
        </w:r>
        <w:r>
          <w:rPr>
            <w:noProof w:val="1"/>
          </w:rPr>
          <w:fldChar w:fldCharType="end"/>
        </w:r>
      </w:hyperlink>
    </w:p>
    <w:p>
      <w:pPr>
        <w:pStyle w:val="P15"/>
        <w:tabs>
          <w:tab w:val="right" w:pos="8324" w:leader="dot"/>
        </w:tabs>
        <w:rPr>
          <w:rFonts w:cstheme="minorBidi" w:eastAsiaTheme="minorEastAsia"/>
          <w:i w:val="0"/>
          <w:iCs w:val="0"/>
          <w:noProof w:val="1"/>
          <w:sz w:val="22"/>
          <w:szCs w:val="22"/>
          <w:lang w:eastAsia="sv-SE"/>
        </w:rPr>
      </w:pPr>
      <w:hyperlink w:anchor="_Toc220311643">
        <w:r>
          <w:rPr>
            <w:rStyle w:val="C2"/>
            <w:noProof w:val="1"/>
          </w:rPr>
          <w:t>Planbesked</w:t>
        </w:r>
        <w:r>
          <w:rPr>
            <w:noProof w:val="1"/>
          </w:rPr>
          <w:tab/>
        </w:r>
        <w:r>
          <w:rPr>
            <w:noProof w:val="1"/>
          </w:rPr>
          <w:fldChar w:fldCharType="begin"/>
        </w:r>
        <w:r>
          <w:rPr>
            <w:noProof w:val="1"/>
          </w:rPr>
          <w:instrText xml:space="preserve"> PAGEREF _Toc220311643 \h </w:instrText>
        </w:r>
        <w:r>
          <w:rPr>
            <w:noProof w:val="1"/>
          </w:rPr>
          <w:fldChar w:fldCharType="separate"/>
        </w:r>
        <w:r>
          <w:rPr>
            <w:noProof w:val="1"/>
          </w:rPr>
          <w:t>30</w:t>
        </w:r>
        <w:r>
          <w:rPr>
            <w:noProof w:val="1"/>
          </w:rPr>
          <w:fldChar w:fldCharType="end"/>
        </w:r>
      </w:hyperlink>
    </w:p>
    <w:p>
      <w:pPr>
        <w:pStyle w:val="P15"/>
        <w:tabs>
          <w:tab w:val="right" w:pos="8324" w:leader="dot"/>
        </w:tabs>
        <w:rPr>
          <w:rFonts w:cstheme="minorBidi" w:eastAsiaTheme="minorEastAsia"/>
          <w:i w:val="0"/>
          <w:iCs w:val="0"/>
          <w:noProof w:val="1"/>
          <w:sz w:val="22"/>
          <w:szCs w:val="22"/>
          <w:lang w:eastAsia="sv-SE"/>
        </w:rPr>
      </w:pPr>
      <w:hyperlink w:anchor="_Toc220311644">
        <w:r>
          <w:rPr>
            <w:rStyle w:val="C2"/>
            <w:noProof w:val="1"/>
          </w:rPr>
          <w:t>Kommunala beslut i övrigt</w:t>
        </w:r>
        <w:r>
          <w:rPr>
            <w:noProof w:val="1"/>
          </w:rPr>
          <w:tab/>
        </w:r>
        <w:r>
          <w:rPr>
            <w:noProof w:val="1"/>
          </w:rPr>
          <w:fldChar w:fldCharType="begin"/>
        </w:r>
        <w:r>
          <w:rPr>
            <w:noProof w:val="1"/>
          </w:rPr>
          <w:instrText xml:space="preserve"> PAGEREF _Toc220311644 \h </w:instrText>
        </w:r>
        <w:r>
          <w:rPr>
            <w:noProof w:val="1"/>
          </w:rPr>
          <w:fldChar w:fldCharType="separate"/>
        </w:r>
        <w:r>
          <w:rPr>
            <w:noProof w:val="1"/>
          </w:rPr>
          <w:t>31</w:t>
        </w:r>
        <w:r>
          <w:rPr>
            <w:noProof w:val="1"/>
          </w:rPr>
          <w:fldChar w:fldCharType="end"/>
        </w:r>
      </w:hyperlink>
    </w:p>
    <w:p>
      <w:pPr>
        <w:pStyle w:val="P13"/>
        <w:tabs>
          <w:tab w:val="right" w:pos="8324" w:leader="dot"/>
        </w:tabs>
        <w:rPr>
          <w:rFonts w:cstheme="minorBidi" w:eastAsiaTheme="minorEastAsia"/>
          <w:b w:val="0"/>
          <w:bCs w:val="0"/>
          <w:caps w:val="0"/>
          <w:noProof w:val="1"/>
          <w:sz w:val="22"/>
          <w:szCs w:val="22"/>
          <w:lang w:eastAsia="sv-SE"/>
        </w:rPr>
      </w:pPr>
      <w:hyperlink w:anchor="_Toc220311645">
        <w:r>
          <w:rPr>
            <w:rStyle w:val="C2"/>
            <w:noProof w:val="1"/>
          </w:rPr>
          <w:t>Förenligt med miljöbalken</w:t>
        </w:r>
        <w:r>
          <w:rPr>
            <w:noProof w:val="1"/>
          </w:rPr>
          <w:tab/>
        </w:r>
        <w:r>
          <w:rPr>
            <w:noProof w:val="1"/>
          </w:rPr>
          <w:fldChar w:fldCharType="begin"/>
        </w:r>
        <w:r>
          <w:rPr>
            <w:noProof w:val="1"/>
          </w:rPr>
          <w:instrText xml:space="preserve"> PAGEREF _Toc220311645 \h </w:instrText>
        </w:r>
        <w:r>
          <w:rPr>
            <w:noProof w:val="1"/>
          </w:rPr>
          <w:fldChar w:fldCharType="separate"/>
        </w:r>
        <w:r>
          <w:rPr>
            <w:noProof w:val="1"/>
          </w:rPr>
          <w:t>32</w:t>
        </w:r>
        <w:r>
          <w:rPr>
            <w:noProof w:val="1"/>
          </w:rPr>
          <w:fldChar w:fldCharType="end"/>
        </w:r>
      </w:hyperlink>
    </w:p>
    <w:p>
      <w:pPr>
        <w:pStyle w:val="P14"/>
        <w:tabs>
          <w:tab w:val="right" w:pos="8324" w:leader="dot"/>
        </w:tabs>
        <w:rPr>
          <w:rFonts w:cstheme="minorBidi" w:eastAsiaTheme="minorEastAsia"/>
          <w:smallCaps w:val="0"/>
          <w:noProof w:val="1"/>
          <w:sz w:val="22"/>
          <w:szCs w:val="22"/>
          <w:lang w:eastAsia="sv-SE"/>
        </w:rPr>
      </w:pPr>
      <w:hyperlink w:anchor="_Toc220311646">
        <w:r>
          <w:rPr>
            <w:rStyle w:val="C2"/>
            <w:rFonts w:cs="Arial"/>
            <w:noProof w:val="1"/>
          </w:rPr>
          <w:t>Undersökning av betydande miljöpåverkan</w:t>
        </w:r>
        <w:r>
          <w:rPr>
            <w:noProof w:val="1"/>
          </w:rPr>
          <w:tab/>
        </w:r>
        <w:r>
          <w:rPr>
            <w:noProof w:val="1"/>
          </w:rPr>
          <w:fldChar w:fldCharType="begin"/>
        </w:r>
        <w:r>
          <w:rPr>
            <w:noProof w:val="1"/>
          </w:rPr>
          <w:instrText xml:space="preserve"> PAGEREF _Toc220311646 \h </w:instrText>
        </w:r>
        <w:r>
          <w:rPr>
            <w:noProof w:val="1"/>
          </w:rPr>
          <w:fldChar w:fldCharType="separate"/>
        </w:r>
        <w:r>
          <w:rPr>
            <w:noProof w:val="1"/>
          </w:rPr>
          <w:t>32</w:t>
        </w:r>
        <w:r>
          <w:rPr>
            <w:noProof w:val="1"/>
          </w:rPr>
          <w:fldChar w:fldCharType="end"/>
        </w:r>
      </w:hyperlink>
    </w:p>
    <w:p>
      <w:pPr>
        <w:pStyle w:val="P14"/>
        <w:tabs>
          <w:tab w:val="right" w:pos="8324" w:leader="dot"/>
        </w:tabs>
        <w:rPr>
          <w:rFonts w:cstheme="minorBidi" w:eastAsiaTheme="minorEastAsia"/>
          <w:smallCaps w:val="0"/>
          <w:noProof w:val="1"/>
          <w:sz w:val="22"/>
          <w:szCs w:val="22"/>
          <w:lang w:eastAsia="sv-SE"/>
        </w:rPr>
      </w:pPr>
      <w:hyperlink w:anchor="_Toc220311647">
        <w:r>
          <w:rPr>
            <w:rStyle w:val="C2"/>
            <w:rFonts w:cs="Arial"/>
            <w:noProof w:val="1"/>
          </w:rPr>
          <w:t>Miljökonsekvensbeskrivning</w:t>
        </w:r>
        <w:r>
          <w:rPr>
            <w:noProof w:val="1"/>
          </w:rPr>
          <w:tab/>
        </w:r>
        <w:r>
          <w:rPr>
            <w:noProof w:val="1"/>
          </w:rPr>
          <w:fldChar w:fldCharType="begin"/>
        </w:r>
        <w:r>
          <w:rPr>
            <w:noProof w:val="1"/>
          </w:rPr>
          <w:instrText xml:space="preserve"> PAGEREF _Toc220311647 \h </w:instrText>
        </w:r>
        <w:r>
          <w:rPr>
            <w:noProof w:val="1"/>
          </w:rPr>
          <w:fldChar w:fldCharType="separate"/>
        </w:r>
        <w:r>
          <w:rPr>
            <w:noProof w:val="1"/>
          </w:rPr>
          <w:t>32</w:t>
        </w:r>
        <w:r>
          <w:rPr>
            <w:noProof w:val="1"/>
          </w:rPr>
          <w:fldChar w:fldCharType="end"/>
        </w:r>
      </w:hyperlink>
    </w:p>
    <w:p>
      <w:pPr>
        <w:pStyle w:val="P14"/>
        <w:tabs>
          <w:tab w:val="right" w:pos="8324" w:leader="dot"/>
        </w:tabs>
        <w:rPr>
          <w:rFonts w:cstheme="minorBidi" w:eastAsiaTheme="minorEastAsia"/>
          <w:smallCaps w:val="0"/>
          <w:noProof w:val="1"/>
          <w:sz w:val="22"/>
          <w:szCs w:val="22"/>
          <w:lang w:eastAsia="sv-SE"/>
        </w:rPr>
      </w:pPr>
      <w:hyperlink w:anchor="_Toc220311648">
        <w:r>
          <w:rPr>
            <w:rStyle w:val="C2"/>
            <w:noProof w:val="1"/>
          </w:rPr>
          <w:t>Riksintressen</w:t>
        </w:r>
        <w:r>
          <w:rPr>
            <w:noProof w:val="1"/>
          </w:rPr>
          <w:tab/>
        </w:r>
        <w:r>
          <w:rPr>
            <w:noProof w:val="1"/>
          </w:rPr>
          <w:fldChar w:fldCharType="begin"/>
        </w:r>
        <w:r>
          <w:rPr>
            <w:noProof w:val="1"/>
          </w:rPr>
          <w:instrText xml:space="preserve"> PAGEREF _Toc220311648 \h </w:instrText>
        </w:r>
        <w:r>
          <w:rPr>
            <w:noProof w:val="1"/>
          </w:rPr>
          <w:fldChar w:fldCharType="separate"/>
        </w:r>
        <w:r>
          <w:rPr>
            <w:noProof w:val="1"/>
          </w:rPr>
          <w:t>32</w:t>
        </w:r>
        <w:r>
          <w:rPr>
            <w:noProof w:val="1"/>
          </w:rPr>
          <w:fldChar w:fldCharType="end"/>
        </w:r>
      </w:hyperlink>
    </w:p>
    <w:p>
      <w:pPr>
        <w:pStyle w:val="P14"/>
        <w:tabs>
          <w:tab w:val="right" w:pos="8324" w:leader="dot"/>
        </w:tabs>
        <w:rPr>
          <w:rFonts w:cstheme="minorBidi" w:eastAsiaTheme="minorEastAsia"/>
          <w:smallCaps w:val="0"/>
          <w:noProof w:val="1"/>
          <w:sz w:val="22"/>
          <w:szCs w:val="22"/>
          <w:lang w:eastAsia="sv-SE"/>
        </w:rPr>
      </w:pPr>
      <w:hyperlink w:anchor="_Toc220311649">
        <w:r>
          <w:rPr>
            <w:rStyle w:val="C2"/>
            <w:noProof w:val="1"/>
          </w:rPr>
          <w:t>Miljökvalitetsnormer</w:t>
        </w:r>
        <w:r>
          <w:rPr>
            <w:noProof w:val="1"/>
          </w:rPr>
          <w:tab/>
        </w:r>
        <w:r>
          <w:rPr>
            <w:noProof w:val="1"/>
          </w:rPr>
          <w:fldChar w:fldCharType="begin"/>
        </w:r>
        <w:r>
          <w:rPr>
            <w:noProof w:val="1"/>
          </w:rPr>
          <w:instrText xml:space="preserve"> PAGEREF _Toc220311649 \h </w:instrText>
        </w:r>
        <w:r>
          <w:rPr>
            <w:noProof w:val="1"/>
          </w:rPr>
          <w:fldChar w:fldCharType="separate"/>
        </w:r>
        <w:r>
          <w:rPr>
            <w:noProof w:val="1"/>
          </w:rPr>
          <w:t>33</w:t>
        </w:r>
        <w:r>
          <w:rPr>
            <w:noProof w:val="1"/>
          </w:rPr>
          <w:fldChar w:fldCharType="end"/>
        </w:r>
      </w:hyperlink>
    </w:p>
    <w:p>
      <w:pPr>
        <w:pStyle w:val="P15"/>
        <w:tabs>
          <w:tab w:val="right" w:pos="8324" w:leader="dot"/>
        </w:tabs>
        <w:rPr>
          <w:rFonts w:cstheme="minorBidi" w:eastAsiaTheme="minorEastAsia"/>
          <w:i w:val="0"/>
          <w:iCs w:val="0"/>
          <w:noProof w:val="1"/>
          <w:sz w:val="22"/>
          <w:szCs w:val="22"/>
          <w:lang w:eastAsia="sv-SE"/>
        </w:rPr>
      </w:pPr>
      <w:hyperlink w:anchor="_Toc220311650">
        <w:r>
          <w:rPr>
            <w:rStyle w:val="C2"/>
            <w:noProof w:val="1"/>
            <w:lang w:eastAsia="sv-SE"/>
          </w:rPr>
          <w:t>Miljökvalitetsnorm för luft</w:t>
        </w:r>
        <w:r>
          <w:rPr>
            <w:noProof w:val="1"/>
          </w:rPr>
          <w:tab/>
        </w:r>
        <w:r>
          <w:rPr>
            <w:noProof w:val="1"/>
          </w:rPr>
          <w:fldChar w:fldCharType="begin"/>
        </w:r>
        <w:r>
          <w:rPr>
            <w:noProof w:val="1"/>
          </w:rPr>
          <w:instrText xml:space="preserve"> PAGEREF _Toc220311650 \h </w:instrText>
        </w:r>
        <w:r>
          <w:rPr>
            <w:noProof w:val="1"/>
          </w:rPr>
          <w:fldChar w:fldCharType="separate"/>
        </w:r>
        <w:r>
          <w:rPr>
            <w:noProof w:val="1"/>
          </w:rPr>
          <w:t>33</w:t>
        </w:r>
        <w:r>
          <w:rPr>
            <w:noProof w:val="1"/>
          </w:rPr>
          <w:fldChar w:fldCharType="end"/>
        </w:r>
      </w:hyperlink>
    </w:p>
    <w:p>
      <w:pPr>
        <w:pStyle w:val="P15"/>
        <w:tabs>
          <w:tab w:val="right" w:pos="8324" w:leader="dot"/>
        </w:tabs>
        <w:rPr>
          <w:rFonts w:cstheme="minorBidi" w:eastAsiaTheme="minorEastAsia"/>
          <w:i w:val="0"/>
          <w:iCs w:val="0"/>
          <w:noProof w:val="1"/>
          <w:sz w:val="22"/>
          <w:szCs w:val="22"/>
          <w:lang w:eastAsia="sv-SE"/>
        </w:rPr>
      </w:pPr>
      <w:hyperlink w:anchor="_Toc220311651">
        <w:r>
          <w:rPr>
            <w:rStyle w:val="C2"/>
            <w:noProof w:val="1"/>
            <w:lang w:eastAsia="sv-SE"/>
          </w:rPr>
          <w:t>Miljökvalitetsnorm för omgivningsbuller</w:t>
        </w:r>
        <w:r>
          <w:rPr>
            <w:noProof w:val="1"/>
          </w:rPr>
          <w:tab/>
        </w:r>
        <w:r>
          <w:rPr>
            <w:noProof w:val="1"/>
          </w:rPr>
          <w:fldChar w:fldCharType="begin"/>
        </w:r>
        <w:r>
          <w:rPr>
            <w:noProof w:val="1"/>
          </w:rPr>
          <w:instrText xml:space="preserve"> PAGEREF _Toc220311651 \h </w:instrText>
        </w:r>
        <w:r>
          <w:rPr>
            <w:noProof w:val="1"/>
          </w:rPr>
          <w:fldChar w:fldCharType="separate"/>
        </w:r>
        <w:r>
          <w:rPr>
            <w:noProof w:val="1"/>
          </w:rPr>
          <w:t>35</w:t>
        </w:r>
        <w:r>
          <w:rPr>
            <w:noProof w:val="1"/>
          </w:rPr>
          <w:fldChar w:fldCharType="end"/>
        </w:r>
      </w:hyperlink>
    </w:p>
    <w:p>
      <w:pPr>
        <w:pStyle w:val="P14"/>
        <w:tabs>
          <w:tab w:val="right" w:pos="8324" w:leader="dot"/>
        </w:tabs>
        <w:rPr>
          <w:rFonts w:cstheme="minorBidi" w:eastAsiaTheme="minorEastAsia"/>
          <w:smallCaps w:val="0"/>
          <w:noProof w:val="1"/>
          <w:sz w:val="22"/>
          <w:szCs w:val="22"/>
          <w:lang w:eastAsia="sv-SE"/>
        </w:rPr>
      </w:pPr>
      <w:hyperlink w:anchor="_Toc220311652">
        <w:r>
          <w:rPr>
            <w:rStyle w:val="C2"/>
            <w:noProof w:val="1"/>
          </w:rPr>
          <w:t>Strandskydd</w:t>
        </w:r>
        <w:r>
          <w:rPr>
            <w:noProof w:val="1"/>
          </w:rPr>
          <w:tab/>
        </w:r>
        <w:r>
          <w:rPr>
            <w:noProof w:val="1"/>
          </w:rPr>
          <w:fldChar w:fldCharType="begin"/>
        </w:r>
        <w:r>
          <w:rPr>
            <w:noProof w:val="1"/>
          </w:rPr>
          <w:instrText xml:space="preserve"> PAGEREF _Toc220311652 \h </w:instrText>
        </w:r>
        <w:r>
          <w:rPr>
            <w:noProof w:val="1"/>
          </w:rPr>
          <w:fldChar w:fldCharType="separate"/>
        </w:r>
        <w:r>
          <w:rPr>
            <w:noProof w:val="1"/>
          </w:rPr>
          <w:t>35</w:t>
        </w:r>
        <w:r>
          <w:rPr>
            <w:noProof w:val="1"/>
          </w:rPr>
          <w:fldChar w:fldCharType="end"/>
        </w:r>
      </w:hyperlink>
    </w:p>
    <w:p>
      <w:pPr>
        <w:pStyle w:val="P13"/>
        <w:tabs>
          <w:tab w:val="right" w:pos="8324" w:leader="dot"/>
        </w:tabs>
        <w:rPr>
          <w:rFonts w:cstheme="minorBidi" w:eastAsiaTheme="minorEastAsia"/>
          <w:b w:val="0"/>
          <w:bCs w:val="0"/>
          <w:caps w:val="0"/>
          <w:noProof w:val="1"/>
          <w:sz w:val="22"/>
          <w:szCs w:val="22"/>
          <w:lang w:eastAsia="sv-SE"/>
        </w:rPr>
      </w:pPr>
      <w:hyperlink w:anchor="_Toc220311653">
        <w:r>
          <w:rPr>
            <w:rStyle w:val="C2"/>
            <w:noProof w:val="1"/>
          </w:rPr>
          <w:t>Genomförandefrågor</w:t>
        </w:r>
        <w:r>
          <w:rPr>
            <w:noProof w:val="1"/>
          </w:rPr>
          <w:tab/>
        </w:r>
        <w:r>
          <w:rPr>
            <w:noProof w:val="1"/>
          </w:rPr>
          <w:fldChar w:fldCharType="begin"/>
        </w:r>
        <w:r>
          <w:rPr>
            <w:noProof w:val="1"/>
          </w:rPr>
          <w:instrText xml:space="preserve"> PAGEREF _Toc220311653 \h </w:instrText>
        </w:r>
        <w:r>
          <w:rPr>
            <w:noProof w:val="1"/>
          </w:rPr>
          <w:fldChar w:fldCharType="separate"/>
        </w:r>
        <w:r>
          <w:rPr>
            <w:noProof w:val="1"/>
          </w:rPr>
          <w:t>37</w:t>
        </w:r>
        <w:r>
          <w:rPr>
            <w:noProof w:val="1"/>
          </w:rPr>
          <w:fldChar w:fldCharType="end"/>
        </w:r>
      </w:hyperlink>
    </w:p>
    <w:p>
      <w:pPr>
        <w:pStyle w:val="P15"/>
        <w:tabs>
          <w:tab w:val="right" w:pos="8324" w:leader="dot"/>
        </w:tabs>
        <w:rPr>
          <w:rFonts w:cstheme="minorBidi" w:eastAsiaTheme="minorEastAsia"/>
          <w:i w:val="0"/>
          <w:iCs w:val="0"/>
          <w:noProof w:val="1"/>
          <w:sz w:val="22"/>
          <w:szCs w:val="22"/>
          <w:lang w:eastAsia="sv-SE"/>
        </w:rPr>
      </w:pPr>
      <w:hyperlink w:anchor="_Toc220311654">
        <w:r>
          <w:rPr>
            <w:rStyle w:val="C2"/>
            <w:noProof w:val="1"/>
            <w:lang w:eastAsia="sv-SE"/>
          </w:rPr>
          <w:t>Tidplan</w:t>
        </w:r>
        <w:r>
          <w:rPr>
            <w:noProof w:val="1"/>
          </w:rPr>
          <w:tab/>
        </w:r>
        <w:r>
          <w:rPr>
            <w:noProof w:val="1"/>
          </w:rPr>
          <w:fldChar w:fldCharType="begin"/>
        </w:r>
        <w:r>
          <w:rPr>
            <w:noProof w:val="1"/>
          </w:rPr>
          <w:instrText xml:space="preserve"> PAGEREF _Toc220311654 \h </w:instrText>
        </w:r>
        <w:r>
          <w:rPr>
            <w:noProof w:val="1"/>
          </w:rPr>
          <w:fldChar w:fldCharType="separate"/>
        </w:r>
        <w:r>
          <w:rPr>
            <w:noProof w:val="1"/>
          </w:rPr>
          <w:t>37</w:t>
        </w:r>
        <w:r>
          <w:rPr>
            <w:noProof w:val="1"/>
          </w:rPr>
          <w:fldChar w:fldCharType="end"/>
        </w:r>
      </w:hyperlink>
    </w:p>
    <w:p>
      <w:pPr>
        <w:pStyle w:val="P15"/>
        <w:tabs>
          <w:tab w:val="right" w:pos="8324" w:leader="dot"/>
        </w:tabs>
        <w:rPr>
          <w:rFonts w:cstheme="minorBidi" w:eastAsiaTheme="minorEastAsia"/>
          <w:i w:val="0"/>
          <w:iCs w:val="0"/>
          <w:noProof w:val="1"/>
          <w:sz w:val="22"/>
          <w:szCs w:val="22"/>
          <w:lang w:eastAsia="sv-SE"/>
        </w:rPr>
      </w:pPr>
      <w:hyperlink w:anchor="_Toc220311655">
        <w:r>
          <w:rPr>
            <w:rStyle w:val="C2"/>
            <w:noProof w:val="1"/>
          </w:rPr>
          <w:t>Genomförandetid</w:t>
        </w:r>
        <w:r>
          <w:rPr>
            <w:noProof w:val="1"/>
          </w:rPr>
          <w:tab/>
        </w:r>
        <w:r>
          <w:rPr>
            <w:noProof w:val="1"/>
          </w:rPr>
          <w:fldChar w:fldCharType="begin"/>
        </w:r>
        <w:r>
          <w:rPr>
            <w:noProof w:val="1"/>
          </w:rPr>
          <w:instrText xml:space="preserve"> PAGEREF _Toc220311655 \h </w:instrText>
        </w:r>
        <w:r>
          <w:rPr>
            <w:noProof w:val="1"/>
          </w:rPr>
          <w:fldChar w:fldCharType="separate"/>
        </w:r>
        <w:r>
          <w:rPr>
            <w:noProof w:val="1"/>
          </w:rPr>
          <w:t>37</w:t>
        </w:r>
        <w:r>
          <w:rPr>
            <w:noProof w:val="1"/>
          </w:rPr>
          <w:fldChar w:fldCharType="end"/>
        </w:r>
      </w:hyperlink>
    </w:p>
    <w:p>
      <w:pPr>
        <w:pStyle w:val="P15"/>
        <w:tabs>
          <w:tab w:val="right" w:pos="8324" w:leader="dot"/>
        </w:tabs>
        <w:rPr>
          <w:rFonts w:cstheme="minorBidi" w:eastAsiaTheme="minorEastAsia"/>
          <w:i w:val="0"/>
          <w:iCs w:val="0"/>
          <w:noProof w:val="1"/>
          <w:sz w:val="22"/>
          <w:szCs w:val="22"/>
          <w:lang w:eastAsia="sv-SE"/>
        </w:rPr>
      </w:pPr>
      <w:hyperlink w:anchor="_Toc220311656">
        <w:r>
          <w:rPr>
            <w:rStyle w:val="C2"/>
            <w:noProof w:val="1"/>
          </w:rPr>
          <w:t>Huvudmannaskap för allmän plats</w:t>
        </w:r>
        <w:r>
          <w:rPr>
            <w:noProof w:val="1"/>
          </w:rPr>
          <w:tab/>
        </w:r>
        <w:r>
          <w:rPr>
            <w:noProof w:val="1"/>
          </w:rPr>
          <w:fldChar w:fldCharType="begin"/>
        </w:r>
        <w:r>
          <w:rPr>
            <w:noProof w:val="1"/>
          </w:rPr>
          <w:instrText xml:space="preserve"> PAGEREF _Toc220311656 \h </w:instrText>
        </w:r>
        <w:r>
          <w:rPr>
            <w:noProof w:val="1"/>
          </w:rPr>
          <w:fldChar w:fldCharType="separate"/>
        </w:r>
        <w:r>
          <w:rPr>
            <w:noProof w:val="1"/>
          </w:rPr>
          <w:t>37</w:t>
        </w:r>
        <w:r>
          <w:rPr>
            <w:noProof w:val="1"/>
          </w:rPr>
          <w:fldChar w:fldCharType="end"/>
        </w:r>
      </w:hyperlink>
    </w:p>
    <w:p>
      <w:pPr>
        <w:pStyle w:val="P15"/>
        <w:tabs>
          <w:tab w:val="right" w:pos="8324" w:leader="dot"/>
        </w:tabs>
        <w:rPr>
          <w:rFonts w:cstheme="minorBidi" w:eastAsiaTheme="minorEastAsia"/>
          <w:i w:val="0"/>
          <w:iCs w:val="0"/>
          <w:noProof w:val="1"/>
          <w:sz w:val="22"/>
          <w:szCs w:val="22"/>
          <w:lang w:eastAsia="sv-SE"/>
        </w:rPr>
      </w:pPr>
      <w:hyperlink w:anchor="_Toc220311657">
        <w:r>
          <w:rPr>
            <w:rStyle w:val="C2"/>
            <w:noProof w:val="1"/>
          </w:rPr>
          <w:t>Huvudmannaskap för vatten, spillvatten och dagvatten</w:t>
        </w:r>
        <w:r>
          <w:rPr>
            <w:noProof w:val="1"/>
          </w:rPr>
          <w:tab/>
        </w:r>
        <w:r>
          <w:rPr>
            <w:noProof w:val="1"/>
          </w:rPr>
          <w:fldChar w:fldCharType="begin"/>
        </w:r>
        <w:r>
          <w:rPr>
            <w:noProof w:val="1"/>
          </w:rPr>
          <w:instrText xml:space="preserve"> PAGEREF _Toc220311657 \h </w:instrText>
        </w:r>
        <w:r>
          <w:rPr>
            <w:noProof w:val="1"/>
          </w:rPr>
          <w:fldChar w:fldCharType="separate"/>
        </w:r>
        <w:r>
          <w:rPr>
            <w:noProof w:val="1"/>
          </w:rPr>
          <w:t>38</w:t>
        </w:r>
        <w:r>
          <w:rPr>
            <w:noProof w:val="1"/>
          </w:rPr>
          <w:fldChar w:fldCharType="end"/>
        </w:r>
      </w:hyperlink>
    </w:p>
    <w:p>
      <w:pPr>
        <w:pStyle w:val="P14"/>
        <w:tabs>
          <w:tab w:val="right" w:pos="8324" w:leader="dot"/>
        </w:tabs>
        <w:rPr>
          <w:rFonts w:cstheme="minorBidi" w:eastAsiaTheme="minorEastAsia"/>
          <w:smallCaps w:val="0"/>
          <w:noProof w:val="1"/>
          <w:sz w:val="22"/>
          <w:szCs w:val="22"/>
          <w:lang w:eastAsia="sv-SE"/>
        </w:rPr>
      </w:pPr>
      <w:hyperlink w:anchor="_Toc220311658">
        <w:r>
          <w:rPr>
            <w:rStyle w:val="C2"/>
            <w:rFonts w:cs="Arial"/>
            <w:noProof w:val="1"/>
          </w:rPr>
          <w:t>Fastighetsrättsliga frågor</w:t>
        </w:r>
        <w:r>
          <w:rPr>
            <w:noProof w:val="1"/>
          </w:rPr>
          <w:tab/>
        </w:r>
        <w:r>
          <w:rPr>
            <w:noProof w:val="1"/>
          </w:rPr>
          <w:fldChar w:fldCharType="begin"/>
        </w:r>
        <w:r>
          <w:rPr>
            <w:noProof w:val="1"/>
          </w:rPr>
          <w:instrText xml:space="preserve"> PAGEREF _Toc220311658 \h </w:instrText>
        </w:r>
        <w:r>
          <w:rPr>
            <w:noProof w:val="1"/>
          </w:rPr>
          <w:fldChar w:fldCharType="separate"/>
        </w:r>
        <w:r>
          <w:rPr>
            <w:noProof w:val="1"/>
          </w:rPr>
          <w:t>38</w:t>
        </w:r>
        <w:r>
          <w:rPr>
            <w:noProof w:val="1"/>
          </w:rPr>
          <w:fldChar w:fldCharType="end"/>
        </w:r>
      </w:hyperlink>
    </w:p>
    <w:p>
      <w:pPr>
        <w:pStyle w:val="P15"/>
        <w:tabs>
          <w:tab w:val="right" w:pos="8324" w:leader="dot"/>
        </w:tabs>
        <w:rPr>
          <w:rFonts w:cstheme="minorBidi" w:eastAsiaTheme="minorEastAsia"/>
          <w:i w:val="0"/>
          <w:iCs w:val="0"/>
          <w:noProof w:val="1"/>
          <w:sz w:val="22"/>
          <w:szCs w:val="22"/>
          <w:lang w:eastAsia="sv-SE"/>
        </w:rPr>
      </w:pPr>
      <w:hyperlink w:anchor="_Toc220311659">
        <w:r>
          <w:rPr>
            <w:rStyle w:val="C2"/>
            <w:noProof w:val="1"/>
          </w:rPr>
          <w:t>Servitut</w:t>
        </w:r>
        <w:r>
          <w:rPr>
            <w:noProof w:val="1"/>
          </w:rPr>
          <w:tab/>
        </w:r>
        <w:r>
          <w:rPr>
            <w:noProof w:val="1"/>
          </w:rPr>
          <w:fldChar w:fldCharType="begin"/>
        </w:r>
        <w:r>
          <w:rPr>
            <w:noProof w:val="1"/>
          </w:rPr>
          <w:instrText xml:space="preserve"> PAGEREF _Toc220311659 \h </w:instrText>
        </w:r>
        <w:r>
          <w:rPr>
            <w:noProof w:val="1"/>
          </w:rPr>
          <w:fldChar w:fldCharType="separate"/>
        </w:r>
        <w:r>
          <w:rPr>
            <w:noProof w:val="1"/>
          </w:rPr>
          <w:t>38</w:t>
        </w:r>
        <w:r>
          <w:rPr>
            <w:noProof w:val="1"/>
          </w:rPr>
          <w:fldChar w:fldCharType="end"/>
        </w:r>
      </w:hyperlink>
    </w:p>
    <w:p>
      <w:pPr>
        <w:pStyle w:val="P15"/>
        <w:tabs>
          <w:tab w:val="right" w:pos="8324" w:leader="dot"/>
        </w:tabs>
        <w:rPr>
          <w:rFonts w:cstheme="minorBidi" w:eastAsiaTheme="minorEastAsia"/>
          <w:i w:val="0"/>
          <w:iCs w:val="0"/>
          <w:noProof w:val="1"/>
          <w:sz w:val="22"/>
          <w:szCs w:val="22"/>
          <w:lang w:eastAsia="sv-SE"/>
        </w:rPr>
      </w:pPr>
      <w:hyperlink w:anchor="_Toc220311660">
        <w:r>
          <w:rPr>
            <w:rStyle w:val="C2"/>
            <w:noProof w:val="1"/>
          </w:rPr>
          <w:t>Ledningsrätter</w:t>
        </w:r>
        <w:r>
          <w:rPr>
            <w:noProof w:val="1"/>
          </w:rPr>
          <w:tab/>
        </w:r>
        <w:r>
          <w:rPr>
            <w:noProof w:val="1"/>
          </w:rPr>
          <w:fldChar w:fldCharType="begin"/>
        </w:r>
        <w:r>
          <w:rPr>
            <w:noProof w:val="1"/>
          </w:rPr>
          <w:instrText xml:space="preserve"> PAGEREF _Toc220311660 \h </w:instrText>
        </w:r>
        <w:r>
          <w:rPr>
            <w:noProof w:val="1"/>
          </w:rPr>
          <w:fldChar w:fldCharType="separate"/>
        </w:r>
        <w:r>
          <w:rPr>
            <w:noProof w:val="1"/>
          </w:rPr>
          <w:t>39</w:t>
        </w:r>
        <w:r>
          <w:rPr>
            <w:noProof w:val="1"/>
          </w:rPr>
          <w:fldChar w:fldCharType="end"/>
        </w:r>
      </w:hyperlink>
    </w:p>
    <w:p>
      <w:pPr>
        <w:pStyle w:val="P14"/>
        <w:tabs>
          <w:tab w:val="right" w:pos="8324" w:leader="dot"/>
        </w:tabs>
        <w:rPr>
          <w:rFonts w:cstheme="minorBidi" w:eastAsiaTheme="minorEastAsia"/>
          <w:smallCaps w:val="0"/>
          <w:noProof w:val="1"/>
          <w:sz w:val="22"/>
          <w:szCs w:val="22"/>
          <w:lang w:eastAsia="sv-SE"/>
        </w:rPr>
      </w:pPr>
      <w:hyperlink w:anchor="_Toc220311661">
        <w:r>
          <w:rPr>
            <w:rStyle w:val="C2"/>
            <w:rFonts w:cs="Arial" w:eastAsia="Calibri"/>
            <w:noProof w:val="1"/>
          </w:rPr>
          <w:t>Tekniska frågor</w:t>
        </w:r>
        <w:r>
          <w:rPr>
            <w:noProof w:val="1"/>
          </w:rPr>
          <w:tab/>
        </w:r>
        <w:r>
          <w:rPr>
            <w:noProof w:val="1"/>
          </w:rPr>
          <w:fldChar w:fldCharType="begin"/>
        </w:r>
        <w:r>
          <w:rPr>
            <w:noProof w:val="1"/>
          </w:rPr>
          <w:instrText xml:space="preserve"> PAGEREF _Toc220311661 \h </w:instrText>
        </w:r>
        <w:r>
          <w:rPr>
            <w:noProof w:val="1"/>
          </w:rPr>
          <w:fldChar w:fldCharType="separate"/>
        </w:r>
        <w:r>
          <w:rPr>
            <w:noProof w:val="1"/>
          </w:rPr>
          <w:t>39</w:t>
        </w:r>
        <w:r>
          <w:rPr>
            <w:noProof w:val="1"/>
          </w:rPr>
          <w:fldChar w:fldCharType="end"/>
        </w:r>
      </w:hyperlink>
    </w:p>
    <w:p>
      <w:pPr>
        <w:pStyle w:val="P15"/>
        <w:tabs>
          <w:tab w:val="right" w:pos="8324" w:leader="dot"/>
        </w:tabs>
        <w:rPr>
          <w:rFonts w:cstheme="minorBidi" w:eastAsiaTheme="minorEastAsia"/>
          <w:i w:val="0"/>
          <w:iCs w:val="0"/>
          <w:noProof w:val="1"/>
          <w:sz w:val="22"/>
          <w:szCs w:val="22"/>
          <w:lang w:eastAsia="sv-SE"/>
        </w:rPr>
      </w:pPr>
      <w:hyperlink w:anchor="_Toc220311662">
        <w:r>
          <w:rPr>
            <w:rStyle w:val="C2"/>
            <w:rFonts w:eastAsia="Calibri"/>
            <w:noProof w:val="1"/>
            <w:lang w:eastAsia="sv-SE"/>
          </w:rPr>
          <w:t>Tekniska åtgärder</w:t>
        </w:r>
        <w:r>
          <w:rPr>
            <w:noProof w:val="1"/>
          </w:rPr>
          <w:tab/>
        </w:r>
        <w:r>
          <w:rPr>
            <w:noProof w:val="1"/>
          </w:rPr>
          <w:fldChar w:fldCharType="begin"/>
        </w:r>
        <w:r>
          <w:rPr>
            <w:noProof w:val="1"/>
          </w:rPr>
          <w:instrText xml:space="preserve"> PAGEREF _Toc220311662 \h </w:instrText>
        </w:r>
        <w:r>
          <w:rPr>
            <w:noProof w:val="1"/>
          </w:rPr>
          <w:fldChar w:fldCharType="separate"/>
        </w:r>
        <w:r>
          <w:rPr>
            <w:noProof w:val="1"/>
          </w:rPr>
          <w:t>39</w:t>
        </w:r>
        <w:r>
          <w:rPr>
            <w:noProof w:val="1"/>
          </w:rPr>
          <w:fldChar w:fldCharType="end"/>
        </w:r>
      </w:hyperlink>
    </w:p>
    <w:p>
      <w:pPr>
        <w:pStyle w:val="P14"/>
        <w:tabs>
          <w:tab w:val="right" w:pos="8324" w:leader="dot"/>
        </w:tabs>
        <w:rPr>
          <w:rFonts w:cstheme="minorBidi" w:eastAsiaTheme="minorEastAsia"/>
          <w:smallCaps w:val="0"/>
          <w:noProof w:val="1"/>
          <w:sz w:val="22"/>
          <w:szCs w:val="22"/>
          <w:lang w:eastAsia="sv-SE"/>
        </w:rPr>
      </w:pPr>
      <w:hyperlink w:anchor="_Toc220311663">
        <w:r>
          <w:rPr>
            <w:rStyle w:val="C2"/>
            <w:rFonts w:cs="Arial"/>
            <w:noProof w:val="1"/>
          </w:rPr>
          <w:t>Ekonomiska frågor</w:t>
        </w:r>
        <w:r>
          <w:rPr>
            <w:noProof w:val="1"/>
          </w:rPr>
          <w:tab/>
        </w:r>
        <w:r>
          <w:rPr>
            <w:noProof w:val="1"/>
          </w:rPr>
          <w:fldChar w:fldCharType="begin"/>
        </w:r>
        <w:r>
          <w:rPr>
            <w:noProof w:val="1"/>
          </w:rPr>
          <w:instrText xml:space="preserve"> PAGEREF _Toc220311663 \h </w:instrText>
        </w:r>
        <w:r>
          <w:rPr>
            <w:noProof w:val="1"/>
          </w:rPr>
          <w:fldChar w:fldCharType="separate"/>
        </w:r>
        <w:r>
          <w:rPr>
            <w:noProof w:val="1"/>
          </w:rPr>
          <w:t>40</w:t>
        </w:r>
        <w:r>
          <w:rPr>
            <w:noProof w:val="1"/>
          </w:rPr>
          <w:fldChar w:fldCharType="end"/>
        </w:r>
      </w:hyperlink>
    </w:p>
    <w:p>
      <w:pPr>
        <w:pStyle w:val="P15"/>
        <w:tabs>
          <w:tab w:val="right" w:pos="8324" w:leader="dot"/>
        </w:tabs>
        <w:rPr>
          <w:rFonts w:cstheme="minorBidi" w:eastAsiaTheme="minorEastAsia"/>
          <w:i w:val="0"/>
          <w:iCs w:val="0"/>
          <w:noProof w:val="1"/>
          <w:sz w:val="22"/>
          <w:szCs w:val="22"/>
          <w:lang w:eastAsia="sv-SE"/>
        </w:rPr>
      </w:pPr>
      <w:hyperlink w:anchor="_Toc220311664">
        <w:r>
          <w:rPr>
            <w:rStyle w:val="C2"/>
            <w:noProof w:val="1"/>
          </w:rPr>
          <w:t>Ekonomiska konsekvenser för fastighetsägare</w:t>
        </w:r>
        <w:r>
          <w:rPr>
            <w:noProof w:val="1"/>
          </w:rPr>
          <w:tab/>
        </w:r>
        <w:r>
          <w:rPr>
            <w:noProof w:val="1"/>
          </w:rPr>
          <w:fldChar w:fldCharType="begin"/>
        </w:r>
        <w:r>
          <w:rPr>
            <w:noProof w:val="1"/>
          </w:rPr>
          <w:instrText xml:space="preserve"> PAGEREF _Toc220311664 \h </w:instrText>
        </w:r>
        <w:r>
          <w:rPr>
            <w:noProof w:val="1"/>
          </w:rPr>
          <w:fldChar w:fldCharType="separate"/>
        </w:r>
        <w:r>
          <w:rPr>
            <w:noProof w:val="1"/>
          </w:rPr>
          <w:t>40</w:t>
        </w:r>
        <w:r>
          <w:rPr>
            <w:noProof w:val="1"/>
          </w:rPr>
          <w:fldChar w:fldCharType="end"/>
        </w:r>
      </w:hyperlink>
    </w:p>
    <w:p>
      <w:pPr>
        <w:pStyle w:val="P15"/>
        <w:tabs>
          <w:tab w:val="right" w:pos="8324" w:leader="dot"/>
        </w:tabs>
        <w:rPr>
          <w:rFonts w:cstheme="minorBidi" w:eastAsiaTheme="minorEastAsia"/>
          <w:i w:val="0"/>
          <w:iCs w:val="0"/>
          <w:noProof w:val="1"/>
          <w:sz w:val="22"/>
          <w:szCs w:val="22"/>
          <w:lang w:eastAsia="sv-SE"/>
        </w:rPr>
      </w:pPr>
      <w:hyperlink w:anchor="_Toc220311665">
        <w:r>
          <w:rPr>
            <w:rStyle w:val="C2"/>
            <w:noProof w:val="1"/>
          </w:rPr>
          <w:t>Ekonomiska konsekvenser för kommunen</w:t>
        </w:r>
        <w:r>
          <w:rPr>
            <w:noProof w:val="1"/>
          </w:rPr>
          <w:tab/>
        </w:r>
        <w:r>
          <w:rPr>
            <w:noProof w:val="1"/>
          </w:rPr>
          <w:fldChar w:fldCharType="begin"/>
        </w:r>
        <w:r>
          <w:rPr>
            <w:noProof w:val="1"/>
          </w:rPr>
          <w:instrText xml:space="preserve"> PAGEREF _Toc220311665 \h </w:instrText>
        </w:r>
        <w:r>
          <w:rPr>
            <w:noProof w:val="1"/>
          </w:rPr>
          <w:fldChar w:fldCharType="separate"/>
        </w:r>
        <w:r>
          <w:rPr>
            <w:noProof w:val="1"/>
          </w:rPr>
          <w:t>40</w:t>
        </w:r>
        <w:r>
          <w:rPr>
            <w:noProof w:val="1"/>
          </w:rPr>
          <w:fldChar w:fldCharType="end"/>
        </w:r>
      </w:hyperlink>
    </w:p>
    <w:p>
      <w:pPr>
        <w:pStyle w:val="P15"/>
        <w:tabs>
          <w:tab w:val="right" w:pos="8324" w:leader="dot"/>
        </w:tabs>
        <w:rPr>
          <w:rFonts w:cstheme="minorBidi" w:eastAsiaTheme="minorEastAsia"/>
          <w:i w:val="0"/>
          <w:iCs w:val="0"/>
          <w:noProof w:val="1"/>
          <w:sz w:val="22"/>
          <w:szCs w:val="22"/>
          <w:lang w:eastAsia="sv-SE"/>
        </w:rPr>
      </w:pPr>
      <w:hyperlink w:anchor="_Toc220311666">
        <w:r>
          <w:rPr>
            <w:rStyle w:val="C2"/>
            <w:noProof w:val="1"/>
          </w:rPr>
          <w:t>Ekonomiska konsekvenser för övriga berörda</w:t>
        </w:r>
        <w:r>
          <w:rPr>
            <w:noProof w:val="1"/>
          </w:rPr>
          <w:tab/>
        </w:r>
        <w:r>
          <w:rPr>
            <w:noProof w:val="1"/>
          </w:rPr>
          <w:fldChar w:fldCharType="begin"/>
        </w:r>
        <w:r>
          <w:rPr>
            <w:noProof w:val="1"/>
          </w:rPr>
          <w:instrText xml:space="preserve"> PAGEREF _Toc220311666 \h </w:instrText>
        </w:r>
        <w:r>
          <w:rPr>
            <w:noProof w:val="1"/>
          </w:rPr>
          <w:fldChar w:fldCharType="separate"/>
        </w:r>
        <w:r>
          <w:rPr>
            <w:noProof w:val="1"/>
          </w:rPr>
          <w:t>40</w:t>
        </w:r>
        <w:r>
          <w:rPr>
            <w:noProof w:val="1"/>
          </w:rPr>
          <w:fldChar w:fldCharType="end"/>
        </w:r>
      </w:hyperlink>
    </w:p>
    <w:p>
      <w:pPr>
        <w:pStyle w:val="P15"/>
        <w:tabs>
          <w:tab w:val="right" w:pos="8324" w:leader="dot"/>
        </w:tabs>
        <w:rPr>
          <w:rFonts w:cstheme="minorBidi" w:eastAsiaTheme="minorEastAsia"/>
          <w:i w:val="0"/>
          <w:iCs w:val="0"/>
          <w:noProof w:val="1"/>
          <w:sz w:val="22"/>
          <w:szCs w:val="22"/>
          <w:lang w:eastAsia="sv-SE"/>
        </w:rPr>
      </w:pPr>
      <w:hyperlink w:anchor="_Toc220311667">
        <w:r>
          <w:rPr>
            <w:rStyle w:val="C2"/>
            <w:noProof w:val="1"/>
          </w:rPr>
          <w:t>Planavgift</w:t>
        </w:r>
        <w:r>
          <w:rPr>
            <w:noProof w:val="1"/>
          </w:rPr>
          <w:tab/>
        </w:r>
        <w:r>
          <w:rPr>
            <w:noProof w:val="1"/>
          </w:rPr>
          <w:fldChar w:fldCharType="begin"/>
        </w:r>
        <w:r>
          <w:rPr>
            <w:noProof w:val="1"/>
          </w:rPr>
          <w:instrText xml:space="preserve"> PAGEREF _Toc220311667 \h </w:instrText>
        </w:r>
        <w:r>
          <w:rPr>
            <w:noProof w:val="1"/>
          </w:rPr>
          <w:fldChar w:fldCharType="separate"/>
        </w:r>
        <w:r>
          <w:rPr>
            <w:noProof w:val="1"/>
          </w:rPr>
          <w:t>40</w:t>
        </w:r>
        <w:r>
          <w:rPr>
            <w:noProof w:val="1"/>
          </w:rPr>
          <w:fldChar w:fldCharType="end"/>
        </w:r>
      </w:hyperlink>
    </w:p>
    <w:p>
      <w:pPr>
        <w:pStyle w:val="P13"/>
        <w:tabs>
          <w:tab w:val="right" w:pos="8324" w:leader="dot"/>
        </w:tabs>
        <w:rPr>
          <w:rFonts w:cstheme="minorBidi" w:eastAsiaTheme="minorEastAsia"/>
          <w:b w:val="0"/>
          <w:bCs w:val="0"/>
          <w:caps w:val="0"/>
          <w:noProof w:val="1"/>
          <w:sz w:val="22"/>
          <w:szCs w:val="22"/>
          <w:lang w:eastAsia="sv-SE"/>
        </w:rPr>
      </w:pPr>
      <w:hyperlink w:anchor="_Toc220311668">
        <w:r>
          <w:rPr>
            <w:rStyle w:val="C2"/>
            <w:rFonts w:cs="Arial"/>
            <w:noProof w:val="1"/>
          </w:rPr>
          <w:t>Källor</w:t>
        </w:r>
        <w:r>
          <w:rPr>
            <w:noProof w:val="1"/>
          </w:rPr>
          <w:tab/>
        </w:r>
        <w:r>
          <w:rPr>
            <w:noProof w:val="1"/>
          </w:rPr>
          <w:fldChar w:fldCharType="begin"/>
        </w:r>
        <w:r>
          <w:rPr>
            <w:noProof w:val="1"/>
          </w:rPr>
          <w:instrText xml:space="preserve"> PAGEREF _Toc220311668 \h </w:instrText>
        </w:r>
        <w:r>
          <w:rPr>
            <w:noProof w:val="1"/>
          </w:rPr>
          <w:fldChar w:fldCharType="separate"/>
        </w:r>
        <w:r>
          <w:rPr>
            <w:noProof w:val="1"/>
          </w:rPr>
          <w:t>40</w:t>
        </w:r>
        <w:r>
          <w:rPr>
            <w:noProof w:val="1"/>
          </w:rPr>
          <w:fldChar w:fldCharType="end"/>
        </w:r>
      </w:hyperlink>
    </w:p>
    <w:p>
      <w:r>
        <w:rPr>
          <w:b w:val="1"/>
          <w:bCs w:val="1"/>
        </w:rPr>
        <w:fldChar w:fldCharType="end"/>
      </w:r>
    </w:p>
    <w:p>
      <w:pPr>
        <w:spacing w:lineRule="auto" w:line="240" w:after="0" w:beforeAutospacing="0" w:afterAutospacing="0"/>
        <w:rPr>
          <w:rFonts w:cs="Arial"/>
          <w:b w:val="1"/>
          <w:szCs w:val="24"/>
        </w:rPr>
        <w:sectPr>
          <w:headerReference xmlns:r="http://schemas.openxmlformats.org/officeDocument/2006/relationships" w:type="first" r:id="RelHdr1"/>
          <w:headerReference xmlns:r="http://schemas.openxmlformats.org/officeDocument/2006/relationships" w:type="default" r:id="RelHdr2"/>
          <w:footerReference xmlns:r="http://schemas.openxmlformats.org/officeDocument/2006/relationships" w:type="default" r:id="RelFtr1"/>
          <w:footnotePr/>
          <w:endnotePr/>
          <w:type w:val="nextPage"/>
          <w:pgSz w:w="11906" w:h="16838" w:code="0"/>
          <w:pgMar w:left="2268" w:right="1304" w:top="1418" w:bottom="1418" w:header="709" w:footer="0" w:gutter="0"/>
          <w:pgNumType w:start="1" w:chapSep="period"/>
        </w:sectPr>
      </w:pPr>
    </w:p>
    <w:p>
      <w:pPr>
        <w:pStyle w:val="P1"/>
      </w:pPr>
      <w:bookmarkStart w:id="8" w:name="_Toc214886760"/>
      <w:bookmarkStart w:id="9" w:name="_Toc220311588"/>
      <w:r>
        <w:t>Planens syfte</w:t>
      </w:r>
      <w:bookmarkEnd w:id="8"/>
      <w:bookmarkEnd w:id="9"/>
    </w:p>
    <w:p>
      <w:pPr>
        <w:rPr>
          <w:lang w:eastAsia="sv-SE"/>
        </w:rPr>
      </w:pPr>
      <w:bookmarkStart w:id="10" w:name="_Hlk2070835"/>
      <w:bookmarkStart w:id="11" w:name="sy_syfte01"/>
      <w:r>
        <w:rPr>
          <w:lang w:eastAsia="sv-SE"/>
        </w:rPr>
        <w:t>Syftet med detaljplanen är att skapa planmässiga förutsättningar för utökad byggrätt för befintlig bostadsfastighet. Ny bebyggelse ska anpassas till kringliggande bebyggelsestruktur och terräng.</w:t>
      </w:r>
    </w:p>
    <w:p>
      <w:pPr>
        <w:pStyle w:val="P1"/>
      </w:pPr>
      <w:bookmarkEnd w:id="10"/>
      <w:bookmarkEnd w:id="11"/>
      <w:bookmarkStart w:id="12" w:name="_Toc214886761"/>
      <w:bookmarkStart w:id="13" w:name="_Toc220311589"/>
      <w:r>
        <w:t>Beskrivning av detaljplanen</w:t>
      </w:r>
      <w:bookmarkEnd w:id="12"/>
      <w:bookmarkEnd w:id="13"/>
    </w:p>
    <w:p>
      <w:pPr>
        <w:pStyle w:val="P2"/>
        <w:rPr>
          <w:rFonts w:cs="Arial"/>
          <w:color w:val="2F5496" w:themeColor="accent1" w:themeShade="BF"/>
        </w:rPr>
      </w:pPr>
      <w:bookmarkStart w:id="14" w:name="_Toc214886762"/>
      <w:bookmarkStart w:id="15" w:name="_Toc220311590"/>
      <w:r>
        <w:rPr>
          <w:rFonts w:cs="Arial"/>
        </w:rPr>
        <w:t>Plandata</w:t>
      </w:r>
      <w:bookmarkEnd w:id="14"/>
      <w:bookmarkEnd w:id="15"/>
      <w:r>
        <w:rPr>
          <w:rFonts w:cs="Arial"/>
        </w:rPr>
        <w:t xml:space="preserve"> </w:t>
      </w:r>
    </w:p>
    <w:p>
      <w:bookmarkStart w:id="16" w:name="_Hlk210735974"/>
      <w:bookmarkStart w:id="17" w:name="be_befintligt01"/>
      <w:r>
        <w:t>Kommundelscentrum: Södra sundet, se figur nedan.</w:t>
      </w:r>
    </w:p>
    <w:p>
      <w:r>
        <w:t>Planområdets area: 2458 m</w:t>
      </w:r>
      <w:r>
        <w:rPr>
          <w:vertAlign w:val="superscript"/>
        </w:rPr>
        <w:t>2</w:t>
      </w:r>
      <w:r>
        <w:t xml:space="preserve"> </w:t>
      </w:r>
    </w:p>
    <w:p>
      <w:r>
        <w:t xml:space="preserve">Avstånd till centrala Härnösand: ca 5,5 km </w:t>
      </w:r>
      <w:bookmarkEnd w:id="16"/>
      <w:bookmarkStart w:id="18" w:name="_Hlk210735980"/>
    </w:p>
    <w:p>
      <w:pPr>
        <w:keepNext w:val="1"/>
      </w:pPr>
      <w:r>
        <w:rPr>
          <w:noProof w:val="1"/>
        </w:rPr>
        <mc:AlternateContent>
          <mc:Choice Requires="wps">
            <w:drawing>
              <wp:anchor xmlns:wp="http://schemas.openxmlformats.org/drawingml/2006/wordprocessingDrawing" distT="0" distB="0" distL="114300" distR="114300" simplePos="0" relativeHeight="26" behindDoc="0" locked="0" layoutInCell="1" allowOverlap="1">
                <wp:simplePos x="0" y="0"/>
                <wp:positionH relativeFrom="column">
                  <wp:posOffset>1270000</wp:posOffset>
                </wp:positionH>
                <wp:positionV relativeFrom="paragraph">
                  <wp:posOffset>4570730</wp:posOffset>
                </wp:positionV>
                <wp:extent cx="450215" cy="360045"/>
                <wp:effectExtent l="38100" t="19050" r="45085" b="40005"/>
                <wp:wrapNone/>
                <wp:docPr id="976932680" name="Stjärna: 5 punkter 976932680"/>
                <wp:cNvGraphicFramePr/>
                <a:graphic xmlns:a="http://schemas.openxmlformats.org/drawingml/2006/main">
                  <a:graphicData uri="http://schemas.microsoft.com/office/word/2010/wordprocessingShape">
                    <wps:wsp>
                      <wps:cNvSpPr/>
                      <wps:spPr>
                        <a:xfrm>
                          <a:off x="0" y="0"/>
                          <a:ext cx="450762" cy="360608"/>
                        </a:xfrm>
                        <a:prstGeom prst="star5"/>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xmlns:o="urn:schemas-microsoft-com:office:office" id="_x0000_t12" coordsize="21600,21600" o:spt="12" path="m10800,l8280,8259,,8259r6720,5146l4200,21600r6600,-5019l17400,21600,14880,13405,21600,8259r-8280,xe">
                <v:stroke joinstyle="miter"/>
                <v:path gradientshapeok="t" o:connecttype="custom" o:connectlocs="10800,0;0,8259;4200,21600;17400,21600;21600,8259" textboxrect="6720,8259,14880,15628"/>
              </v:shapetype>
              <v:shape xmlns:o="urn:schemas-microsoft-com:office:office" type="#_x0000_t12" id="Stjärna: 5 punkter 976932680" o:spid="_x0000_s1028" style="position:absolute;width:35.45pt;height:28.35pt;z-index:26;mso-wrap-distance-left:9pt;mso-wrap-distance-top:0pt;mso-wrap-distance-right:9pt;mso-wrap-distance-bottom:0pt;margin-left:100pt;margin-top:359.9pt;mso-position-horizontal:absolute;mso-position-horizontal-relative:text;mso-position-vertical:absolute;mso-position-vertical-relative:text;v-text-anchor:middle" o:allowincell="t" strokecolor="#2F528F" strokeweight="1pt" stroked="t">
                <v:textbox inset="3mm,1mm,3mm,1mm">
                  <w:txbxContent>
                    <w:p/>
                  </w:txbxContent>
                </v:textbox>
              </v:shape>
            </w:pict>
          </mc:Fallback>
        </mc:AlternateContent>
      </w:r>
      <w:r>
        <w:rPr>
          <w:noProof w:val="1"/>
        </w:rPr>
        <mc:AlternateContent>
          <mc:Choice Requires="wps">
            <w:drawing>
              <wp:anchor xmlns:wp="http://schemas.openxmlformats.org/drawingml/2006/wordprocessingDrawing" distT="0" distB="0" distL="114300" distR="114300" simplePos="0" relativeHeight="6" behindDoc="0" locked="0" layoutInCell="1" allowOverlap="1">
                <wp:simplePos x="0" y="0"/>
                <wp:positionH relativeFrom="page">
                  <wp:posOffset>3111500</wp:posOffset>
                </wp:positionH>
                <wp:positionV relativeFrom="paragraph">
                  <wp:posOffset>288290</wp:posOffset>
                </wp:positionV>
                <wp:extent cx="987425" cy="389890"/>
                <wp:effectExtent l="0" t="0" r="3175" b="0"/>
                <wp:wrapNone/>
                <wp:docPr id="44" name="Ellips 44"/>
                <wp:cNvGraphicFramePr/>
                <a:graphic xmlns:a="http://schemas.openxmlformats.org/drawingml/2006/main">
                  <a:graphicData uri="http://schemas.microsoft.com/office/word/2010/wordprocessingShape">
                    <wps:wsp>
                      <wps:cNvSpPr/>
                      <wps:spPr>
                        <a:xfrm>
                          <a:off x="0" y="0"/>
                          <a:ext cx="987552" cy="390145"/>
                        </a:xfrm>
                        <a:prstGeom prst="ellipse"/>
                        <a:solidFill>
                          <a:srgbClr val="FFFFFF">
                            <a:alpha val="60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color w:val="000000" w:themeColor="text1"/>
                                <w:sz w:val="20"/>
                                <w:szCs w:val="20"/>
                              </w:rPr>
                            </w:pPr>
                            <w:r>
                              <w:rPr>
                                <w:color w:val="000000" w:themeColor="text1"/>
                                <w:sz w:val="20"/>
                                <w:szCs w:val="20"/>
                              </w:rPr>
                              <w:t>Centrum</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xmlns:o="urn:schemas-microsoft-com:office:office" id="Ellips 44" o:spid="_x0000_s1029" style="position:absolute;width:77.75pt;height:30.7pt;z-index:6;mso-wrap-distance-left:9pt;mso-wrap-distance-top:0pt;mso-wrap-distance-right:9pt;mso-wrap-distance-bottom:0pt;margin-left:245pt;margin-top:22.7pt;mso-position-horizontal:absolute;mso-position-horizontal-relative:page;mso-position-vertical:absolute;mso-position-vertical-relative:text;v-text-anchor:middle" o:allowincell="t" fillcolor="#FFFFFF" strokeweight="1pt" stroked="f">
                <v:textbox inset="3mm,1mm,3mm,1mm">
                  <w:txbxContent>
                    <w:p>
                      <w:pPr>
                        <w:jc w:val="center"/>
                        <w:rPr>
                          <w:color w:val="000000" w:themeColor="text1"/>
                          <w:sz w:val="20"/>
                          <w:szCs w:val="20"/>
                        </w:rPr>
                      </w:pPr>
                      <w:r>
                        <w:rPr>
                          <w:color w:val="000000" w:themeColor="text1"/>
                          <w:sz w:val="20"/>
                          <w:szCs w:val="20"/>
                        </w:rPr>
                        <w:t>Centrum</w:t>
                      </w:r>
                    </w:p>
                  </w:txbxContent>
                </v:textbox>
                <v:fill opacity=".6"/>
              </v:oval>
            </w:pict>
          </mc:Fallback>
        </mc:AlternateContent>
      </w:r>
      <w:r>
        <w:t>Markägoförhållanden</w:t>
      </w:r>
      <w:bookmarkEnd w:id="18"/>
      <w:r>
        <w:t>: Privat fastighetsägare</w:t>
        <w:br w:type="textWrapping"/>
      </w:r>
      <w:r>
        <w:rPr>
          <w:noProof w:val="1"/>
        </w:rPr>
        <w:drawing>
          <wp:inline xmlns:wp="http://schemas.openxmlformats.org/drawingml/2006/wordprocessingDrawing" distT="0" distB="0" distL="0" distR="0">
            <wp:extent cx="3461385" cy="4983480"/>
            <wp:effectExtent l="0" t="0" r="5715" b="7620"/>
            <wp:docPr id="12" name="Bildobjek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8"/>
                    <pic:cNvPicPr/>
                  </pic:nvPicPr>
                  <pic:blipFill dpi="0">
                    <a:blip xmlns:r="http://schemas.openxmlformats.org/officeDocument/2006/relationships" r:embed="Relimage4"/>
                    <a:srcRect/>
                    <a:stretch>
                      <a:fillRect/>
                    </a:stretch>
                  </pic:blipFill>
                  <pic:spPr>
                    <a:xfrm>
                      <a:off x="0" y="0"/>
                      <a:ext cx="3467586" cy="4992092"/>
                    </a:xfrm>
                    <a:prstGeom prst="rect"/>
                  </pic:spPr>
                </pic:pic>
              </a:graphicData>
            </a:graphic>
          </wp:inline>
        </w:drawing>
      </w:r>
      <w:bookmarkEnd w:id="17"/>
    </w:p>
    <w:p>
      <w:pPr>
        <w:pStyle w:val="P26"/>
      </w:pPr>
      <w:r>
        <w:t xml:space="preserve">Figur </w:t>
      </w:r>
      <w:r>
        <w:fldChar w:fldCharType="begin"/>
      </w:r>
      <w:r>
        <w:instrText>SEQ Figur \* ARABIC</w:instrText>
      </w:r>
      <w:r>
        <w:fldChar w:fldCharType="separate"/>
      </w:r>
      <w:r>
        <w:rPr>
          <w:noProof w:val="1"/>
        </w:rPr>
        <w:t>1</w:t>
      </w:r>
      <w:r>
        <w:fldChar w:fldCharType="end"/>
      </w:r>
      <w:r>
        <w:t>. Översiktskarta. planområdet markerasungefärligt med blå stjärna.</w:t>
      </w:r>
    </w:p>
    <w:p>
      <w:r>
        <w:rPr>
          <w:noProof w:val="1"/>
        </w:rPr>
        <mc:AlternateContent>
          <mc:Choice Requires="wps">
            <w:drawing>
              <wp:anchor xmlns:wp="http://schemas.openxmlformats.org/drawingml/2006/wordprocessingDrawing" distT="0" distB="0" distL="114300" distR="114300" simplePos="0" relativeHeight="5" behindDoc="0" locked="0" layoutInCell="1" allowOverlap="1">
                <wp:simplePos x="0" y="0"/>
                <wp:positionH relativeFrom="column">
                  <wp:posOffset>1417955</wp:posOffset>
                </wp:positionH>
                <wp:positionV relativeFrom="paragraph">
                  <wp:posOffset>4696460</wp:posOffset>
                </wp:positionV>
                <wp:extent cx="328930" cy="322580"/>
                <wp:effectExtent l="19050" t="19050" r="13970" b="39370"/>
                <wp:wrapNone/>
                <wp:docPr id="43" name="Stjärna: 6 punkter 43"/>
                <wp:cNvGraphicFramePr/>
                <a:graphic xmlns:a="http://schemas.openxmlformats.org/drawingml/2006/main">
                  <a:graphicData uri="http://schemas.microsoft.com/office/word/2010/wordprocessingShape">
                    <wps:wsp>
                      <wps:cNvSpPr/>
                      <wps:spPr>
                        <a:xfrm>
                          <a:off x="0" y="0"/>
                          <a:ext cx="329185" cy="323088"/>
                        </a:xfrm>
                        <a:prstGeom prst="star6"/>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Stjärna: 6 punkter 43" o:spid="_x0000_s1030" style="position:absolute;width:25.9pt;height:25.4pt;z-index:5;mso-wrap-distance-left:9pt;mso-wrap-distance-top:0pt;mso-wrap-distance-right:9pt;mso-wrap-distance-bottom:0pt;margin-left:111.65pt;margin-top:369.8pt;mso-position-horizontal:absolute;mso-position-horizontal-relative:text;mso-position-vertical:absolute;mso-position-vertical-relative:text;v-text-anchor:middle" o:allowincell="t" strokecolor="#2F528F" strokeweight="1pt" stroked="t">
                <v:textbox inset="3mm,1mm,3mm,1mm">
                  <w:txbxContent>
                    <w:p/>
                  </w:txbxContent>
                </v:textbox>
              </v:shape>
            </w:pict>
          </mc:Fallback>
        </mc:AlternateContent>
      </w:r>
    </w:p>
    <w:p>
      <w:pPr>
        <w:pStyle w:val="P2"/>
        <w:tabs>
          <w:tab w:val="left" w:pos="5370" w:leader="none"/>
        </w:tabs>
        <w:rPr>
          <w:rFonts w:cs="Arial"/>
        </w:rPr>
      </w:pPr>
      <w:bookmarkStart w:id="19" w:name="_Toc214886763"/>
      <w:bookmarkStart w:id="20" w:name="_Toc220311591"/>
      <w:r>
        <w:rPr>
          <w:rFonts w:cs="Arial"/>
        </w:rPr>
        <w:t>Planens huvuddrag</w:t>
      </w:r>
      <w:bookmarkEnd w:id="19"/>
      <w:bookmarkEnd w:id="20"/>
    </w:p>
    <w:p>
      <w:bookmarkStart w:id="21" w:name="be_heladetaljplan02"/>
      <w:r>
        <w:t>Detaljplanen möjliggör en utökad byggrätt för bostad jämfört med gällande plan. Ny bebyggelse ska anpassas till omgivande miljö vad gäller volym, terräng och utformning. Planområdet är utpekat för bostadsutveckling i översiktsplanen Mitt Härnösand 2040 (framtagen 2022) och överensstämmer med dess strategier, vilket motiverar standardförfarande. Området är redan detaljplanelagt och bebyggt med en bostadsbyggnad.</w:t>
      </w:r>
    </w:p>
    <w:p>
      <w:r>
        <w:t xml:space="preserve">Områden med planer fastställda före 1 juli 1975 var generellt undantagna från strandskydd. Det aktuella området omfattas därför inte av strandskydd idag. Enligt de strandskyddsregler som infördes 1 juli 2025 (Lag 2025:514) kan kommunen besluta att detta upphävande ska gälla även i ny detaljplan. Den nya detaljplanen anger därför att strandskyddet fortsatt är upphävt utan prövning enligt MB 7 kap. 18 §. </w:t>
      </w:r>
    </w:p>
    <w:p>
      <w:r>
        <w:t>Med hänsyn till omgivningen bedöms planområdet lämpligt för en maximal byggnadsarea på 285 m², och utöver detta får 80 kvadratmeter öppenarea uppföras [</w:t>
      </w:r>
      <w:r>
        <w:rPr>
          <w:b w:val="1"/>
          <w:bCs w:val="1"/>
        </w:rPr>
        <w:t>e</w:t>
      </w:r>
      <w:r>
        <w:rPr>
          <w:b w:val="1"/>
          <w:bCs w:val="1"/>
          <w:vertAlign w:val="subscript"/>
        </w:rPr>
        <w:t>1</w:t>
      </w:r>
      <w:r>
        <w:t>] som uteplats, altan eller liknande, tillsammans med en bestämmelse om minsta fastighetsarea om 2000 m</w:t>
      </w:r>
      <w:r>
        <w:rPr>
          <w:vertAlign w:val="superscript"/>
        </w:rPr>
        <w:t xml:space="preserve">2 </w:t>
      </w:r>
      <w:r>
        <w:t>[</w:t>
      </w:r>
      <w:r>
        <w:rPr>
          <w:b w:val="1"/>
          <w:bCs w:val="1"/>
        </w:rPr>
        <w:t>d</w:t>
      </w:r>
      <w:r>
        <w:rPr>
          <w:b w:val="1"/>
          <w:bCs w:val="1"/>
          <w:vertAlign w:val="subscript"/>
        </w:rPr>
        <w:t>1</w:t>
      </w:r>
      <w:r>
        <w:t>]. Detta motsvarar en exploateringsgrad på 18% vilket är lägre än den maximalt tillåtna exploateringsgraden om 21 % i gällande detaljplan.</w:t>
      </w:r>
    </w:p>
    <w:p>
      <w:r>
        <w:t>För att ta hänsyn till områdets terräng regleras en högsta nockhöjd på 10 meter för huvudbyggnad [</w:t>
      </w:r>
      <w:r>
        <w:rPr>
          <w:b w:val="1"/>
          <w:bCs w:val="1"/>
        </w:rPr>
        <w:t>h</w:t>
      </w:r>
      <w:r>
        <w:rPr>
          <w:b w:val="1"/>
          <w:bCs w:val="1"/>
          <w:vertAlign w:val="subscript"/>
        </w:rPr>
        <w:t>1</w:t>
      </w:r>
      <w:r>
        <w:t>]. Den valda nockhöjden ger möjlighet att anpassa byggnad till markens lutning. Planen innehåller även en bestämmelse om att byggnader ska terräng anpassas så långt som möjligt. Sprängning får endast göras för att möjliggöra placering av byggnad och väganslutning men ska annars undvikas [</w:t>
      </w:r>
      <w:r>
        <w:rPr>
          <w:b w:val="1"/>
          <w:bCs w:val="1"/>
        </w:rPr>
        <w:t>f</w:t>
      </w:r>
      <w:r>
        <w:rPr>
          <w:b w:val="1"/>
          <w:bCs w:val="1"/>
          <w:vertAlign w:val="subscript"/>
        </w:rPr>
        <w:t>1</w:t>
      </w:r>
      <w:r>
        <w:t>]. Anpassning kan till exempel ske genom suterrängvåning eller genom att ställa byggnaden på plintar för att minska behovet av sprängning.</w:t>
      </w:r>
    </w:p>
    <w:p>
      <w:r>
        <w:t>De flesta byggnader i området har träfasad, vilket passar väl ihop med den omgivande naturmarken. Därför införs en bestämmelse om att fasaden ska utföras i trä [</w:t>
      </w:r>
      <w:r>
        <w:rPr>
          <w:b w:val="1"/>
          <w:bCs w:val="1"/>
        </w:rPr>
        <w:t>f</w:t>
      </w:r>
      <w:r>
        <w:rPr>
          <w:b w:val="1"/>
          <w:bCs w:val="1"/>
          <w:vertAlign w:val="subscript"/>
        </w:rPr>
        <w:t>2</w:t>
      </w:r>
      <w:r>
        <w:t>].</w:t>
      </w:r>
    </w:p>
    <w:p>
      <w:pPr>
        <w:rPr>
          <w:rFonts w:cs="Arial"/>
          <w:lang w:eastAsia="sv-SE"/>
        </w:rPr>
      </w:pPr>
      <w:r>
        <w:t>Planen bedöms harmoniera med den befintliga bebyggelsen i området.</w:t>
      </w:r>
    </w:p>
    <w:p>
      <w:r>
        <w:br w:type="page"/>
      </w:r>
    </w:p>
    <w:p>
      <w:pPr>
        <w:pStyle w:val="P2"/>
        <w:rPr>
          <w:rFonts w:cs="Arial"/>
        </w:rPr>
      </w:pPr>
      <w:bookmarkEnd w:id="21"/>
      <w:bookmarkStart w:id="22" w:name="_Toc214886764"/>
      <w:bookmarkStart w:id="23" w:name="_Toc220311592"/>
      <w:r>
        <w:rPr>
          <w:rFonts w:cs="Arial"/>
        </w:rPr>
        <w:t>Genomförandetid</w:t>
      </w:r>
      <w:bookmarkEnd w:id="22"/>
      <w:bookmarkEnd w:id="23"/>
    </w:p>
    <w:p>
      <w:bookmarkStart w:id="24" w:name="be_genomförandetid01"/>
      <w:r>
        <w:t>Genomförandetiden är fem år från den dag planen får laga kraft</w:t>
      </w:r>
      <w:r>
        <w:rPr>
          <w:color w:val="0070C0"/>
        </w:rPr>
        <w:t>.</w:t>
      </w:r>
    </w:p>
    <w:p>
      <w:pPr>
        <w:pStyle w:val="P2"/>
        <w:rPr>
          <w:rFonts w:eastAsia="Calibri"/>
        </w:rPr>
      </w:pPr>
      <w:bookmarkEnd w:id="24"/>
      <w:bookmarkStart w:id="25" w:name="_Toc214886765"/>
      <w:bookmarkStart w:id="26" w:name="_Toc220311593"/>
      <w:r>
        <w:rPr>
          <w:rFonts w:eastAsia="Calibri"/>
        </w:rPr>
        <w:t>Grundkarta</w:t>
      </w:r>
      <w:bookmarkEnd w:id="25"/>
      <w:bookmarkEnd w:id="26"/>
    </w:p>
    <w:p>
      <w:bookmarkStart w:id="27" w:name="pu_grundkarta01"/>
      <w:r>
        <w:t>Grundkartan är upprättat i koordinatsystemet SWEREF99 17 15 och i höjdsystemet RH2000 den 2025-10-10.</w:t>
      </w:r>
    </w:p>
    <w:p>
      <w:pPr>
        <w:pStyle w:val="P2"/>
        <w:rPr>
          <w:rFonts w:cs="Arial"/>
        </w:rPr>
      </w:pPr>
      <w:bookmarkEnd w:id="27"/>
      <w:bookmarkStart w:id="28" w:name="_Toc214886766"/>
      <w:bookmarkStart w:id="29" w:name="_Toc220311594"/>
      <w:r>
        <w:rPr>
          <w:rFonts w:cs="Arial"/>
        </w:rPr>
        <w:t>Utredningar</w:t>
      </w:r>
      <w:bookmarkEnd w:id="28"/>
      <w:bookmarkEnd w:id="29"/>
    </w:p>
    <w:p>
      <w:pPr>
        <w:pStyle w:val="P16"/>
        <w:numPr>
          <w:ilvl w:val="0"/>
          <w:numId w:val="8"/>
        </w:numPr>
        <w:rPr>
          <w:rFonts w:cs="Arial" w:eastAsia="Calibri"/>
        </w:rPr>
      </w:pPr>
      <w:bookmarkStart w:id="30" w:name="pu_geotekniskutredning01"/>
      <w:r>
        <w:rPr>
          <w:rFonts w:cs="Arial"/>
          <w:color w:val="000000" w:themeColor="text1"/>
        </w:rPr>
        <w:t xml:space="preserve">Geoteknisk utredning. </w:t>
      </w:r>
      <w:bookmarkStart w:id="31" w:name="_Hlk220942511"/>
      <w:r>
        <w:rPr>
          <w:rFonts w:cs="Arial" w:eastAsia="Calibri"/>
          <w:color w:val="000000" w:themeColor="text1"/>
        </w:rPr>
        <w:t xml:space="preserve">Myndigheten </w:t>
      </w:r>
      <w:r>
        <w:rPr>
          <w:rFonts w:cs="Arial" w:eastAsia="Calibri"/>
        </w:rPr>
        <w:t xml:space="preserve">för samhällsskydd och beredskap, kartering av stabilitet i raviner och slänter (MSB 2014-02-15). </w:t>
      </w:r>
      <w:bookmarkEnd w:id="31"/>
    </w:p>
    <w:p>
      <w:bookmarkEnd w:id="30"/>
      <w:r>
        <w:br w:type="page"/>
      </w:r>
    </w:p>
    <w:p>
      <w:pPr>
        <w:pStyle w:val="P1"/>
      </w:pPr>
      <w:bookmarkStart w:id="32" w:name="_Toc214886767"/>
      <w:bookmarkStart w:id="33" w:name="_Toc220311595"/>
      <w:r>
        <w:t>Planförslaget</w:t>
      </w:r>
      <w:bookmarkEnd w:id="32"/>
      <w:bookmarkEnd w:id="33"/>
    </w:p>
    <w:p>
      <w:pPr>
        <w:keepNext w:val="1"/>
      </w:pPr>
      <w:r>
        <w:rPr>
          <w:noProof w:val="1"/>
        </w:rPr>
        <w:t xml:space="preserve">  </w:t>
      </w:r>
      <w:r>
        <w:rPr>
          <w:noProof w:val="1"/>
        </w:rPr>
        <w:drawing>
          <wp:inline xmlns:wp="http://schemas.openxmlformats.org/drawingml/2006/wordprocessingDrawing" distT="0" distB="0" distL="0" distR="0">
            <wp:extent cx="5292090" cy="3959225"/>
            <wp:effectExtent l="0" t="0" r="3810" b="3175"/>
            <wp:docPr id="23" name="Bildobjekt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9"/>
                    <pic:cNvPicPr/>
                  </pic:nvPicPr>
                  <pic:blipFill dpi="0">
                    <a:blip xmlns:r="http://schemas.openxmlformats.org/officeDocument/2006/relationships" r:embed="Relimage5"/>
                    <a:srcRect/>
                    <a:stretch>
                      <a:fillRect/>
                    </a:stretch>
                  </pic:blipFill>
                  <pic:spPr>
                    <a:xfrm>
                      <a:off x="0" y="0"/>
                      <a:ext cx="5292090" cy="3959225"/>
                    </a:xfrm>
                    <a:prstGeom prst="rect"/>
                  </pic:spPr>
                </pic:pic>
              </a:graphicData>
            </a:graphic>
          </wp:inline>
        </w:drawing>
      </w:r>
    </w:p>
    <w:p>
      <w:pPr>
        <w:pStyle w:val="P26"/>
      </w:pPr>
      <w:r>
        <w:t xml:space="preserve">Figur </w:t>
      </w:r>
      <w:r>
        <w:fldChar w:fldCharType="begin"/>
      </w:r>
      <w:r>
        <w:instrText>SEQ Figur \* ARABIC</w:instrText>
      </w:r>
      <w:r>
        <w:fldChar w:fldCharType="separate"/>
      </w:r>
      <w:r>
        <w:rPr>
          <w:noProof w:val="1"/>
        </w:rPr>
        <w:t>2</w:t>
      </w:r>
      <w:r>
        <w:fldChar w:fldCharType="end"/>
      </w:r>
      <w:r>
        <w:t>. Utdrag av plankartan.</w:t>
      </w:r>
    </w:p>
    <w:p>
      <w:pPr>
        <w:pStyle w:val="P2"/>
        <w:rPr>
          <w:rFonts w:cs="Arial"/>
        </w:rPr>
      </w:pPr>
      <w:bookmarkStart w:id="34" w:name="_Toc214886770"/>
      <w:bookmarkStart w:id="35" w:name="_Toc220311596"/>
      <w:r>
        <w:rPr>
          <w:rFonts w:cs="Arial"/>
        </w:rPr>
        <w:t>Allmän platsmark</w:t>
      </w:r>
      <w:bookmarkEnd w:id="34"/>
      <w:bookmarkEnd w:id="35"/>
    </w:p>
    <w:p>
      <w:pPr>
        <w:rPr>
          <w:rFonts w:cs="Arial"/>
          <w:szCs w:val="24"/>
        </w:rPr>
      </w:pPr>
      <w:bookmarkStart w:id="36" w:name="be_allmänplats01"/>
      <w:r>
        <w:rPr>
          <w:rFonts w:cs="Arial"/>
          <w:szCs w:val="24"/>
        </w:rPr>
        <w:t>Planen reglerar ingen allmän platsmark.</w:t>
      </w:r>
    </w:p>
    <w:p>
      <w:pPr>
        <w:pStyle w:val="P2"/>
        <w:rPr>
          <w:rFonts w:cs="Arial"/>
        </w:rPr>
      </w:pPr>
      <w:bookmarkEnd w:id="36"/>
      <w:bookmarkStart w:id="37" w:name="_Toc214886771"/>
      <w:bookmarkStart w:id="38" w:name="_Toc220311597"/>
      <w:r>
        <w:rPr>
          <w:rFonts w:cs="Arial"/>
        </w:rPr>
        <w:t>Vattenområde</w:t>
      </w:r>
      <w:bookmarkEnd w:id="37"/>
      <w:bookmarkEnd w:id="38"/>
    </w:p>
    <w:p>
      <w:pPr>
        <w:rPr>
          <w:rFonts w:cs="Arial"/>
        </w:rPr>
      </w:pPr>
      <w:bookmarkStart w:id="39" w:name="be_vattenområde01"/>
      <w:r>
        <w:rPr>
          <w:rFonts w:cs="Arial"/>
        </w:rPr>
        <w:t xml:space="preserve">Planen berörs inte av något vattenområde. </w:t>
      </w:r>
    </w:p>
    <w:p>
      <w:pPr>
        <w:pStyle w:val="P2"/>
        <w:rPr>
          <w:rFonts w:cs="Arial"/>
        </w:rPr>
      </w:pPr>
      <w:bookmarkEnd w:id="39"/>
      <w:bookmarkStart w:id="40" w:name="_Toc214886772"/>
      <w:bookmarkStart w:id="41" w:name="_Toc220311598"/>
      <w:r>
        <w:rPr>
          <w:rFonts w:cs="Arial"/>
        </w:rPr>
        <w:t>Kvartersmark</w:t>
      </w:r>
      <w:bookmarkEnd w:id="40"/>
      <w:bookmarkEnd w:id="41"/>
    </w:p>
    <w:p>
      <w:pPr>
        <w:rPr>
          <w:rFonts w:cs="Arial"/>
        </w:rPr>
      </w:pPr>
      <w:bookmarkStart w:id="42" w:name="mo_motivtillreglering01"/>
      <w:r>
        <w:rPr>
          <w:rFonts w:cs="Arial"/>
        </w:rPr>
        <w:t>Detaljplanen reglerar användningen bostad [</w:t>
      </w:r>
      <w:r>
        <w:rPr>
          <w:rFonts w:cs="Arial"/>
          <w:b w:val="1"/>
          <w:bCs w:val="1"/>
        </w:rPr>
        <w:t>B</w:t>
      </w:r>
      <w:r>
        <w:rPr>
          <w:rFonts w:cs="Arial"/>
        </w:rPr>
        <w:t>].</w:t>
      </w:r>
    </w:p>
    <w:p>
      <w:r>
        <w:t>Användningen bostäder används för områden för olika former av boende av varaktig karaktär. Även bostadskomplement ingår, såsom tvättstuga, cykelförråd, parkeringsgarage och miljöhus. Användningen bostad bekräftar befintlig användning. Regleringen sker med stöd av PBL 2 kap. 2§.</w:t>
      </w:r>
    </w:p>
    <w:p>
      <w:pPr>
        <w:spacing w:after="160" w:beforeAutospacing="0" w:afterAutospacing="0"/>
        <w:rPr>
          <w:rFonts w:cs="Arial" w:eastAsia="Times New Roman"/>
          <w:b w:val="1"/>
          <w:bCs w:val="1"/>
          <w:iCs w:val="1"/>
          <w:sz w:val="28"/>
          <w:szCs w:val="28"/>
          <w:lang w:eastAsia="sv-SE"/>
        </w:rPr>
      </w:pPr>
      <w:bookmarkEnd w:id="42"/>
      <w:r>
        <w:rPr>
          <w:rFonts w:cs="Arial"/>
        </w:rPr>
        <w:br w:type="page"/>
      </w:r>
    </w:p>
    <w:p>
      <w:pPr>
        <w:pStyle w:val="P2"/>
        <w:rPr>
          <w:rFonts w:cs="Arial"/>
        </w:rPr>
      </w:pPr>
      <w:bookmarkStart w:id="43" w:name="_Toc214886773"/>
      <w:bookmarkStart w:id="44" w:name="_Toc220311599"/>
      <w:r>
        <w:rPr>
          <w:rFonts w:cs="Arial"/>
        </w:rPr>
        <w:t>Egenskapsbestämmelser inom kvartersmark</w:t>
      </w:r>
      <w:bookmarkEnd w:id="43"/>
      <w:bookmarkEnd w:id="44"/>
      <w:r>
        <w:rPr>
          <w:rFonts w:cs="Arial"/>
        </w:rPr>
        <w:t xml:space="preserve"> </w:t>
      </w:r>
    </w:p>
    <w:p>
      <w:pPr>
        <w:rPr>
          <w:lang w:eastAsia="sv-SE"/>
        </w:rPr>
      </w:pPr>
    </w:p>
    <w:p>
      <w:pPr>
        <w:pStyle w:val="P3"/>
      </w:pPr>
      <w:bookmarkStart w:id="45" w:name="_Toc214886774"/>
      <w:bookmarkStart w:id="46" w:name="_Toc220311600"/>
      <w:r>
        <w:t>Utnyttjandegrad</w:t>
      </w:r>
      <w:bookmarkEnd w:id="45"/>
      <w:bookmarkEnd w:id="46"/>
    </w:p>
    <w:p>
      <w:r>
        <w:rPr>
          <w:b w:val="1"/>
          <w:bCs w:val="1"/>
        </w:rPr>
        <w:t>[e</w:t>
      </w:r>
      <w:r>
        <w:rPr>
          <w:b w:val="1"/>
          <w:bCs w:val="1"/>
          <w:vertAlign w:val="subscript"/>
        </w:rPr>
        <w:t>1</w:t>
      </w:r>
      <w:r>
        <w:rPr>
          <w:b w:val="1"/>
          <w:bCs w:val="1"/>
        </w:rPr>
        <w:t>]</w:t>
      </w:r>
      <w:r>
        <w:t xml:space="preserve"> </w:t>
      </w:r>
      <w:r>
        <w:rPr>
          <w:rFonts w:cs="Arial"/>
          <w:i w:val="1"/>
          <w:iCs w:val="1"/>
        </w:rPr>
        <w:t>Största byggnadsarea är 285 m</w:t>
      </w:r>
      <w:r>
        <w:rPr>
          <w:rFonts w:cs="Arial"/>
          <w:i w:val="1"/>
          <w:iCs w:val="1"/>
          <w:vertAlign w:val="superscript"/>
        </w:rPr>
        <w:t>2</w:t>
      </w:r>
      <w:r>
        <w:rPr>
          <w:rFonts w:cs="Arial"/>
          <w:i w:val="1"/>
          <w:iCs w:val="1"/>
        </w:rPr>
        <w:t>, utöver detta får 80 m</w:t>
      </w:r>
      <w:r>
        <w:rPr>
          <w:rFonts w:cs="Arial"/>
          <w:i w:val="1"/>
          <w:iCs w:val="1"/>
          <w:vertAlign w:val="superscript"/>
        </w:rPr>
        <w:t>2</w:t>
      </w:r>
      <w:r>
        <w:rPr>
          <w:rFonts w:cs="Arial"/>
          <w:i w:val="1"/>
          <w:iCs w:val="1"/>
        </w:rPr>
        <w:t xml:space="preserve"> öppenarea uppföras för fastighet inom användningsområdet,</w:t>
      </w:r>
      <w:r>
        <w:rPr>
          <w:rFonts w:cs="Arial"/>
          <w:b w:val="1"/>
          <w:bCs w:val="1"/>
        </w:rPr>
        <w:t xml:space="preserve"> </w:t>
      </w:r>
      <w:r>
        <w:rPr>
          <w:rFonts w:cs="Arial"/>
        </w:rPr>
        <w:t>se figur 3 nedan.</w:t>
      </w:r>
    </w:p>
    <w:p>
      <w:bookmarkStart w:id="47" w:name="mo_motivtillreglering02"/>
      <w:r>
        <w:t xml:space="preserve">Syftet är att ny bebyggelse ska anpassas till den befintliga strukturen. Bestämmelsen om tillåten öppenarea (en yta under tak som är gjorda för tillfällig vistelse eller förvaring och omsluts av helt eller delvis av öppna sidor), möjliggör mindre funktionella delar, som entré- och uteplatsskydd, utan att de räknas in i huvudbyggnadens exploatering. Regleringen sker med stöd av </w:t>
      </w:r>
      <w:r>
        <w:rPr>
          <w:rStyle w:val="C22"/>
          <w:b w:val="0"/>
          <w:bCs w:val="0"/>
        </w:rPr>
        <w:t>PBL 2 kap. 2 och 6 §</w:t>
      </w:r>
      <w:r>
        <w:t>.</w:t>
      </w:r>
    </w:p>
    <w:p>
      <w:pPr>
        <w:pStyle w:val="P3"/>
      </w:pPr>
      <w:bookmarkEnd w:id="47"/>
      <w:bookmarkStart w:id="48" w:name="_Toc220311601"/>
      <w:r>
        <w:t>Fastighetsstorlek</w:t>
      </w:r>
      <w:bookmarkEnd w:id="48"/>
      <w:r>
        <w:t xml:space="preserve"> </w:t>
      </w:r>
    </w:p>
    <w:p>
      <w:pPr>
        <w:rPr>
          <w:rFonts w:cs="Arial" w:eastAsia="Times New Roman"/>
          <w:i w:val="1"/>
          <w:iCs w:val="1"/>
        </w:rPr>
      </w:pPr>
      <w:r>
        <w:rPr>
          <w:rFonts w:eastAsia="Times New Roman"/>
          <w:b w:val="1"/>
          <w:bCs w:val="1"/>
        </w:rPr>
        <w:t>[</w:t>
      </w:r>
      <w:r>
        <w:rPr>
          <w:rFonts w:eastAsia="Times New Roman"/>
          <w:b w:val="1"/>
          <w:bCs w:val="1"/>
          <w:sz w:val="32"/>
          <w:szCs w:val="32"/>
          <w:vertAlign w:val="subscript"/>
        </w:rPr>
        <w:t>d</w:t>
      </w:r>
      <w:r>
        <w:rPr>
          <w:rFonts w:eastAsia="Times New Roman"/>
          <w:b w:val="1"/>
          <w:bCs w:val="1"/>
          <w:vertAlign w:val="subscript"/>
        </w:rPr>
        <w:t>1</w:t>
      </w:r>
      <w:r>
        <w:rPr>
          <w:rFonts w:eastAsia="Times New Roman"/>
          <w:b w:val="1"/>
          <w:bCs w:val="1"/>
        </w:rPr>
        <w:t>]</w:t>
      </w:r>
      <w:r>
        <w:rPr>
          <w:rFonts w:eastAsia="Times New Roman"/>
          <w:b w:val="1"/>
          <w:bCs w:val="1"/>
          <w:vertAlign w:val="superscript"/>
        </w:rPr>
        <w:t xml:space="preserve"> </w:t>
      </w:r>
      <w:r>
        <w:rPr>
          <w:rFonts w:cs="Arial" w:eastAsia="Times New Roman"/>
          <w:i w:val="1"/>
          <w:iCs w:val="1"/>
        </w:rPr>
        <w:t>Minsta fastighetsstorlek är 2000 m</w:t>
      </w:r>
      <w:r>
        <w:rPr>
          <w:rFonts w:cs="Arial" w:eastAsia="Times New Roman"/>
          <w:i w:val="1"/>
          <w:iCs w:val="1"/>
          <w:vertAlign w:val="superscript"/>
        </w:rPr>
        <w:t>2</w:t>
      </w:r>
      <w:r>
        <w:rPr>
          <w:rFonts w:cs="Arial" w:eastAsia="Times New Roman"/>
          <w:i w:val="1"/>
          <w:iCs w:val="1"/>
        </w:rPr>
        <w:t xml:space="preserve">. </w:t>
      </w:r>
    </w:p>
    <w:p>
      <w:pPr>
        <w:rPr>
          <w:rFonts w:eastAsia="Times New Roman"/>
        </w:rPr>
      </w:pPr>
      <w:bookmarkStart w:id="49" w:name="mo_motivtillreglering03"/>
      <w:r>
        <w:rPr>
          <w:rFonts w:eastAsia="Times New Roman"/>
        </w:rPr>
        <w:t>Syftet är att säkerställa att byggnadsarean inte överstiger en exploateringsgrad (ett mått på hur stor del av en fastighet som är bebyggd) på 18 %, så att byggrätten anpassas till samma nivå som på angränsande fastigheter. Planen medger en total byggnadsarea om 365 m</w:t>
      </w:r>
      <w:r>
        <w:rPr>
          <w:rFonts w:eastAsia="Times New Roman"/>
          <w:vertAlign w:val="superscript"/>
        </w:rPr>
        <w:t>2</w:t>
      </w:r>
      <w:r>
        <w:rPr>
          <w:rFonts w:eastAsia="Times New Roman"/>
        </w:rPr>
        <w:t xml:space="preserve"> (öppenarea samt byggnadsarea) som motsvarar 18% av en minsta fastighetsstorlek om 2000 m</w:t>
      </w:r>
      <w:r>
        <w:rPr>
          <w:rFonts w:eastAsia="Times New Roman"/>
          <w:vertAlign w:val="superscript"/>
        </w:rPr>
        <w:t>2</w:t>
      </w:r>
      <w:r>
        <w:rPr>
          <w:rFonts w:eastAsia="Times New Roman"/>
        </w:rPr>
        <w:t>. Regleringen sker med stöd av PBL 2 kap. 6 §.</w:t>
      </w:r>
    </w:p>
    <w:p>
      <w:bookmarkEnd w:id="49"/>
      <w:r>
        <w:rPr>
          <w:noProof w:val="1"/>
        </w:rPr>
        <w:drawing>
          <wp:inline xmlns:wp="http://schemas.openxmlformats.org/drawingml/2006/wordprocessingDrawing" distT="0" distB="0" distL="0" distR="0">
            <wp:extent cx="4761865" cy="3514725"/>
            <wp:effectExtent l="0" t="0" r="635" b="0"/>
            <wp:docPr id="19338000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800057" name="drawing"/>
                    <pic:cNvPicPr/>
                  </pic:nvPicPr>
                  <pic:blipFill dpi="0">
                    <a:blip xmlns:r="http://schemas.openxmlformats.org/officeDocument/2006/relationships" r:embed="Relimage6" cstate="print"/>
                    <a:srcRect l="171" r="171"/>
                    <a:stretch>
                      <a:fillRect/>
                    </a:stretch>
                  </pic:blipFill>
                  <pic:spPr bwMode="auto">
                    <a:xfrm>
                      <a:off x="0" y="0"/>
                      <a:ext cx="4762052" cy="3514908"/>
                    </a:xfrm>
                    <a:prstGeom prst="rect"/>
                    <a:ln>
                      <a:noFill/>
                    </a:ln>
                  </pic:spPr>
                </pic:pic>
              </a:graphicData>
            </a:graphic>
          </wp:inline>
        </w:drawing>
      </w:r>
      <w:bookmarkStart w:id="50" w:name="_Toc214886775"/>
    </w:p>
    <w:p>
      <w:pPr>
        <w:pStyle w:val="P26"/>
      </w:pPr>
      <w:r>
        <w:t xml:space="preserve">Figur </w:t>
      </w:r>
      <w:r>
        <w:fldChar w:fldCharType="begin"/>
      </w:r>
      <w:r>
        <w:instrText>SEQ Figur \* ARABIC</w:instrText>
      </w:r>
      <w:r>
        <w:fldChar w:fldCharType="separate"/>
      </w:r>
      <w:r>
        <w:rPr>
          <w:noProof w:val="1"/>
        </w:rPr>
        <w:t>3</w:t>
      </w:r>
      <w:r>
        <w:fldChar w:fldCharType="end"/>
      </w:r>
      <w:r>
        <w:t>. Illustration över största tillåtna byggnadsarea för fastigheten om 2000 m</w:t>
      </w:r>
      <w:r>
        <w:rPr>
          <w:vertAlign w:val="superscript"/>
        </w:rPr>
        <w:t>2</w:t>
      </w:r>
    </w:p>
    <w:p>
      <w:pPr>
        <w:keepNext w:val="1"/>
        <w:spacing w:after="160" w:beforeAutospacing="0" w:afterAutospacing="0"/>
      </w:pPr>
      <w:r>
        <w:rPr>
          <w:lang w:eastAsia="sv-SE"/>
        </w:rPr>
        <w:br w:type="page"/>
      </w:r>
    </w:p>
    <w:p>
      <w:bookmarkEnd w:id="50"/>
      <w:r>
        <w:t>Det aktuella planområdet ligger intill allmän plats för östra och västra fastighetsgränsen. Om byggnaden (huvudbyggnad inklusive komplementbyggnad) placeras närmare allmän plats än 6 meter ska nockhöjden räknas från medelmarknivån på den allmänna platsen invid fastigheten (se figur 4 nedan), om det inte finns särskilda skäl att utgå från annat, Plan-och byggförordningen 1 kap 3§.</w:t>
      </w:r>
    </w:p>
    <w:p>
      <w:pPr>
        <w:keepNext w:val="1"/>
      </w:pPr>
      <w:r>
        <w:rPr>
          <w:noProof w:val="1"/>
        </w:rPr>
        <w:drawing>
          <wp:inline xmlns:wp="http://schemas.openxmlformats.org/drawingml/2006/wordprocessingDrawing" distT="0" distB="0" distL="0" distR="0">
            <wp:extent cx="5116195" cy="3194685"/>
            <wp:effectExtent l="0" t="0" r="8255" b="5715"/>
            <wp:docPr id="8337474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747486" name="drawing"/>
                    <pic:cNvPicPr/>
                  </pic:nvPicPr>
                  <pic:blipFill dpi="0">
                    <a:blip xmlns:r="http://schemas.openxmlformats.org/officeDocument/2006/relationships" r:embed="Relimage7" cstate="print"/>
                    <a:srcRect t="547" b="547"/>
                    <a:stretch>
                      <a:fillRect/>
                    </a:stretch>
                  </pic:blipFill>
                  <pic:spPr bwMode="auto">
                    <a:xfrm>
                      <a:off x="0" y="0"/>
                      <a:ext cx="5116195" cy="3195214"/>
                    </a:xfrm>
                    <a:prstGeom prst="rect"/>
                    <a:ln>
                      <a:noFill/>
                    </a:ln>
                  </pic:spPr>
                </pic:pic>
              </a:graphicData>
            </a:graphic>
          </wp:inline>
        </w:drawing>
      </w:r>
    </w:p>
    <w:p>
      <w:pPr>
        <w:pStyle w:val="P26"/>
      </w:pPr>
      <w:r>
        <w:t xml:space="preserve">Figur </w:t>
      </w:r>
      <w:r>
        <w:fldChar w:fldCharType="begin"/>
      </w:r>
      <w:r>
        <w:instrText>SEQ Figur \* ARABIC</w:instrText>
      </w:r>
      <w:r>
        <w:fldChar w:fldCharType="separate"/>
      </w:r>
      <w:r>
        <w:rPr>
          <w:noProof w:val="1"/>
        </w:rPr>
        <w:t>4</w:t>
      </w:r>
      <w:r>
        <w:fldChar w:fldCharType="end"/>
      </w:r>
      <w:r>
        <w:t>. Illustration över område för område inom 6 meter från allmän platsmark, inom detta område räknas nockhöjd utifrån medelmarknivå.</w:t>
      </w:r>
    </w:p>
    <w:p>
      <w:pPr>
        <w:spacing w:after="160" w:beforeAutospacing="0" w:afterAutospacing="0"/>
        <w:rPr>
          <w:rFonts w:cs="Arial" w:eastAsia="Times New Roman"/>
          <w:b w:val="1"/>
          <w:i w:val="1"/>
          <w:bCs w:val="1"/>
          <w:szCs w:val="26"/>
          <w:lang w:eastAsia="sv-SE"/>
        </w:rPr>
      </w:pPr>
      <w:bookmarkStart w:id="51" w:name="_Toc214886776"/>
      <w:r>
        <w:rPr>
          <w:lang w:eastAsia="sv-SE"/>
        </w:rPr>
        <w:br w:type="page"/>
      </w:r>
    </w:p>
    <w:p>
      <w:pPr>
        <w:pStyle w:val="P3"/>
        <w:rPr>
          <w:color w:val="2F5496" w:themeColor="accent1" w:themeShade="BF"/>
          <w:lang w:eastAsia="sv-SE"/>
        </w:rPr>
      </w:pPr>
      <w:bookmarkStart w:id="52" w:name="_Toc220311602"/>
      <w:r>
        <w:rPr>
          <w:color w:val="2F5496" w:themeColor="accent1" w:themeShade="BF"/>
          <w:lang w:eastAsia="sv-SE"/>
        </w:rPr>
        <w:t>Höjd på byggnadsverk</w:t>
      </w:r>
      <w:bookmarkEnd w:id="51"/>
      <w:bookmarkEnd w:id="52"/>
    </w:p>
    <w:p>
      <w:r>
        <w:rPr>
          <w:b w:val="1"/>
          <w:bCs w:val="1"/>
        </w:rPr>
        <w:t>[h</w:t>
      </w:r>
      <w:r>
        <w:rPr>
          <w:b w:val="1"/>
          <w:bCs w:val="1"/>
          <w:vertAlign w:val="subscript"/>
        </w:rPr>
        <w:t>1</w:t>
      </w:r>
      <w:r>
        <w:rPr>
          <w:b w:val="1"/>
          <w:bCs w:val="1"/>
        </w:rPr>
        <w:t>]</w:t>
      </w:r>
      <w:r>
        <w:rPr>
          <w:b w:val="1"/>
          <w:bCs w:val="1"/>
          <w:vertAlign w:val="superscript"/>
        </w:rPr>
        <w:t xml:space="preserve"> </w:t>
      </w:r>
      <w:r>
        <w:rPr>
          <w:rFonts w:cs="Arial"/>
          <w:i w:val="1"/>
          <w:iCs w:val="1"/>
        </w:rPr>
        <w:t>Högsta nockhöjd på huvudbyggnad är 10 meter,</w:t>
      </w:r>
      <w:r>
        <w:rPr>
          <w:b w:val="1"/>
          <w:bCs w:val="1"/>
        </w:rPr>
        <w:t xml:space="preserve"> </w:t>
      </w:r>
      <w:r>
        <w:t>se figur 5 nedan.</w:t>
      </w:r>
    </w:p>
    <w:p>
      <w:bookmarkStart w:id="53" w:name="mo_motivtillreglering04"/>
      <w:r>
        <w:t xml:space="preserve">Syftet är att ge utrymme för olika lösningar till att den nya bebyggelsen ska anpassas till terrängen och uppnå harmoni med omkringliggande byggnader. </w:t>
      </w:r>
      <w:r>
        <w:rPr>
          <w:sz w:val="23"/>
          <w:szCs w:val="23"/>
        </w:rPr>
        <w:t xml:space="preserve">Regleringen sker i stöd med PBL </w:t>
      </w:r>
      <w:r>
        <w:t>2 kap. 6§.</w:t>
      </w:r>
    </w:p>
    <w:p>
      <w:r>
        <w:t xml:space="preserve">Nockhöjd bör räknas från den medelnivå som marken har invid byggnaden, utifrån färdig marknivå – alltså den nivå marken har efter att byggnaden uppförts. </w:t>
      </w:r>
    </w:p>
    <w:p>
      <w:r>
        <w:t xml:space="preserve">Det aktuella planområdet ligger intill allmänplats för östra och västra fastighetsgränsen. Om byggnaden (huvudbyggnad inklusive komplementbyggnad) placeras närmare allmän plats än 6 meter ska dock nockhöjden räknas från medelmarknivån på den allmänna platsen invid fastigheten (se figur 4 ovan), om det inte finns särskilda skäl att utgå från annat, Plan-och byggförordningen 1 kap 3§. </w:t>
      </w:r>
      <w:bookmarkEnd w:id="53"/>
      <w:r>
        <w:br w:type="textWrapping"/>
      </w:r>
    </w:p>
    <w:p>
      <w:r>
        <w:rPr>
          <w:noProof w:val="1"/>
        </w:rPr>
        <w:drawing>
          <wp:inline xmlns:wp="http://schemas.openxmlformats.org/drawingml/2006/wordprocessingDrawing" distT="0" distB="0" distL="0" distR="0">
            <wp:extent cx="5277485" cy="1736090"/>
            <wp:effectExtent l="0" t="0" r="0" b="0"/>
            <wp:docPr id="39" name="Bildobjekt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xmlns:r="http://schemas.openxmlformats.org/officeDocument/2006/relationships" r:embed="Relimage8" cstate="print"/>
                    <a:srcRect b="51231"/>
                    <a:stretch>
                      <a:fillRect/>
                    </a:stretch>
                  </pic:blipFill>
                  <pic:spPr bwMode="auto">
                    <a:xfrm>
                      <a:off x="0" y="0"/>
                      <a:ext cx="5277485" cy="1736388"/>
                    </a:xfrm>
                    <a:prstGeom prst="rect"/>
                    <a:noFill/>
                    <a:ln>
                      <a:noFill/>
                    </a:ln>
                  </pic:spPr>
                </pic:pic>
              </a:graphicData>
            </a:graphic>
          </wp:inline>
        </w:drawing>
      </w:r>
    </w:p>
    <w:p>
      <w:pPr>
        <w:pStyle w:val="P26"/>
        <w:rPr>
          <w:noProof w:val="1"/>
        </w:rPr>
      </w:pPr>
    </w:p>
    <w:p>
      <w:pPr>
        <w:pStyle w:val="P26"/>
        <w:keepNext w:val="1"/>
      </w:pPr>
      <w:r>
        <w:rPr>
          <w:noProof w:val="1"/>
        </w:rPr>
        <w:drawing>
          <wp:inline xmlns:wp="http://schemas.openxmlformats.org/drawingml/2006/wordprocessingDrawing" distT="0" distB="0" distL="0" distR="0">
            <wp:extent cx="5277485" cy="1823720"/>
            <wp:effectExtent l="0" t="0" r="0" b="5080"/>
            <wp:docPr id="41" name="Bildobjekt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xmlns:r="http://schemas.openxmlformats.org/officeDocument/2006/relationships" r:embed="Relimage8" cstate="print"/>
                    <a:srcRect t="48769"/>
                    <a:stretch>
                      <a:fillRect/>
                    </a:stretch>
                  </pic:blipFill>
                  <pic:spPr bwMode="auto">
                    <a:xfrm>
                      <a:off x="0" y="0"/>
                      <a:ext cx="5277485" cy="1824058"/>
                    </a:xfrm>
                    <a:prstGeom prst="rect"/>
                    <a:noFill/>
                    <a:ln>
                      <a:noFill/>
                    </a:ln>
                  </pic:spPr>
                </pic:pic>
              </a:graphicData>
            </a:graphic>
          </wp:inline>
        </w:drawing>
      </w:r>
    </w:p>
    <w:p>
      <w:pPr>
        <w:pStyle w:val="P26"/>
      </w:pPr>
      <w:r>
        <w:t xml:space="preserve">Figur </w:t>
      </w:r>
      <w:r>
        <w:fldChar w:fldCharType="begin"/>
      </w:r>
      <w:r>
        <w:instrText>SEQ Figur \* ARABIC</w:instrText>
      </w:r>
      <w:r>
        <w:fldChar w:fldCharType="separate"/>
      </w:r>
      <w:r>
        <w:rPr>
          <w:noProof w:val="1"/>
        </w:rPr>
        <w:t>5</w:t>
      </w:r>
      <w:r>
        <w:fldChar w:fldCharType="end"/>
      </w:r>
      <w:r>
        <w:t>. Illustration av möjlig bebyggelseutföranden inom den reglerade nockhöjden 10 meter.</w:t>
      </w:r>
    </w:p>
    <w:p>
      <w:pPr>
        <w:pStyle w:val="P26"/>
        <w:rPr>
          <w:rFonts w:cs="Arial"/>
          <w:color w:val="7030A0"/>
        </w:rPr>
      </w:pPr>
      <w:r>
        <w:br w:type="textWrapping"/>
      </w:r>
    </w:p>
    <w:p>
      <w:pPr>
        <w:spacing w:after="160" w:beforeAutospacing="0" w:afterAutospacing="0"/>
        <w:rPr>
          <w:rFonts w:cs="Arial" w:eastAsia="Times New Roman"/>
          <w:b w:val="1"/>
          <w:i w:val="1"/>
          <w:bCs w:val="1"/>
          <w:szCs w:val="26"/>
          <w:lang w:eastAsia="sv-SE"/>
        </w:rPr>
      </w:pPr>
      <w:bookmarkStart w:id="54" w:name="_Toc214886777"/>
      <w:r>
        <w:rPr>
          <w:lang w:eastAsia="sv-SE"/>
        </w:rPr>
        <w:br w:type="page"/>
      </w:r>
    </w:p>
    <w:p>
      <w:pPr>
        <w:pStyle w:val="P3"/>
        <w:rPr>
          <w:lang w:eastAsia="sv-SE"/>
        </w:rPr>
      </w:pPr>
      <w:bookmarkStart w:id="55" w:name="_Toc220311603"/>
      <w:r>
        <w:rPr>
          <w:lang w:eastAsia="sv-SE"/>
        </w:rPr>
        <w:t>Utformning</w:t>
      </w:r>
      <w:bookmarkEnd w:id="54"/>
      <w:bookmarkEnd w:id="55"/>
    </w:p>
    <w:p>
      <w:pPr>
        <w:rPr>
          <w:rFonts w:ascii="Arial" w:hAnsi="Arial" w:cstheme="minorBidi" w:eastAsiaTheme="minorHAnsi"/>
          <w:b w:val="0"/>
          <w:i w:val="0"/>
          <w:bCs w:val="0"/>
          <w:caps w:val="0"/>
          <w:smallCaps w:val="0"/>
          <w:noProof w:val="0"/>
          <w:vanish w:val="0"/>
          <w:color w:val="auto"/>
          <w:sz w:val="24"/>
          <w:u w:val="none"/>
          <w:shd w:val="clear" w:color="auto" w:fill="auto"/>
          <w:vertAlign w:val="baseline"/>
          <w:spacing w:val="0"/>
          <w:w w:val="100"/>
          <w:position w:val="0"/>
          <w:snapToGrid w:val="1"/>
          <w:lang w:val="sv-SE" w:bidi="ar-SA" w:eastAsia="en-US"/>
        </w:rPr>
      </w:pPr>
      <w:r>
        <w:rPr>
          <w:rFonts w:ascii="Arial" w:hAnsi="Arial" w:cstheme="minorBidi" w:eastAsiaTheme="minorHAnsi"/>
          <w:b w:val="1"/>
          <w:i w:val="0"/>
          <w:bCs w:val="1"/>
          <w:caps w:val="0"/>
          <w:smallCaps w:val="0"/>
          <w:noProof w:val="0"/>
          <w:vanish w:val="0"/>
          <w:color w:val="auto"/>
          <w:sz w:val="24"/>
          <w:u w:val="none"/>
          <w:shd w:val="clear" w:color="auto" w:fill="auto"/>
          <w:vertAlign w:val="baseline"/>
          <w:spacing w:val="0"/>
          <w:w w:val="100"/>
          <w:position w:val="0"/>
          <w:snapToGrid w:val="1"/>
          <w:lang w:val="sv-SE" w:bidi="ar-SA" w:eastAsia="en-US"/>
        </w:rPr>
        <w:t xml:space="preserve">[f1] </w:t>
      </w:r>
      <w:r>
        <w:rPr>
          <w:rFonts w:ascii="Arial" w:hAnsi="Arial" w:cstheme="minorBidi" w:eastAsiaTheme="minorHAnsi"/>
          <w:b w:val="0"/>
          <w:i w:val="1"/>
          <w:bCs w:val="0"/>
          <w:iCs w:val="1"/>
          <w:caps w:val="0"/>
          <w:smallCaps w:val="0"/>
          <w:noProof w:val="0"/>
          <w:vanish w:val="0"/>
          <w:color w:val="auto"/>
          <w:sz w:val="24"/>
          <w:u w:val="none"/>
          <w:shd w:val="clear" w:color="auto" w:fill="auto"/>
          <w:vertAlign w:val="baseline"/>
          <w:spacing w:val="0"/>
          <w:w w:val="100"/>
          <w:position w:val="0"/>
          <w:snapToGrid w:val="1"/>
          <w:lang w:val="sv-SE" w:bidi="ar-SA" w:eastAsia="en-US"/>
        </w:rPr>
        <w:t>Byggnad ska så långt som möjligt terränganpassas. Sprängning får ske för att möjliggöra placering av byggnad och väganslutning men ska i övrigt undvikas så långt som möjligt.</w:t>
      </w:r>
    </w:p>
    <w:p>
      <w:pPr>
        <w:rPr>
          <w:rFonts w:ascii="Arial" w:hAnsi="Arial" w:cstheme="minorBidi" w:eastAsiaTheme="minorHAnsi"/>
          <w:b w:val="0"/>
          <w:i w:val="0"/>
          <w:bCs w:val="0"/>
          <w:caps w:val="0"/>
          <w:smallCaps w:val="0"/>
          <w:noProof w:val="0"/>
          <w:vanish w:val="0"/>
          <w:color w:val="auto"/>
          <w:sz w:val="24"/>
          <w:u w:val="none"/>
          <w:shd w:val="clear" w:color="auto" w:fill="auto"/>
          <w:vertAlign w:val="baseline"/>
          <w:spacing w:val="0"/>
          <w:w w:val="100"/>
          <w:position w:val="0"/>
          <w:snapToGrid w:val="1"/>
          <w:lang w:val="sv-SE" w:bidi="ar-SA" w:eastAsia="en-US"/>
        </w:rPr>
      </w:pPr>
      <w:bookmarkStart w:id="56" w:name="mo_motivtillreglering05"/>
      <w:r>
        <w:rPr>
          <w:rFonts w:ascii="Arial" w:hAnsi="Arial" w:cstheme="minorBidi" w:eastAsiaTheme="minorHAnsi"/>
          <w:b w:val="0"/>
          <w:i w:val="0"/>
          <w:bCs w:val="0"/>
          <w:caps w:val="0"/>
          <w:smallCaps w:val="0"/>
          <w:noProof w:val="0"/>
          <w:vanish w:val="0"/>
          <w:color w:val="auto"/>
          <w:sz w:val="24"/>
          <w:u w:val="none"/>
          <w:shd w:val="clear" w:color="auto" w:fill="auto"/>
          <w:vertAlign w:val="baseline"/>
          <w:spacing w:val="0"/>
          <w:w w:val="100"/>
          <w:position w:val="0"/>
          <w:snapToGrid w:val="1"/>
          <w:lang w:val="sv-SE" w:bidi="ar-SA" w:eastAsia="en-US"/>
        </w:rPr>
        <w:t>Syftet är att den nya byggnaden ska följa terrängen så att den upplevs mindre och passar in bättre i omgivningen. Anpassning kan exempelvis ske genom suterrängvåning eller genom att byggnaden ställs på plintar för att minska sprängning. Regleringen stödjer PBL 2 kap. 6 §.</w:t>
      </w:r>
    </w:p>
    <w:p>
      <w:pPr>
        <w:rPr>
          <w:rFonts w:cs="Arial" w:eastAsia="Times New Roman"/>
          <w:b w:val="1"/>
          <w:bCs w:val="1"/>
        </w:rPr>
      </w:pPr>
      <w:bookmarkEnd w:id="56"/>
      <w:r>
        <w:rPr>
          <w:rFonts w:eastAsia="Times New Roman"/>
          <w:b w:val="1"/>
          <w:bCs w:val="1"/>
          <w:lang w:val="sv-SE" w:bidi="ar-SA" w:eastAsia="sv-SE"/>
        </w:rPr>
        <w:t>[</w:t>
      </w:r>
      <w:r>
        <w:rPr>
          <w:rFonts w:cs="Arial" w:eastAsia="Times New Roman"/>
          <w:b w:val="1"/>
          <w:bCs w:val="1"/>
        </w:rPr>
        <w:t>f</w:t>
      </w:r>
      <w:r>
        <w:rPr>
          <w:rFonts w:cs="Arial" w:eastAsia="Times New Roman"/>
          <w:b w:val="1"/>
          <w:bCs w:val="1"/>
          <w:vertAlign w:val="subscript"/>
        </w:rPr>
        <w:t>2</w:t>
      </w:r>
      <w:r>
        <w:rPr>
          <w:rFonts w:eastAsia="Times New Roman"/>
          <w:b w:val="1"/>
          <w:bCs w:val="1"/>
        </w:rPr>
        <w:t xml:space="preserve">] </w:t>
      </w:r>
      <w:r>
        <w:rPr>
          <w:rFonts w:cs="Arial" w:eastAsia="Times New Roman"/>
          <w:i w:val="1"/>
          <w:iCs w:val="1"/>
        </w:rPr>
        <w:t>Fasad ska vara i trämaterial</w:t>
      </w:r>
      <w:r>
        <w:rPr>
          <w:rFonts w:cs="Arial" w:eastAsia="Times New Roman"/>
        </w:rPr>
        <w:t>.</w:t>
      </w:r>
    </w:p>
    <w:p>
      <w:pPr>
        <w:rPr>
          <w:rFonts w:cs="Arial"/>
          <w:b w:val="1"/>
          <w:bCs w:val="1"/>
          <w:szCs w:val="24"/>
        </w:rPr>
      </w:pPr>
      <w:bookmarkStart w:id="57" w:name="mo_motivtillreglering06"/>
      <w:r>
        <w:rPr>
          <w:rFonts w:eastAsia="Times New Roman"/>
        </w:rPr>
        <w:t xml:space="preserve">Syftet är att bebyggelsen ska passa in i områdets karaktär, kringliggande bebyggelse består till störst del av träfasad i varma kulörer. Regleringen stödjer </w:t>
      </w:r>
      <w:r>
        <w:rPr>
          <w:rStyle w:val="C22"/>
          <w:rFonts w:ascii="Arial" w:hAnsi="Arial" w:cstheme="minorBidi" w:eastAsia="Times New Roman"/>
          <w:b w:val="0"/>
          <w:bCs w:val="0"/>
        </w:rPr>
        <w:t>PBL 2 kap. 3</w:t>
      </w:r>
      <w:r>
        <w:rPr>
          <w:rFonts w:cs="Arial" w:eastAsia="Times New Roman"/>
          <w:b w:val="0"/>
          <w:bCs w:val="0"/>
        </w:rPr>
        <w:t>§</w:t>
      </w:r>
      <w:r>
        <w:rPr>
          <w:rFonts w:cs="Arial" w:eastAsia="Times New Roman"/>
        </w:rPr>
        <w:t>.</w:t>
      </w:r>
    </w:p>
    <w:p>
      <w:pPr>
        <w:pStyle w:val="P3"/>
      </w:pPr>
      <w:bookmarkEnd w:id="57"/>
      <w:bookmarkStart w:id="58" w:name="_Toc214886778"/>
      <w:bookmarkStart w:id="59" w:name="_Toc220311604"/>
      <w:r>
        <w:t>Upphävande av strandskydd</w:t>
      </w:r>
      <w:bookmarkEnd w:id="58"/>
      <w:bookmarkEnd w:id="59"/>
    </w:p>
    <w:p>
      <w:pPr>
        <w:rPr>
          <w:rFonts w:cs="Arial"/>
          <w:i w:val="1"/>
          <w:iCs w:val="1"/>
        </w:rPr>
      </w:pPr>
      <w:r>
        <w:rPr>
          <w:b w:val="1"/>
          <w:bCs w:val="1"/>
          <w:lang w:eastAsia="sv-SE"/>
        </w:rPr>
        <w:t>[</w:t>
      </w:r>
      <w:r>
        <w:rPr>
          <w:rFonts w:cs="Arial"/>
          <w:b w:val="1"/>
          <w:bCs w:val="1"/>
        </w:rPr>
        <w:t>a</w:t>
      </w:r>
      <w:r>
        <w:rPr>
          <w:rFonts w:cs="Arial"/>
          <w:b w:val="1"/>
          <w:bCs w:val="1"/>
          <w:vertAlign w:val="subscript"/>
        </w:rPr>
        <w:t>1</w:t>
      </w:r>
      <w:r>
        <w:rPr>
          <w:b w:val="1"/>
          <w:bCs w:val="1"/>
        </w:rPr>
        <w:t xml:space="preserve">] </w:t>
      </w:r>
      <w:r>
        <w:rPr>
          <w:rFonts w:cs="Arial"/>
          <w:i w:val="1"/>
          <w:iCs w:val="1"/>
        </w:rPr>
        <w:t xml:space="preserve">Strandskyddet är upphävt. </w:t>
      </w:r>
    </w:p>
    <w:p>
      <w:pPr>
        <w:rPr>
          <w:rFonts w:cstheme="minorHAnsi" w:eastAsia="Calibri"/>
          <w:szCs w:val="24"/>
        </w:rPr>
      </w:pPr>
      <w:bookmarkStart w:id="60" w:name="mo_motivtillreglering07"/>
      <w:r>
        <w:rPr>
          <w:rFonts w:eastAsia="Calibri"/>
        </w:rPr>
        <w:t xml:space="preserve">Områden med planer fastställda före 1 juli 1975 var generellt undantagna från strandskydd. Det aktuella området omfattas därför inte av strandskydd idag. Enligt de strandskyddsregler som infördes 1 juli 2025 (Lag 2025:514) kan kommunen besluta att detta upphävande ska gälla även i ny detaljplan. Den nya detaljplanen anger därför att strandskyddet fortsatt är upphävt utan prövning enligt MB 7 kap. 18 §. </w:t>
      </w:r>
    </w:p>
    <w:p>
      <w:pPr>
        <w:pStyle w:val="P1"/>
        <w:rPr>
          <w:rFonts w:cs="Arial"/>
        </w:rPr>
      </w:pPr>
      <w:bookmarkEnd w:id="60"/>
      <w:bookmarkStart w:id="61" w:name="_Hlk219381204"/>
      <w:bookmarkEnd w:id="61"/>
      <w:bookmarkStart w:id="62" w:name="_Hlk219381278"/>
      <w:bookmarkEnd w:id="62"/>
      <w:bookmarkStart w:id="63" w:name="_Toc214886779"/>
      <w:bookmarkStart w:id="64" w:name="_Toc220311605"/>
      <w:r>
        <w:rPr>
          <w:rFonts w:cs="Arial"/>
        </w:rPr>
        <w:t>Förutsättningar i planområdet och konsekvenser av planförslaget</w:t>
      </w:r>
      <w:bookmarkEnd w:id="63"/>
      <w:bookmarkEnd w:id="64"/>
    </w:p>
    <w:p>
      <w:pPr>
        <w:pStyle w:val="P2"/>
      </w:pPr>
      <w:bookmarkStart w:id="65" w:name="_Toc214886780"/>
      <w:bookmarkStart w:id="66" w:name="_Toc220311606"/>
      <w:r>
        <w:t>Bebyggd miljö</w:t>
      </w:r>
      <w:bookmarkEnd w:id="65"/>
      <w:bookmarkEnd w:id="66"/>
    </w:p>
    <w:p>
      <w:pPr>
        <w:pStyle w:val="P3"/>
      </w:pPr>
      <w:bookmarkStart w:id="67" w:name="_Toc214886781"/>
      <w:bookmarkStart w:id="68" w:name="_Toc220311607"/>
      <w:r>
        <w:rPr>
          <w:noProof w:val="1"/>
        </w:rPr>
        <mc:AlternateContent>
          <mc:Choice Requires="wps">
            <w:drawing>
              <wp:anchor xmlns:wp="http://schemas.openxmlformats.org/drawingml/2006/wordprocessingDrawing" distT="0" distB="0" distL="114300" distR="114300" simplePos="0" relativeHeight="22" behindDoc="0" locked="0" layoutInCell="1" allowOverlap="1">
                <wp:simplePos x="0" y="0"/>
                <wp:positionH relativeFrom="column">
                  <wp:posOffset>3254375</wp:posOffset>
                </wp:positionH>
                <wp:positionV relativeFrom="paragraph">
                  <wp:posOffset>4284345</wp:posOffset>
                </wp:positionV>
                <wp:extent cx="2028190" cy="635"/>
                <wp:effectExtent l="0" t="0" r="0" b="0"/>
                <wp:wrapSquare wrapText="bothSides"/>
                <wp:docPr id="51" name="Textruta 51"/>
                <wp:cNvGraphicFramePr/>
                <a:graphic xmlns:a="http://schemas.openxmlformats.org/drawingml/2006/main">
                  <a:graphicData uri="http://schemas.microsoft.com/office/word/2010/wordprocessingShape">
                    <wps:wsp>
                      <wps:cNvSpPr txBox="1"/>
                      <wps:spPr>
                        <a:xfrm>
                          <a:off x="0" y="0"/>
                          <a:ext cx="2028190" cy="635"/>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26"/>
                              <w:rPr>
                                <w:rFonts w:cs="Arial" w:eastAsia="Times New Roman"/>
                                <w:b w:val="1"/>
                                <w:bCs w:val="1"/>
                                <w:noProof w:val="1"/>
                                <w:color w:val="auto"/>
                                <w:szCs w:val="26"/>
                              </w:rPr>
                            </w:pPr>
                            <w:r>
                              <w:t xml:space="preserve">Figur </w:t>
                            </w:r>
                            <w:r>
                              <w:fldChar w:fldCharType="begin"/>
                            </w:r>
                            <w:r>
                              <w:instrText>SEQ Figur \* ARABIC</w:instrText>
                            </w:r>
                            <w:r>
                              <w:fldChar w:fldCharType="separate"/>
                            </w:r>
                            <w:r>
                              <w:rPr>
                                <w:noProof w:val="1"/>
                              </w:rPr>
                              <w:t>6</w:t>
                            </w:r>
                            <w:r>
                              <w:fldChar w:fldCharType="end"/>
                            </w:r>
                            <w:r>
                              <w:t>. Bostadsfastigheter längs sträckan från Härnösand centrum till Solumshamn, markerad i svart. Planområdet markeras i rött.</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type xmlns:o="urn:schemas-microsoft-com:office:office" id="_x0000_t202" coordsize="21600,21600" o:spt="202" path="m,l,21600r21600,l21600,xe">
                <v:stroke joinstyle="miter"/>
                <v:path gradientshapeok="t" o:connecttype="rect"/>
              </v:shapetype>
              <v:shape xmlns:o="urn:schemas-microsoft-com:office:office" type="#_x0000_t202" id="Textruta 51" o:spid="_x0000_s1031" style="position:absolute;width:159.7pt;height:0.05pt;z-index:22;mso-wrap-distance-left:9pt;mso-wrap-distance-top:0pt;mso-wrap-distance-right:9pt;mso-wrap-distance-bottom:0pt;margin-left:256.25pt;margin-top:337.35pt;mso-position-horizontal:absolute;mso-position-horizontal-relative:text;mso-position-vertical:absolute;mso-position-vertical-relative:text" o:allowincell="t" fillcolor="#FFFFFF" stroked="f">
                <v:textbox style="mso-fit-shape-to-text:t" inset="0mm,0mm,0mm,0mm">
                  <w:txbxContent>
                    <w:p>
                      <w:pPr>
                        <w:pStyle w:val="P26"/>
                        <w:rPr>
                          <w:rFonts w:cs="Arial" w:eastAsia="Times New Roman"/>
                          <w:b w:val="1"/>
                          <w:bCs w:val="1"/>
                          <w:noProof w:val="1"/>
                          <w:color w:val="auto"/>
                          <w:szCs w:val="26"/>
                        </w:rPr>
                      </w:pPr>
                      <w:r>
                        <w:t xml:space="preserve">Figur </w:t>
                      </w:r>
                      <w:r>
                        <w:fldChar w:fldCharType="begin"/>
                      </w:r>
                      <w:r>
                        <w:instrText>SEQ Figur \* ARABIC</w:instrText>
                      </w:r>
                      <w:r>
                        <w:fldChar w:fldCharType="separate"/>
                      </w:r>
                      <w:r>
                        <w:rPr>
                          <w:noProof w:val="1"/>
                        </w:rPr>
                        <w:t>6</w:t>
                      </w:r>
                      <w:r>
                        <w:fldChar w:fldCharType="end"/>
                      </w:r>
                      <w:r>
                        <w:t>. Bostadsfastigheter längs sträckan från Härnösand centrum till Solumshamn, markerad i svart. Planområdet markeras i rött.</w:t>
                      </w:r>
                    </w:p>
                  </w:txbxContent>
                </v:textbox>
                <w10:wrap type="square"/>
              </v:shape>
            </w:pict>
          </mc:Fallback>
        </mc:AlternateContent>
      </w:r>
      <w:r>
        <w:rPr>
          <w:noProof w:val="1"/>
        </w:rPr>
        <w:drawing>
          <wp:anchor xmlns:wp="http://schemas.openxmlformats.org/drawingml/2006/wordprocessingDrawing" distT="0" distB="0" distL="114300" distR="114300" simplePos="0" relativeHeight="18" behindDoc="0" locked="0" layoutInCell="1" allowOverlap="1">
            <wp:simplePos x="0" y="0"/>
            <wp:positionH relativeFrom="margin">
              <wp:posOffset>3254375</wp:posOffset>
            </wp:positionH>
            <wp:positionV relativeFrom="paragraph">
              <wp:posOffset>234950</wp:posOffset>
            </wp:positionV>
            <wp:extent cx="2028190" cy="3992245"/>
            <wp:effectExtent l="0" t="0" r="0" b="8255"/>
            <wp:wrapSquare wrapText="bothSides"/>
            <wp:docPr id="33" name="Bildobjekt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60"/>
                    <pic:cNvPicPr/>
                  </pic:nvPicPr>
                  <pic:blipFill dpi="0">
                    <a:blip xmlns:r="http://schemas.openxmlformats.org/officeDocument/2006/relationships" r:embed="Relimage9" cstate="print"/>
                    <a:srcRect/>
                    <a:stretch>
                      <a:fillRect/>
                    </a:stretch>
                  </pic:blipFill>
                  <pic:spPr>
                    <a:xfrm>
                      <a:off x="0" y="0"/>
                      <a:ext cx="2028190" cy="3992245"/>
                    </a:xfrm>
                    <a:prstGeom prst="rect"/>
                  </pic:spPr>
                </pic:pic>
              </a:graphicData>
            </a:graphic>
          </wp:anchor>
        </w:drawing>
      </w:r>
      <w:r>
        <w:t>Bostäder</w:t>
      </w:r>
      <w:bookmarkEnd w:id="67"/>
      <w:bookmarkEnd w:id="68"/>
    </w:p>
    <w:p>
      <w:bookmarkStart w:id="69" w:name="pf_fysiskmiljö01"/>
      <w:r>
        <w:t>Längs sträckan från Härnösand centrum till Solumshamn finns idag omkring 150 planlagda bostadsfastigheter, dessa är i stort sett fullt utbyggda.</w:t>
      </w:r>
      <w:r>
        <w:rPr>
          <w:color w:val="2F5496" w:themeColor="accent1" w:themeShade="BF"/>
        </w:rPr>
        <w:t xml:space="preserve"> </w:t>
      </w:r>
      <w:r>
        <w:t xml:space="preserve">I kommunens översiktsplan Mitt Härnösand 2040 (framtagen 2022) beskrivs det att området längst sträckan kan kompletteras med fler bostäder, detta innebär framtagande av nya detaljplaner för oexploaterade områden. </w:t>
      </w:r>
    </w:p>
    <w:p>
      <w:r>
        <w:t>Planområdet som utgör fastigheten Härnö-Solum 1:103 är idag bebyggt med ett bostadshus, cirka 62 m</w:t>
      </w:r>
      <w:r>
        <w:rPr>
          <w:vertAlign w:val="superscript"/>
        </w:rPr>
        <w:t>2</w:t>
      </w:r>
      <w:r>
        <w:t xml:space="preserve"> byggnadsarea, i en och en halv våning (nockhöjd om cirka 10 meter) samt en komplementbyggnad.</w:t>
      </w:r>
      <w:bookmarkEnd w:id="69"/>
      <w:r>
        <w:br w:type="textWrapping"/>
      </w:r>
    </w:p>
    <w:p/>
    <w:p/>
    <w:p/>
    <w:p/>
    <w:p/>
    <w:p/>
    <w:p>
      <w:pPr>
        <w:pStyle w:val="P4"/>
      </w:pPr>
    </w:p>
    <w:p>
      <w:pPr>
        <w:pStyle w:val="P4"/>
      </w:pPr>
      <w:r>
        <w:t>Konsekvenser</w:t>
      </w:r>
    </w:p>
    <w:p>
      <w:bookmarkStart w:id="70" w:name="ko_annat01"/>
      <w:r>
        <w:t>Detaljplanen bekräftar befintlig markanvändning för bostad [</w:t>
      </w:r>
      <w:r>
        <w:rPr>
          <w:b w:val="1"/>
          <w:bCs w:val="1"/>
        </w:rPr>
        <w:t>B</w:t>
      </w:r>
      <w:r>
        <w:t xml:space="preserve">]. </w:t>
      </w:r>
    </w:p>
    <w:p>
      <w:pPr>
        <w:rPr>
          <w:rFonts w:cs="Arial" w:eastAsia="Calibri"/>
          <w:color w:val="7030A0"/>
          <w:szCs w:val="24"/>
        </w:rPr>
      </w:pPr>
      <w:bookmarkEnd w:id="70"/>
    </w:p>
    <w:p>
      <w:pPr>
        <w:spacing w:after="160" w:beforeAutospacing="0" w:afterAutospacing="0"/>
        <w:rPr>
          <w:rFonts w:cs="Arial" w:eastAsia="Times New Roman"/>
          <w:i w:val="1"/>
          <w:bCs w:val="1"/>
          <w:sz w:val="26"/>
          <w:szCs w:val="26"/>
        </w:rPr>
      </w:pPr>
      <w:r>
        <w:br w:type="page"/>
      </w:r>
    </w:p>
    <w:p>
      <w:pPr>
        <w:pStyle w:val="P3"/>
      </w:pPr>
      <w:bookmarkStart w:id="71" w:name="_Toc214886782"/>
      <w:bookmarkStart w:id="72" w:name="_Toc220311608"/>
      <w:r>
        <w:t>Bebyggelsekaraktär och landskapsbild</w:t>
      </w:r>
      <w:bookmarkEnd w:id="71"/>
      <w:bookmarkEnd w:id="72"/>
    </w:p>
    <w:p>
      <w:bookmarkStart w:id="73" w:name="pf_fysiskmiljö02"/>
      <w:r>
        <w:t xml:space="preserve">Planområdet ligger i södra delen av Härnön. Den omgivande miljön består av naturmark med skogskaraktär, huvudsakligen barrträd samt viss buskvegetation och strandlinje mot vattnet. Planområdet, tillsammans med angränsande fastigheter, är endast synligt från båttrafik på vattnet eller från villaområdet på västra sidan. </w:t>
      </w:r>
    </w:p>
    <w:p>
      <w:pPr>
        <w:rPr>
          <w:rFonts w:ascii="Times New Roman" w:hAnsi="Times New Roman" w:cs="Times New Roman" w:eastAsia="Times New Roman"/>
          <w:noProof w:val="1"/>
          <w:lang w:eastAsia="sv-SE"/>
        </w:rPr>
      </w:pPr>
      <w:r>
        <w:t xml:space="preserve">Bebyggelsestrukturen utgörs av friliggande villor, fastigheterna ligger intill varandra, och den sluttande tomtmarken mot vattnet har bidragit till att flera byggnader uppförts som suterrängbyggnader anpassade till terrängen. </w:t>
      </w:r>
    </w:p>
    <w:p>
      <w:pPr>
        <w:rPr>
          <w:lang w:eastAsia="sv-SE"/>
        </w:rPr>
      </w:pPr>
      <w:r>
        <w:rPr>
          <w:lang w:eastAsia="sv-SE"/>
        </w:rPr>
        <w:t xml:space="preserve">Längs Södra Sundet uppfördes på 1800-talet nationalromantiska trävillor, följt av enklare sportstugor på 1930-talet. När området fick kommunalt vatten och avlopp ersattes dessa successivt av större villor och permanentbostäder. I dag består bebyggelsen av en blandning av äldre villor och moderna sommarhus, där trä dominerar som fasadmaterial och färgsättningen varierar mellan vitt, grått, gult och mörka slamfärger. Takformen varierar, oftast sadeltak eller pulpettak. </w:t>
      </w:r>
    </w:p>
    <w:p>
      <w:pPr>
        <w:keepNext w:val="1"/>
      </w:pPr>
      <w:r>
        <w:rPr>
          <w:lang w:eastAsia="sv-SE"/>
        </w:rPr>
        <w:t>Grannfastigheterna har byggrätter som varierar mellan cirka 140 m² till 180 m² för huvudbyggnad och 70 m² till 105 m² för komplementbyggnad. Fastighetsstorlekarna varierar mellan cirka 2 300 och 4 000 m², med bebyggelse bestående av villor i en till tre våningar. Många av bostadsfastigheterna har relativt stora terrasser med utsikt mot vattnet. Se foton nedan.</w:t>
      </w:r>
      <w:r>
        <w:rPr>
          <w:noProof w:val="1"/>
        </w:rPr>
        <w:drawing>
          <wp:anchor xmlns:wp="http://schemas.openxmlformats.org/drawingml/2006/wordprocessingDrawing" distT="0" distB="0" distL="114300" distR="114300" simplePos="0" relativeHeight="23" behindDoc="0" locked="0" layoutInCell="1" allowOverlap="1">
            <wp:simplePos x="0" y="0"/>
            <wp:positionH relativeFrom="column">
              <wp:posOffset>-635</wp:posOffset>
            </wp:positionH>
            <wp:positionV relativeFrom="paragraph">
              <wp:posOffset>1135380</wp:posOffset>
            </wp:positionV>
            <wp:extent cx="5292090" cy="3049905"/>
            <wp:effectExtent l="0" t="0" r="3810" b="0"/>
            <wp:wrapTopAndBottom/>
            <wp:docPr id="196" name="Bildobjekt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dpi="0">
                    <a:blip xmlns:r="http://schemas.openxmlformats.org/officeDocument/2006/relationships" r:embed="Relimage10" cstate="print"/>
                    <a:srcRect b="23155"/>
                    <a:stretch>
                      <a:fillRect/>
                    </a:stretch>
                  </pic:blipFill>
                  <pic:spPr bwMode="auto">
                    <a:xfrm>
                      <a:off x="0" y="0"/>
                      <a:ext cx="5292090" cy="3049905"/>
                    </a:xfrm>
                    <a:prstGeom prst="rect"/>
                    <a:noFill/>
                    <a:ln>
                      <a:noFill/>
                    </a:ln>
                  </pic:spPr>
                </pic:pic>
              </a:graphicData>
            </a:graphic>
          </wp:anchor>
        </w:drawing>
      </w:r>
    </w:p>
    <w:p>
      <w:pPr>
        <w:pStyle w:val="P26"/>
      </w:pPr>
      <w:r>
        <w:t xml:space="preserve">Figur </w:t>
      </w:r>
      <w:r>
        <w:fldChar w:fldCharType="begin"/>
      </w:r>
      <w:r>
        <w:instrText>SEQ Figur \* ARABIC</w:instrText>
      </w:r>
      <w:r>
        <w:fldChar w:fldCharType="separate"/>
      </w:r>
      <w:r>
        <w:rPr>
          <w:noProof w:val="1"/>
        </w:rPr>
        <w:t>7</w:t>
      </w:r>
      <w:r>
        <w:fldChar w:fldCharType="end"/>
      </w:r>
      <w:r>
        <w:t>. Bostadsfastighet längs Södra Sundet.</w:t>
      </w:r>
    </w:p>
    <w:p>
      <w:pPr>
        <w:keepNext w:val="1"/>
      </w:pPr>
      <w:r>
        <w:rPr>
          <w:noProof w:val="1"/>
        </w:rPr>
        <w:drawing>
          <wp:inline xmlns:wp="http://schemas.openxmlformats.org/drawingml/2006/wordprocessingDrawing" distT="0" distB="0" distL="0" distR="0">
            <wp:extent cx="5286375" cy="2533650"/>
            <wp:effectExtent l="0" t="0" r="0" b="0"/>
            <wp:docPr id="976932672" name="Bildobjekt 976932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dpi="0">
                    <a:blip xmlns:r="http://schemas.openxmlformats.org/officeDocument/2006/relationships" r:embed="Relimage11" cstate="print"/>
                    <a:srcRect t="21471" b="14600"/>
                    <a:stretch>
                      <a:fillRect/>
                    </a:stretch>
                  </pic:blipFill>
                  <pic:spPr bwMode="auto">
                    <a:xfrm>
                      <a:off x="0" y="0"/>
                      <a:ext cx="5287010" cy="2534352"/>
                    </a:xfrm>
                    <a:prstGeom prst="rect"/>
                    <a:noFill/>
                    <a:ln>
                      <a:noFill/>
                    </a:ln>
                  </pic:spPr>
                </pic:pic>
              </a:graphicData>
            </a:graphic>
          </wp:inline>
        </w:drawing>
      </w:r>
    </w:p>
    <w:p>
      <w:pPr>
        <w:pStyle w:val="P26"/>
      </w:pPr>
      <w:r>
        <w:t xml:space="preserve">Figur </w:t>
      </w:r>
      <w:r>
        <w:fldChar w:fldCharType="begin"/>
      </w:r>
      <w:r>
        <w:instrText>SEQ Figur \* ARABIC</w:instrText>
      </w:r>
      <w:r>
        <w:fldChar w:fldCharType="separate"/>
      </w:r>
      <w:r>
        <w:rPr>
          <w:noProof w:val="1"/>
        </w:rPr>
        <w:t>8</w:t>
      </w:r>
      <w:r>
        <w:fldChar w:fldCharType="end"/>
      </w:r>
      <w:r>
        <w:t>. Bostadsfastighet längs Södra Sundet.</w:t>
      </w:r>
    </w:p>
    <w:p>
      <w:pPr>
        <w:keepNext w:val="1"/>
      </w:pPr>
      <w:r>
        <w:rPr>
          <w:noProof w:val="1"/>
        </w:rPr>
        <w:drawing>
          <wp:inline xmlns:wp="http://schemas.openxmlformats.org/drawingml/2006/wordprocessingDrawing" distT="0" distB="0" distL="0" distR="0">
            <wp:extent cx="5286375" cy="2475230"/>
            <wp:effectExtent l="0" t="0" r="0" b="1270"/>
            <wp:docPr id="63" name="Bildobjekt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dpi="0">
                    <a:blip xmlns:r="http://schemas.openxmlformats.org/officeDocument/2006/relationships" r:embed="Relimage12" cstate="print"/>
                    <a:srcRect t="23680" b="13870"/>
                    <a:stretch>
                      <a:fillRect/>
                    </a:stretch>
                  </pic:blipFill>
                  <pic:spPr bwMode="auto">
                    <a:xfrm>
                      <a:off x="0" y="0"/>
                      <a:ext cx="5287010" cy="2475686"/>
                    </a:xfrm>
                    <a:prstGeom prst="rect"/>
                    <a:noFill/>
                    <a:ln>
                      <a:noFill/>
                    </a:ln>
                  </pic:spPr>
                </pic:pic>
              </a:graphicData>
            </a:graphic>
          </wp:inline>
        </w:drawing>
      </w:r>
    </w:p>
    <w:p>
      <w:pPr>
        <w:pStyle w:val="P26"/>
      </w:pPr>
      <w:r>
        <w:t xml:space="preserve">Figur </w:t>
      </w:r>
      <w:r>
        <w:fldChar w:fldCharType="begin"/>
      </w:r>
      <w:r>
        <w:instrText>SEQ Figur \* ARABIC</w:instrText>
      </w:r>
      <w:r>
        <w:fldChar w:fldCharType="separate"/>
      </w:r>
      <w:r>
        <w:rPr>
          <w:noProof w:val="1"/>
        </w:rPr>
        <w:t>9</w:t>
      </w:r>
      <w:r>
        <w:fldChar w:fldCharType="end"/>
      </w:r>
      <w:r>
        <w:t>. Bostadsfastighet längs Södra Sundet.</w:t>
      </w:r>
    </w:p>
    <w:p>
      <w:pPr>
        <w:keepNext w:val="1"/>
      </w:pPr>
      <w:r>
        <w:rPr>
          <w:noProof w:val="1"/>
        </w:rPr>
        <w:drawing>
          <wp:inline xmlns:wp="http://schemas.openxmlformats.org/drawingml/2006/wordprocessingDrawing" distT="0" distB="0" distL="0" distR="0">
            <wp:extent cx="5285740" cy="2023110"/>
            <wp:effectExtent l="0" t="0" r="0" b="0"/>
            <wp:docPr id="62" name="Bildobjekt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dpi="0">
                    <a:blip xmlns:r="http://schemas.openxmlformats.org/officeDocument/2006/relationships" r:embed="Relimage13" cstate="print"/>
                    <a:srcRect t="26992" b="21959"/>
                    <a:stretch>
                      <a:fillRect/>
                    </a:stretch>
                  </pic:blipFill>
                  <pic:spPr bwMode="auto">
                    <a:xfrm>
                      <a:off x="0" y="0"/>
                      <a:ext cx="5287010" cy="2023750"/>
                    </a:xfrm>
                    <a:prstGeom prst="rect"/>
                    <a:noFill/>
                    <a:ln>
                      <a:noFill/>
                    </a:ln>
                  </pic:spPr>
                </pic:pic>
              </a:graphicData>
            </a:graphic>
          </wp:inline>
        </w:drawing>
      </w:r>
    </w:p>
    <w:p>
      <w:pPr>
        <w:pStyle w:val="P26"/>
      </w:pPr>
      <w:r>
        <w:t xml:space="preserve">Figur </w:t>
      </w:r>
      <w:r>
        <w:fldChar w:fldCharType="begin"/>
      </w:r>
      <w:r>
        <w:instrText>SEQ Figur \* ARABIC</w:instrText>
      </w:r>
      <w:r>
        <w:fldChar w:fldCharType="separate"/>
      </w:r>
      <w:r>
        <w:rPr>
          <w:noProof w:val="1"/>
        </w:rPr>
        <w:t>10</w:t>
      </w:r>
      <w:r>
        <w:fldChar w:fldCharType="end"/>
      </w:r>
      <w:r>
        <w:t>. Bostadsfastighet längs Södra Sundet.</w:t>
      </w:r>
    </w:p>
    <w:p>
      <w:pPr>
        <w:keepNext w:val="1"/>
      </w:pPr>
      <w:r>
        <w:rPr>
          <w:noProof w:val="1"/>
        </w:rPr>
        <w:drawing>
          <wp:inline xmlns:wp="http://schemas.openxmlformats.org/drawingml/2006/wordprocessingDrawing" distT="0" distB="0" distL="0" distR="0">
            <wp:extent cx="5286375" cy="1978660"/>
            <wp:effectExtent l="0" t="0" r="0" b="2540"/>
            <wp:docPr id="61" name="Bildobjekt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dpi="0">
                    <a:blip xmlns:r="http://schemas.openxmlformats.org/officeDocument/2006/relationships" r:embed="Relimage14" cstate="print"/>
                    <a:srcRect t="26995" b="23073"/>
                    <a:stretch>
                      <a:fillRect/>
                    </a:stretch>
                  </pic:blipFill>
                  <pic:spPr bwMode="auto">
                    <a:xfrm>
                      <a:off x="0" y="0"/>
                      <a:ext cx="5287010" cy="1979458"/>
                    </a:xfrm>
                    <a:prstGeom prst="rect"/>
                    <a:noFill/>
                    <a:ln>
                      <a:noFill/>
                    </a:ln>
                  </pic:spPr>
                </pic:pic>
              </a:graphicData>
            </a:graphic>
          </wp:inline>
        </w:drawing>
      </w:r>
    </w:p>
    <w:p>
      <w:pPr>
        <w:pStyle w:val="P26"/>
      </w:pPr>
      <w:r>
        <w:t xml:space="preserve">Figur </w:t>
      </w:r>
      <w:r>
        <w:fldChar w:fldCharType="begin"/>
      </w:r>
      <w:r>
        <w:instrText>SEQ Figur \* ARABIC</w:instrText>
      </w:r>
      <w:r>
        <w:fldChar w:fldCharType="separate"/>
      </w:r>
      <w:r>
        <w:rPr>
          <w:noProof w:val="1"/>
        </w:rPr>
        <w:t>11</w:t>
      </w:r>
      <w:r>
        <w:fldChar w:fldCharType="end"/>
      </w:r>
      <w:r>
        <w:t>. Bostadsfastighet längs Södra Sundet.</w:t>
      </w:r>
    </w:p>
    <w:p>
      <w:r>
        <w:t>Inom planområdet som utgör fastigheten Härnö-Solum 1:103 finns ett befintligt bostadshus samt vegetation i form av gräsmatta, buskar och enstaka träd såsom tall, gran och lövträd. Infarter till fastigheterna ligger på den östra sidan, medan tomtmarken vetter mot vattnet. Mellan aktuell fastighet och strandlinjen finns en buffertzon om cirka 12 meter som är planlagd parkmark. En brygga finns som tillhör fastigheten, se figur 12 nedan.</w:t>
      </w:r>
    </w:p>
    <w:p>
      <w:r>
        <w:rPr>
          <w:noProof w:val="1"/>
        </w:rPr>
        <w:drawing>
          <wp:inline xmlns:wp="http://schemas.openxmlformats.org/drawingml/2006/wordprocessingDrawing" distT="0" distB="0" distL="0" distR="0">
            <wp:extent cx="5287010" cy="3000375"/>
            <wp:effectExtent l="0" t="0" r="0" b="9525"/>
            <wp:docPr id="976932681" name="Bildobjekt 976932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dpi="0">
                    <a:blip xmlns:r="http://schemas.openxmlformats.org/officeDocument/2006/relationships" r:embed="Relimage15" cstate="print"/>
                    <a:srcRect b="24354"/>
                    <a:stretch>
                      <a:fillRect/>
                    </a:stretch>
                  </pic:blipFill>
                  <pic:spPr bwMode="auto">
                    <a:xfrm>
                      <a:off x="0" y="0"/>
                      <a:ext cx="5287010" cy="3000780"/>
                    </a:xfrm>
                    <a:prstGeom prst="rect"/>
                    <a:noFill/>
                    <a:ln>
                      <a:noFill/>
                    </a:ln>
                  </pic:spPr>
                </pic:pic>
              </a:graphicData>
            </a:graphic>
          </wp:inline>
        </w:drawing>
      </w:r>
    </w:p>
    <w:p>
      <w:pPr>
        <w:pStyle w:val="P26"/>
      </w:pPr>
      <w:r>
        <w:t xml:space="preserve">Figur </w:t>
      </w:r>
      <w:r>
        <w:fldChar w:fldCharType="begin"/>
      </w:r>
      <w:r>
        <w:instrText>SEQ Figur \* ARABIC</w:instrText>
      </w:r>
      <w:r>
        <w:fldChar w:fldCharType="separate"/>
      </w:r>
      <w:r>
        <w:rPr>
          <w:noProof w:val="1"/>
        </w:rPr>
        <w:t>12</w:t>
      </w:r>
      <w:r>
        <w:fldChar w:fldCharType="end"/>
      </w:r>
      <w:r>
        <w:t>. Befintlig bostadsbebyggelse inom planområdet.</w:t>
      </w:r>
    </w:p>
    <w:p>
      <w:pPr>
        <w:spacing w:after="160" w:beforeAutospacing="0" w:afterAutospacing="0"/>
        <w:rPr>
          <w:color w:val="FF0000"/>
          <w:sz w:val="40"/>
          <w:szCs w:val="40"/>
        </w:rPr>
      </w:pPr>
    </w:p>
    <w:p>
      <w:pPr>
        <w:spacing w:after="160" w:beforeAutospacing="0" w:afterAutospacing="0"/>
      </w:pPr>
      <w:bookmarkEnd w:id="73"/>
    </w:p>
    <w:p>
      <w:pPr>
        <w:spacing w:after="160" w:beforeAutospacing="0" w:afterAutospacing="0"/>
      </w:pPr>
    </w:p>
    <w:p>
      <w:pPr>
        <w:spacing w:after="160" w:beforeAutospacing="0" w:afterAutospacing="0"/>
      </w:pPr>
    </w:p>
    <w:p>
      <w:pPr>
        <w:spacing w:after="160" w:beforeAutospacing="0" w:afterAutospacing="0"/>
      </w:pPr>
    </w:p>
    <w:p>
      <w:pPr>
        <w:spacing w:after="160" w:beforeAutospacing="0" w:afterAutospacing="0"/>
        <w:rPr>
          <w:rFonts w:cstheme="majorBidi" w:eastAsiaTheme="majorEastAsia"/>
          <w:i w:val="1"/>
          <w:iCs w:val="1"/>
          <w:color w:val="2F5496" w:themeColor="accent1" w:themeShade="BF"/>
        </w:rPr>
      </w:pPr>
    </w:p>
    <w:p>
      <w:pPr>
        <w:pStyle w:val="P4"/>
        <w:rPr>
          <w:rFonts w:eastAsia="Calibri"/>
        </w:rPr>
      </w:pPr>
      <w:r>
        <w:t>Konsekvenser</w:t>
      </w:r>
    </w:p>
    <w:p>
      <w:pPr>
        <w:spacing w:after="0" w:beforeAutospacing="0" w:afterAutospacing="0"/>
        <w:rPr>
          <w:rFonts w:cs="Arial" w:eastAsia="Arial"/>
          <w:szCs w:val="24"/>
        </w:rPr>
      </w:pPr>
      <w:bookmarkStart w:id="74" w:name="ko_annat02"/>
      <w:r>
        <w:rPr>
          <w:rFonts w:cs="Arial" w:eastAsia="Arial"/>
          <w:szCs w:val="24"/>
        </w:rPr>
        <w:t xml:space="preserve">Den nya planen medger en total byggrätt på 285 m², utöver detta får 80 m² utgöra öppenarea med en minsta fastighetsstorlek om 2000 m². Detta ger en exploateringsgrad på 18% vilket är lägre än den maximalt tillåtna exploateringsgraden om 21 % i gällande detaljplan, se figur </w:t>
      </w:r>
      <w:r>
        <w:rPr>
          <w:rFonts w:cs="Arial" w:eastAsia="Arial"/>
          <w:szCs w:val="24"/>
        </w:rPr>
        <w:fldChar w:fldCharType="begin"/>
      </w:r>
      <w:r>
        <w:rPr>
          <w:rFonts w:cs="Arial" w:eastAsia="Arial"/>
          <w:szCs w:val="24"/>
        </w:rPr>
        <w:instrText xml:space="preserve"> REF _Ref220311777 \h </w:instrText>
      </w:r>
      <w:r>
        <w:rPr>
          <w:rFonts w:cs="Arial" w:eastAsia="Arial"/>
          <w:szCs w:val="24"/>
        </w:rPr>
        <w:fldChar w:fldCharType="separate"/>
      </w:r>
      <w:r>
        <w:t xml:space="preserve">Figur </w:t>
      </w:r>
      <w:r>
        <w:rPr>
          <w:noProof w:val="1"/>
        </w:rPr>
        <w:t>13</w:t>
      </w:r>
      <w:r>
        <w:rPr>
          <w:rFonts w:cs="Arial" w:eastAsia="Arial"/>
          <w:szCs w:val="24"/>
        </w:rPr>
        <w:fldChar w:fldCharType="end"/>
      </w:r>
      <w:r>
        <w:rPr>
          <w:rFonts w:cs="Arial" w:eastAsia="Arial"/>
          <w:szCs w:val="24"/>
        </w:rPr>
        <w:t>.</w:t>
      </w:r>
    </w:p>
    <w:p>
      <w:pPr>
        <w:keepNext w:val="1"/>
        <w:spacing w:after="0" w:beforeAutospacing="0" w:afterAutospacing="0"/>
      </w:pPr>
      <w:r>
        <w:rPr>
          <w:rFonts w:cs="Arial" w:eastAsia="Arial"/>
          <w:noProof w:val="1"/>
          <w:color w:val="000000" w:themeColor="text1"/>
          <w:szCs w:val="24"/>
        </w:rPr>
        <w:drawing>
          <wp:inline xmlns:wp="http://schemas.openxmlformats.org/drawingml/2006/wordprocessingDrawing" distT="0" distB="0" distL="0" distR="0">
            <wp:extent cx="5286375" cy="2207895"/>
            <wp:effectExtent l="0" t="0" r="9525" b="1905"/>
            <wp:docPr id="976932673" name="Bildobjekt 976932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932673" name="Bildobjekt 976932673"/>
                    <pic:cNvPicPr>
                      <a:picLocks noChangeAspect="1" noChangeArrowheads="1"/>
                    </pic:cNvPicPr>
                  </pic:nvPicPr>
                  <pic:blipFill dpi="0">
                    <a:blip xmlns:r="http://schemas.openxmlformats.org/officeDocument/2006/relationships" r:embed="Relimage16" cstate="print"/>
                    <a:srcRect/>
                    <a:stretch>
                      <a:fillRect/>
                    </a:stretch>
                  </pic:blipFill>
                  <pic:spPr bwMode="auto">
                    <a:xfrm>
                      <a:off x="0" y="0"/>
                      <a:ext cx="5286836" cy="2207895"/>
                    </a:xfrm>
                    <a:prstGeom prst="rect"/>
                    <a:noFill/>
                    <a:ln>
                      <a:noFill/>
                    </a:ln>
                  </pic:spPr>
                </pic:pic>
              </a:graphicData>
            </a:graphic>
          </wp:inline>
        </w:drawing>
      </w:r>
    </w:p>
    <w:p>
      <w:pPr>
        <w:pStyle w:val="P26"/>
      </w:pPr>
      <w:bookmarkStart w:id="75" w:name="_Ref220311777"/>
      <w:r>
        <w:t xml:space="preserve">Figur </w:t>
      </w:r>
      <w:r>
        <w:fldChar w:fldCharType="begin"/>
      </w:r>
      <w:r>
        <w:instrText>SEQ Figur \* ARABIC</w:instrText>
      </w:r>
      <w:r>
        <w:fldChar w:fldCharType="separate"/>
      </w:r>
      <w:r>
        <w:rPr>
          <w:noProof w:val="1"/>
        </w:rPr>
        <w:t>13</w:t>
      </w:r>
      <w:r>
        <w:fldChar w:fldCharType="end"/>
      </w:r>
      <w:bookmarkEnd w:id="75"/>
      <w:r>
        <w:t>. Illustration för största tillåtna exploateringsgrad i gällande detaljplan i jämförelse med största tillåtna exploateringsgrad för planförslaget.</w:t>
      </w:r>
    </w:p>
    <w:p>
      <w:pPr>
        <w:keepNext w:val="1"/>
      </w:pPr>
      <w:r>
        <w:t xml:space="preserve">I </w:t>
      </w:r>
      <w:r>
        <w:fldChar w:fldCharType="begin"/>
      </w:r>
      <w:r>
        <w:instrText xml:space="preserve"> REF _Ref220311809 \h </w:instrText>
      </w:r>
      <w:r>
        <w:fldChar w:fldCharType="separate"/>
      </w:r>
      <w:r>
        <w:t xml:space="preserve">Figur </w:t>
      </w:r>
      <w:r>
        <w:rPr>
          <w:noProof w:val="1"/>
        </w:rPr>
        <w:t>14</w:t>
      </w:r>
      <w:r>
        <w:fldChar w:fldCharType="end"/>
      </w:r>
      <w:r>
        <w:t xml:space="preserve"> nedan visas ett schematiskt exempel på möjliga placering. Perspektivet visar vyn från vattnet mot ny bebyggelse, utifrån en total byggrätt om 285 m² och en nockhöjd om 10 meter. Av volymbilden framgår att befintliga träd även fortsättningsvis ligger högre än den nya bebyggelsen och fungerar som en buffert mot angränsande fastigheter. Bedömningen är att frontvyn, enligt planförslaget, inte avviker från motsvarande frontvyer för fastigheter längst Södra sundet.</w:t>
      </w:r>
      <w:r>
        <w:rPr>
          <w:noProof w:val="1"/>
        </w:rPr>
        <w:drawing>
          <wp:inline xmlns:wp="http://schemas.openxmlformats.org/drawingml/2006/wordprocessingDrawing" distT="0" distB="0" distL="0" distR="0">
            <wp:extent cx="5292090" cy="3512185"/>
            <wp:effectExtent l="0" t="0" r="3810" b="0"/>
            <wp:docPr id="16" name="Bildobjek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ildobjekt 16"/>
                    <pic:cNvPicPr/>
                  </pic:nvPicPr>
                  <pic:blipFill dpi="0">
                    <a:blip xmlns:r="http://schemas.openxmlformats.org/officeDocument/2006/relationships" r:embed="Relimage17" cstate="print"/>
                    <a:srcRect b="11516"/>
                    <a:stretch>
                      <a:fillRect/>
                    </a:stretch>
                  </pic:blipFill>
                  <pic:spPr bwMode="auto">
                    <a:xfrm>
                      <a:off x="0" y="0"/>
                      <a:ext cx="5292090" cy="3512265"/>
                    </a:xfrm>
                    <a:prstGeom prst="rect"/>
                    <a:ln>
                      <a:noFill/>
                    </a:ln>
                  </pic:spPr>
                </pic:pic>
              </a:graphicData>
            </a:graphic>
          </wp:inline>
        </w:drawing>
      </w:r>
    </w:p>
    <w:p>
      <w:pPr>
        <w:pStyle w:val="P26"/>
        <w:rPr>
          <w:color w:val="auto"/>
        </w:rPr>
      </w:pPr>
      <w:bookmarkStart w:id="76" w:name="_Ref220311809"/>
      <w:r>
        <w:t xml:space="preserve">Figur </w:t>
      </w:r>
      <w:r>
        <w:fldChar w:fldCharType="begin"/>
      </w:r>
      <w:r>
        <w:instrText xml:space="preserve"> SEQ Figur \* ARABIC </w:instrText>
      </w:r>
      <w:r>
        <w:fldChar w:fldCharType="separate"/>
      </w:r>
      <w:r>
        <w:rPr>
          <w:noProof w:val="1"/>
        </w:rPr>
        <w:t>14</w:t>
      </w:r>
      <w:r>
        <w:rPr>
          <w:noProof w:val="1"/>
        </w:rPr>
        <w:fldChar w:fldCharType="end"/>
      </w:r>
      <w:bookmarkEnd w:id="76"/>
      <w:r>
        <w:t xml:space="preserve">. Schematiskt exempel på möjlig placering. Befintliga träd sträcker sig över reglerad nockhöjd. Frontvyn avviker inte från motsvarande frontvyer längst sträckan för Södra sundet. </w:t>
      </w:r>
    </w:p>
    <w:p/>
    <w:p>
      <w:r>
        <w:t xml:space="preserve">För att ta hänsyn till områdets terräng regleras bestämmelse om att byggnader ska anpassas så långt som möjligt i terräng, detta inrymmer flera lösningar, exempel ske genom suterrängvåning eller genom att ställa byggnaden på plintar. </w:t>
      </w:r>
    </w:p>
    <w:p>
      <w:r>
        <w:t xml:space="preserve">De flesta byggnader i området har träfasad, vilket passar väl ihop med den omgivande naturmarken. Därför införs en bestämmelse om att fasaden ska utföras i trä. </w:t>
      </w:r>
      <w:r>
        <w:rPr>
          <w:rFonts w:cs="Arial" w:eastAsia="Arial"/>
          <w:szCs w:val="24"/>
        </w:rPr>
        <w:t>Planen bedöms harmoniera med den befintliga bebyggelsen i området.</w:t>
      </w:r>
    </w:p>
    <w:p>
      <w:pPr>
        <w:pStyle w:val="P3"/>
      </w:pPr>
      <w:bookmarkEnd w:id="74"/>
      <w:bookmarkStart w:id="77" w:name="_Toc214886783"/>
      <w:bookmarkStart w:id="78" w:name="_Toc220311609"/>
      <w:r>
        <w:t>Service</w:t>
      </w:r>
      <w:bookmarkEnd w:id="77"/>
      <w:bookmarkEnd w:id="78"/>
    </w:p>
    <w:p>
      <w:pPr>
        <w:rPr>
          <w:i w:val="1"/>
          <w:iCs w:val="1"/>
        </w:rPr>
      </w:pPr>
      <w:bookmarkStart w:id="79" w:name="pf_fysiskmiljö03"/>
      <w:r>
        <w:t>Avståndet till centrala Härnösand är cirka 5,5 kilometer, där all typ av service finns tillgänglig.</w:t>
      </w:r>
    </w:p>
    <w:p>
      <w:pPr>
        <w:pStyle w:val="P4"/>
        <w:rPr>
          <w:rFonts w:eastAsia="Calibri"/>
        </w:rPr>
      </w:pPr>
      <w:bookmarkEnd w:id="79"/>
      <w:r>
        <w:t>Konsekvenser</w:t>
      </w:r>
    </w:p>
    <w:p>
      <w:pPr>
        <w:rPr>
          <w:rFonts w:cs="Arial"/>
          <w:szCs w:val="24"/>
        </w:rPr>
      </w:pPr>
      <w:bookmarkStart w:id="80" w:name="ko_annat03"/>
      <w:r>
        <w:rPr>
          <w:rFonts w:cs="Arial"/>
          <w:szCs w:val="24"/>
        </w:rPr>
        <w:t xml:space="preserve">Ingen påverkan. </w:t>
      </w:r>
    </w:p>
    <w:p>
      <w:pPr>
        <w:pStyle w:val="P3"/>
      </w:pPr>
      <w:bookmarkEnd w:id="80"/>
      <w:bookmarkStart w:id="81" w:name="_Toc214886784"/>
      <w:bookmarkStart w:id="82" w:name="_Toc220311610"/>
      <w:r>
        <w:t>Kulturmiljö</w:t>
      </w:r>
      <w:bookmarkEnd w:id="81"/>
      <w:bookmarkEnd w:id="82"/>
    </w:p>
    <w:p>
      <w:pPr>
        <w:rPr>
          <w:rFonts w:ascii="Times New Roman" w:hAnsi="Times New Roman"/>
        </w:rPr>
      </w:pPr>
      <w:bookmarkStart w:id="83" w:name="pf_kulturmiljö01"/>
      <w:r>
        <w:t>Längs Södra Sundet varierar bebyggelsens ålder. De fastigheter som angränsar till planområdet rymmer byggnader uppförda åren 2007, 1981 och 1931, medan bebyggelsen inom själva planområdet härstammar från 1929 (se figur 14 nedan).</w:t>
      </w:r>
    </w:p>
    <w:p>
      <w:r>
        <w:t>I Solumshamn, som ligger cirka 2 kilometer från planområdet, finns en något större andel äldre byggnader (se figur 14 nedan).</w:t>
      </w:r>
    </w:p>
    <w:p>
      <w:pPr>
        <w:spacing w:lineRule="auto" w:line="257" w:beforeAutospacing="0" w:afterAutospacing="0"/>
        <w:rPr>
          <w:rFonts w:cs="Arial" w:eastAsia="Calibri"/>
          <w:i w:val="1"/>
          <w:iCs w:val="1"/>
          <w:szCs w:val="24"/>
        </w:rPr>
      </w:pPr>
      <w:r>
        <w:rPr>
          <w:rFonts w:cs="Arial" w:eastAsia="Calibri"/>
          <w:szCs w:val="24"/>
        </w:rPr>
        <w:t xml:space="preserve">Det finns ingen särskild utpekad kulturmiljö eller andra värdefulla byggnader inom planområdet eller dess närhet. </w:t>
      </w:r>
    </w:p>
    <w:p>
      <w:pPr>
        <w:spacing w:lineRule="auto" w:line="257" w:beforeAutospacing="0" w:afterAutospacing="0"/>
        <w:rPr>
          <w:lang w:eastAsia="sv-SE"/>
        </w:rPr>
      </w:pPr>
    </w:p>
    <w:p>
      <w:pPr>
        <w:keepNext w:val="1"/>
        <w:spacing w:lineRule="auto" w:line="257" w:beforeAutospacing="0" w:afterAutospacing="0"/>
      </w:pPr>
      <w:r>
        <w:rPr>
          <w:rFonts w:cs="Arial" w:eastAsia="Calibri"/>
          <w:noProof w:val="1"/>
          <w:szCs w:val="24"/>
        </w:rPr>
        <mc:AlternateContent>
          <mc:Choice Requires="wps">
            <w:drawing>
              <wp:anchor xmlns:wp="http://schemas.openxmlformats.org/drawingml/2006/wordprocessingDrawing" distT="0" distB="0" distL="114300" distR="114300" simplePos="0" relativeHeight="28" behindDoc="0" locked="0" layoutInCell="1" allowOverlap="1">
                <wp:simplePos x="0" y="0"/>
                <wp:positionH relativeFrom="column">
                  <wp:posOffset>3666490</wp:posOffset>
                </wp:positionH>
                <wp:positionV relativeFrom="paragraph">
                  <wp:posOffset>1957705</wp:posOffset>
                </wp:positionV>
                <wp:extent cx="553720" cy="379730"/>
                <wp:effectExtent l="19050" t="19050" r="17780" b="20320"/>
                <wp:wrapNone/>
                <wp:docPr id="976932685" name="Rektangel 976932685"/>
                <wp:cNvGraphicFramePr/>
                <a:graphic xmlns:a="http://schemas.openxmlformats.org/drawingml/2006/main">
                  <a:graphicData uri="http://schemas.microsoft.com/office/word/2010/wordprocessingShape">
                    <wps:wsp>
                      <wps:cNvSpPr/>
                      <wps:spPr>
                        <a:xfrm>
                          <a:off x="0" y="0"/>
                          <a:ext cx="553855" cy="379869"/>
                        </a:xfrm>
                        <a:custGeom>
                          <a:gdLst>
                            <a:gd name="connsiteX0" fmla="*/ 0 w 495300"/>
                            <a:gd name="connsiteY0" fmla="*/ 0 h 424815"/>
                            <a:gd name="connsiteX1" fmla="*/ 495300 w 495300"/>
                            <a:gd name="connsiteY1" fmla="*/ 0 h 424815"/>
                            <a:gd name="connsiteX2" fmla="*/ 495300 w 495300"/>
                            <a:gd name="connsiteY2" fmla="*/ 424815 h 424815"/>
                            <a:gd name="connsiteX3" fmla="*/ 0 w 495300"/>
                            <a:gd name="connsiteY3" fmla="*/ 424815 h 424815"/>
                            <a:gd name="connsiteX4" fmla="*/ 0 w 495300"/>
                            <a:gd name="connsiteY4" fmla="*/ 0 h 424815"/>
                            <a:gd name="connsiteX0" fmla="*/ 0 w 553255"/>
                            <a:gd name="connsiteY0" fmla="*/ 0 h 444133"/>
                            <a:gd name="connsiteX1" fmla="*/ 495300 w 553255"/>
                            <a:gd name="connsiteY1" fmla="*/ 0 h 444133"/>
                            <a:gd name="connsiteX2" fmla="*/ 553255 w 553255"/>
                            <a:gd name="connsiteY2" fmla="*/ 444133 h 444133"/>
                            <a:gd name="connsiteX3" fmla="*/ 0 w 553255"/>
                            <a:gd name="connsiteY3" fmla="*/ 424815 h 444133"/>
                            <a:gd name="connsiteX4" fmla="*/ 0 w 553255"/>
                            <a:gd name="connsiteY4" fmla="*/ 0 h 444133"/>
                            <a:gd name="connsiteX0" fmla="*/ 0 w 553255"/>
                            <a:gd name="connsiteY0" fmla="*/ 0 h 444133"/>
                            <a:gd name="connsiteX1" fmla="*/ 553255 w 553255"/>
                            <a:gd name="connsiteY1" fmla="*/ 135310 h 444133"/>
                            <a:gd name="connsiteX2" fmla="*/ 553255 w 553255"/>
                            <a:gd name="connsiteY2" fmla="*/ 444133 h 444133"/>
                            <a:gd name="connsiteX3" fmla="*/ 0 w 553255"/>
                            <a:gd name="connsiteY3" fmla="*/ 424815 h 444133"/>
                            <a:gd name="connsiteX4" fmla="*/ 0 w 553255"/>
                            <a:gd name="connsiteY4" fmla="*/ 0 h 444133"/>
                            <a:gd name="connsiteX0" fmla="*/ 38605 w 553255"/>
                            <a:gd name="connsiteY0" fmla="*/ 0 h 379700"/>
                            <a:gd name="connsiteX1" fmla="*/ 553255 w 553255"/>
                            <a:gd name="connsiteY1" fmla="*/ 70877 h 379700"/>
                            <a:gd name="connsiteX2" fmla="*/ 553255 w 553255"/>
                            <a:gd name="connsiteY2" fmla="*/ 379700 h 379700"/>
                            <a:gd name="connsiteX3" fmla="*/ 0 w 553255"/>
                            <a:gd name="connsiteY3" fmla="*/ 360382 h 379700"/>
                            <a:gd name="connsiteX4" fmla="*/ 38605 w 553255"/>
                            <a:gd name="connsiteY4" fmla="*/ 0 h 379700"/>
                            <a:gd name="connsiteX0" fmla="*/ 38605 w 553255"/>
                            <a:gd name="connsiteY0" fmla="*/ 0 h 379700"/>
                            <a:gd name="connsiteX1" fmla="*/ 553255 w 553255"/>
                            <a:gd name="connsiteY1" fmla="*/ 70877 h 379700"/>
                            <a:gd name="connsiteX2" fmla="*/ 553255 w 553255"/>
                            <a:gd name="connsiteY2" fmla="*/ 379700 h 379700"/>
                            <a:gd name="connsiteX3" fmla="*/ 0 w 553255"/>
                            <a:gd name="connsiteY3" fmla="*/ 379700 h 379700"/>
                            <a:gd name="connsiteX4" fmla="*/ 38605 w 553255"/>
                            <a:gd name="connsiteY4" fmla="*/ 0 h 379700"/>
                          </a:gdLst>
                          <a:cxnLst>
                            <a:cxn ang="0">
                              <a:pos x="connsiteX0" y="connsiteY0"/>
                            </a:cxn>
                            <a:cxn ang="0">
                              <a:pos x="connsiteX1" y="connsiteY1"/>
                            </a:cxn>
                            <a:cxn ang="0">
                              <a:pos x="connsiteX2" y="connsiteY2"/>
                            </a:cxn>
                            <a:cxn ang="0">
                              <a:pos x="connsiteX3" y="connsiteY3"/>
                            </a:cxn>
                            <a:cxn ang="0">
                              <a:pos x="connsiteX4" y="connsiteY4"/>
                            </a:cxn>
                          </a:cxnLst>
                          <a:rect l="l" t="t" r="r" b="b"/>
                          <a:pathLst>
                            <a:path w="553255" h="379700">
                              <a:moveTo>
                                <a:pt x="38605" y="0"/>
                              </a:moveTo>
                              <a:lnTo>
                                <a:pt x="553255" y="70877"/>
                              </a:lnTo>
                              <a:lnTo>
                                <a:pt x="553255" y="379700"/>
                              </a:lnTo>
                              <a:lnTo>
                                <a:pt x="0" y="379700"/>
                              </a:lnTo>
                              <a:lnTo>
                                <a:pt x="38605" y="0"/>
                              </a:lnTo>
                              <a:close/>
                            </a:path>
                          </a:pathLst>
                        </a:cu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Rektangel 976932685" o:spid="_x0000_s1032" style="position:absolute;width:43.6pt;height:29.9pt;z-index:28;mso-wrap-distance-left:9pt;mso-wrap-distance-top:0pt;mso-wrap-distance-right:9pt;mso-wrap-distance-bottom:0pt;margin-left:288.7pt;margin-top:154.15pt;mso-position-horizontal:absolute;mso-position-horizontal-relative:text;mso-position-vertical:absolute;mso-position-vertical-relative:text;v-text-anchor:middle" o:allowincell="t" filled="f" strokecolor="#000000" strokeweight="1pt" stroked="t" coordsize="872,598" path="m38605,0l553255,70877,553255,379700,,379700,38605,,xe">
                <v:textbox inset="3mm,1mm,3mm,1mm">
                  <w:txbxContent>
                    <w:p/>
                  </w:txbxContent>
                </v:textbox>
                <v:stroke dashstyle="shortdash"/>
              </v:shape>
            </w:pict>
          </mc:Fallback>
        </mc:AlternateContent>
      </w:r>
      <w:r>
        <w:rPr>
          <w:rFonts w:cs="Arial" w:eastAsia="Calibri"/>
          <w:noProof w:val="1"/>
          <w:szCs w:val="24"/>
        </w:rPr>
        <w:drawing>
          <wp:anchor xmlns:wp="http://schemas.openxmlformats.org/drawingml/2006/wordprocessingDrawing" distT="0" distB="0" distL="114300" distR="114300" simplePos="0" relativeHeight="27" behindDoc="0" locked="0" layoutInCell="1" allowOverlap="1">
            <wp:simplePos x="0" y="0"/>
            <wp:positionH relativeFrom="margin">
              <wp:align>right</wp:align>
            </wp:positionH>
            <wp:positionV relativeFrom="paragraph">
              <wp:posOffset>5715</wp:posOffset>
            </wp:positionV>
            <wp:extent cx="834390" cy="1556385"/>
            <wp:effectExtent l="0" t="0" r="3810" b="5715"/>
            <wp:wrapNone/>
            <wp:docPr id="976932684" name="Bildobjekt 976932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61"/>
                    <pic:cNvPicPr/>
                  </pic:nvPicPr>
                  <pic:blipFill dpi="0">
                    <a:blip xmlns:r="http://schemas.openxmlformats.org/officeDocument/2006/relationships" r:embed="Relimage18"/>
                    <a:srcRect/>
                    <a:stretch>
                      <a:fillRect/>
                    </a:stretch>
                  </pic:blipFill>
                  <pic:spPr>
                    <a:xfrm>
                      <a:off x="0" y="0"/>
                      <a:ext cx="834742" cy="1556934"/>
                    </a:xfrm>
                    <a:prstGeom prst="rect"/>
                  </pic:spPr>
                </pic:pic>
              </a:graphicData>
            </a:graphic>
          </wp:anchor>
        </w:drawing>
      </w:r>
      <w:r>
        <w:rPr>
          <w:noProof w:val="1"/>
          <w:lang w:eastAsia="sv-SE"/>
        </w:rPr>
        <w:drawing>
          <wp:inline xmlns:wp="http://schemas.openxmlformats.org/drawingml/2006/wordprocessingDrawing" distT="0" distB="0" distL="0" distR="0">
            <wp:extent cx="2479040" cy="3589020"/>
            <wp:effectExtent l="0" t="0" r="0" b="0"/>
            <wp:docPr id="976932682" name="Bildobjekt 976932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62"/>
                    <pic:cNvPicPr/>
                  </pic:nvPicPr>
                  <pic:blipFill dpi="0">
                    <a:blip xmlns:r="http://schemas.openxmlformats.org/officeDocument/2006/relationships" r:embed="Relimage19"/>
                    <a:srcRect/>
                    <a:stretch>
                      <a:fillRect/>
                    </a:stretch>
                  </pic:blipFill>
                  <pic:spPr>
                    <a:xfrm>
                      <a:off x="0" y="0"/>
                      <a:ext cx="2492300" cy="3608643"/>
                    </a:xfrm>
                    <a:prstGeom prst="rect"/>
                  </pic:spPr>
                </pic:pic>
              </a:graphicData>
            </a:graphic>
          </wp:inline>
        </w:drawing>
      </w:r>
      <w:r>
        <w:rPr>
          <w:rFonts w:cs="Arial" w:eastAsia="Calibri"/>
          <w:szCs w:val="24"/>
        </w:rPr>
        <w:t xml:space="preserve">        </w:t>
      </w:r>
      <w:r>
        <w:rPr>
          <w:rFonts w:cs="Arial" w:eastAsia="Calibri"/>
          <w:noProof w:val="1"/>
          <w:szCs w:val="24"/>
        </w:rPr>
        <w:drawing>
          <wp:inline xmlns:wp="http://schemas.openxmlformats.org/drawingml/2006/wordprocessingDrawing" distT="0" distB="0" distL="0" distR="0">
            <wp:extent cx="2465705" cy="3577590"/>
            <wp:effectExtent l="0" t="0" r="0" b="3810"/>
            <wp:docPr id="976932683" name="Bildobjekt 976932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63"/>
                    <pic:cNvPicPr/>
                  </pic:nvPicPr>
                  <pic:blipFill dpi="0">
                    <a:blip xmlns:r="http://schemas.openxmlformats.org/officeDocument/2006/relationships" r:embed="Relimage20"/>
                    <a:srcRect/>
                    <a:stretch>
                      <a:fillRect/>
                    </a:stretch>
                  </pic:blipFill>
                  <pic:spPr>
                    <a:xfrm>
                      <a:off x="0" y="0"/>
                      <a:ext cx="2488585" cy="3610309"/>
                    </a:xfrm>
                    <a:prstGeom prst="rect"/>
                  </pic:spPr>
                </pic:pic>
              </a:graphicData>
            </a:graphic>
          </wp:inline>
        </w:drawing>
      </w:r>
    </w:p>
    <w:p>
      <w:pPr>
        <w:pStyle w:val="P26"/>
      </w:pPr>
      <w:r>
        <w:t xml:space="preserve">Figur </w:t>
      </w:r>
      <w:r>
        <w:fldChar w:fldCharType="begin"/>
      </w:r>
      <w:r>
        <w:instrText>SEQ Figur \* ARABIC</w:instrText>
      </w:r>
      <w:r>
        <w:fldChar w:fldCharType="separate"/>
      </w:r>
      <w:r>
        <w:rPr>
          <w:noProof w:val="1"/>
        </w:rPr>
        <w:t>15</w:t>
      </w:r>
      <w:r>
        <w:fldChar w:fldCharType="end"/>
      </w:r>
      <w:r>
        <w:t>. (TV) Byggår för området Solumshamn. (TH) Byggår för angränsande fastigheter av planområdet (markerat ungefärligt med svart).</w:t>
      </w:r>
    </w:p>
    <w:p>
      <w:pPr>
        <w:pStyle w:val="P4"/>
        <w:rPr>
          <w:rFonts w:eastAsia="Calibri"/>
          <w:szCs w:val="24"/>
        </w:rPr>
      </w:pPr>
      <w:bookmarkEnd w:id="83"/>
      <w:r>
        <w:t>Konsekvenser</w:t>
      </w:r>
    </w:p>
    <w:p>
      <w:pPr>
        <w:rPr>
          <w:rFonts w:cs="Arial" w:eastAsia="Calibri"/>
          <w:szCs w:val="24"/>
        </w:rPr>
      </w:pPr>
      <w:bookmarkStart w:id="84" w:name="pf_annat01"/>
      <w:r>
        <w:t>Eftersom byggnadsåldrarna i området varierar kraftigt bedöms planförslaget vara anpassat till den omgivande bebyggelsekaraktären.</w:t>
      </w:r>
    </w:p>
    <w:p>
      <w:pPr>
        <w:pStyle w:val="P3"/>
        <w:rPr>
          <w:lang w:eastAsia="sv-SE"/>
        </w:rPr>
      </w:pPr>
      <w:bookmarkEnd w:id="84"/>
      <w:bookmarkStart w:id="85" w:name="_Toc214886785"/>
      <w:bookmarkStart w:id="86" w:name="_Toc220311611"/>
      <w:r>
        <w:rPr>
          <w:lang w:eastAsia="sv-SE"/>
        </w:rPr>
        <w:t>Fornlämningar</w:t>
      </w:r>
      <w:bookmarkEnd w:id="85"/>
      <w:bookmarkEnd w:id="86"/>
    </w:p>
    <w:p>
      <w:pPr>
        <w:rPr>
          <w:rFonts w:cs="Arial"/>
          <w:lang w:eastAsia="sv-SE"/>
        </w:rPr>
      </w:pPr>
      <w:bookmarkStart w:id="87" w:name="pf_fornlämningar01"/>
      <w:r>
        <w:rPr>
          <w:rFonts w:cs="Arial"/>
          <w:lang w:eastAsia="sv-SE"/>
        </w:rPr>
        <w:t xml:space="preserve">Fornlämningar är skyddade av kulturmiljölagen (SFS 1988:950). </w:t>
      </w:r>
    </w:p>
    <w:p>
      <w:pPr>
        <w:spacing w:lineRule="auto" w:line="257" w:beforeAutospacing="0" w:afterAutospacing="0"/>
        <w:rPr>
          <w:rFonts w:cs="Arial"/>
        </w:rPr>
      </w:pPr>
      <w:r>
        <w:rPr>
          <w:rFonts w:cs="Arial" w:eastAsia="Calibri"/>
          <w:szCs w:val="24"/>
        </w:rPr>
        <w:t>Det finns inga kända fornlämningar i planområdet eller dess närhet. Om en fornlämning påträffas under grävning eller annat arbete, ska arbetet omedelbart avbrytas. Den som leder arbetet ska skyndsamt anmäla förhållandet till länsstyrelsen.</w:t>
      </w:r>
    </w:p>
    <w:p>
      <w:pPr>
        <w:pStyle w:val="P4"/>
        <w:rPr>
          <w:rFonts w:eastAsia="Calibri"/>
          <w:szCs w:val="24"/>
        </w:rPr>
      </w:pPr>
      <w:bookmarkEnd w:id="87"/>
      <w:r>
        <w:t>Konsekvenser</w:t>
      </w:r>
    </w:p>
    <w:p>
      <w:pPr>
        <w:spacing w:lineRule="auto" w:line="257" w:beforeAutospacing="0" w:afterAutospacing="0"/>
        <w:rPr>
          <w:rFonts w:cs="Arial" w:eastAsia="Calibri"/>
          <w:szCs w:val="24"/>
        </w:rPr>
      </w:pPr>
      <w:bookmarkStart w:id="88" w:name="pf_annat02"/>
      <w:r>
        <w:rPr>
          <w:rFonts w:cs="Arial" w:eastAsia="Calibri"/>
          <w:szCs w:val="24"/>
        </w:rPr>
        <w:t xml:space="preserve">Ingen påverkan. </w:t>
      </w:r>
      <w:bookmarkEnd w:id="88"/>
      <w:r>
        <w:br w:type="page"/>
      </w:r>
    </w:p>
    <w:p>
      <w:pPr>
        <w:pStyle w:val="P2"/>
      </w:pPr>
      <w:bookmarkStart w:id="89" w:name="_Toc214886786"/>
      <w:bookmarkStart w:id="90" w:name="_Toc220311612"/>
      <w:r>
        <w:t>Mark- och vattenförhållanden</w:t>
      </w:r>
      <w:bookmarkEnd w:id="89"/>
      <w:bookmarkEnd w:id="90"/>
    </w:p>
    <w:p>
      <w:pPr>
        <w:pStyle w:val="P3"/>
      </w:pPr>
      <w:bookmarkStart w:id="91" w:name="_Toc214886787"/>
      <w:bookmarkStart w:id="92" w:name="_Toc220311613"/>
      <w:r>
        <w:t>Naturmiljö</w:t>
      </w:r>
      <w:bookmarkEnd w:id="91"/>
      <w:bookmarkEnd w:id="92"/>
      <w:r>
        <w:t xml:space="preserve"> </w:t>
      </w:r>
    </w:p>
    <w:p>
      <w:bookmarkStart w:id="93" w:name="pf_fysiskmiljö04"/>
      <w:r>
        <w:t xml:space="preserve">Planområdet omges av naturmark och är redan bebyggd med ett bostadshus och har en grusad infart, medan resterande ytor består av gräs, buskage och träd. Marknivåerna varierar mellan cirka +2,0 och +9,0 meter, med den lägsta punkten i nordvästra hörnet mot vattnet, och den högsta punkten i öster vid den grusade infartsvägen. </w:t>
      </w:r>
    </w:p>
    <w:p>
      <w:r>
        <w:t>Inga kända fynd av artskyddade eller rödlistade arter har (enligt artportalen, 2025-11-21) gjorts i närområdet under åren 2020 - 2025.</w:t>
      </w:r>
    </w:p>
    <w:p>
      <w:pPr>
        <w:pStyle w:val="P4"/>
        <w:rPr>
          <w:rFonts w:eastAsia="Calibri"/>
          <w:szCs w:val="24"/>
        </w:rPr>
      </w:pPr>
      <w:bookmarkEnd w:id="93"/>
      <w:r>
        <w:t xml:space="preserve">Konsekvenser </w:t>
      </w:r>
    </w:p>
    <w:p>
      <w:pPr>
        <w:rPr>
          <w:rFonts w:cs="Arial"/>
        </w:rPr>
      </w:pPr>
      <w:bookmarkStart w:id="94" w:name="ko_annat04"/>
      <w:r>
        <w:t xml:space="preserve">Bedömningen är att oexploaterad mark som planen tar i anspråk inom fastigheten saknar höga naturvärden. </w:t>
      </w:r>
    </w:p>
    <w:p>
      <w:pPr>
        <w:pStyle w:val="P3"/>
      </w:pPr>
      <w:bookmarkEnd w:id="94"/>
      <w:bookmarkStart w:id="95" w:name="_Toc214886788"/>
      <w:bookmarkStart w:id="96" w:name="_Toc220311614"/>
      <w:r>
        <w:t>Grönstruktur och rekreation</w:t>
      </w:r>
      <w:bookmarkEnd w:id="95"/>
      <w:bookmarkEnd w:id="96"/>
    </w:p>
    <w:p>
      <w:pPr>
        <w:rPr>
          <w:i w:val="1"/>
          <w:iCs w:val="1"/>
        </w:rPr>
      </w:pPr>
      <w:bookmarkStart w:id="97" w:name="pf_fysiskmiljö05"/>
      <w:r>
        <w:t>I gällande detaljplan finns parkmark som allmän plats direkt öster om planområdet mot infartsvägen, med en buffert på cirka 40 meter. Väst mot vattnet finns ytterligare parkmark med en buffert på cirka 10 meter, syftet är att säkerställa allmänhetens tillgång till stranden.</w:t>
      </w:r>
      <w:r>
        <w:rPr>
          <w:color w:val="7030A0"/>
        </w:rPr>
        <w:t xml:space="preserve"> </w:t>
      </w:r>
    </w:p>
    <w:p>
      <w:pPr>
        <w:pStyle w:val="P4"/>
        <w:rPr>
          <w:rFonts w:eastAsia="Calibri"/>
          <w:szCs w:val="24"/>
        </w:rPr>
      </w:pPr>
      <w:bookmarkEnd w:id="97"/>
      <w:r>
        <w:t xml:space="preserve">Konsekvenser </w:t>
      </w:r>
    </w:p>
    <w:p>
      <w:pPr>
        <w:spacing w:lineRule="auto" w:line="257" w:beforeAutospacing="0" w:afterAutospacing="0"/>
        <w:rPr>
          <w:rFonts w:cs="Arial"/>
        </w:rPr>
      </w:pPr>
      <w:bookmarkStart w:id="98" w:name="ko_natur01"/>
      <w:r>
        <w:t>Gällande detaljplan med parkmark som buffert mot stranden och på östra sidan fortsätter att gälla. Ingen påverkan förväntas.</w:t>
      </w:r>
    </w:p>
    <w:p>
      <w:pPr>
        <w:spacing w:after="160" w:beforeAutospacing="0" w:afterAutospacing="0"/>
        <w:rPr>
          <w:rFonts w:cs="Arial" w:eastAsia="Times New Roman"/>
          <w:b w:val="1"/>
          <w:i w:val="1"/>
          <w:bCs w:val="1"/>
          <w:szCs w:val="26"/>
        </w:rPr>
      </w:pPr>
      <w:bookmarkEnd w:id="98"/>
      <w:r>
        <w:br w:type="page"/>
      </w:r>
    </w:p>
    <w:p>
      <w:pPr>
        <w:pStyle w:val="P3"/>
      </w:pPr>
      <w:bookmarkStart w:id="99" w:name="_Toc214886789"/>
      <w:bookmarkStart w:id="100" w:name="_Toc220311615"/>
      <w:r>
        <w:t>Geotekniska förhållanden</w:t>
      </w:r>
      <w:bookmarkEnd w:id="99"/>
      <w:bookmarkEnd w:id="100"/>
    </w:p>
    <w:p>
      <w:pPr>
        <w:spacing w:lineRule="auto" w:line="257" w:beforeAutospacing="0" w:afterAutospacing="0"/>
        <w:rPr>
          <w:rFonts w:cs="Arial" w:eastAsia="Calibri"/>
          <w:szCs w:val="24"/>
        </w:rPr>
      </w:pPr>
      <w:bookmarkStart w:id="101" w:name="pf_geotekniskaförhållanden01"/>
      <w:r>
        <w:rPr>
          <w:rFonts w:cs="Arial" w:eastAsia="Calibri"/>
          <w:szCs w:val="24"/>
        </w:rPr>
        <w:t>Myndigheten för samhällsskydd och beredskap (MSB) tog 2014 fram en förstudie och översiktlig kartering av stabilitet i raviner och slänter bestående av morän och grova sedimentjordar. Enligt rapporten utgörs området vid Södra Sundet av grus och berg i dagen och bedöms som relativt flackt. Jordlagren i slänterna mot sundet består främst av siltig morän med enstaka ytliga block. Området utgörs av skogsmark, delvis avverkad, ovanför bebyggelsen längs strandkanten och har riklig undervegetation av sly och gräs, se figur 15 nedan.</w:t>
      </w:r>
    </w:p>
    <w:p>
      <w:pPr>
        <w:spacing w:lineRule="auto" w:line="257" w:beforeAutospacing="0" w:afterAutospacing="0"/>
        <w:rPr>
          <w:rFonts w:cs="Arial" w:eastAsia="Calibri"/>
          <w:szCs w:val="24"/>
        </w:rPr>
      </w:pPr>
      <w:r>
        <w:rPr>
          <w:rFonts w:cs="Arial" w:eastAsia="Calibri"/>
          <w:szCs w:val="24"/>
        </w:rPr>
        <w:t>Inga tecken på jordrörelser har observerats och några stabiliserande åtgärder finns inte. Släntens stabilitet bedöms som god och lutningen är inte tillräckligt brant för att ras eller slamström ska kunna uppstå.</w:t>
      </w:r>
    </w:p>
    <w:p>
      <w:pPr>
        <w:keepNext w:val="1"/>
        <w:spacing w:lineRule="auto" w:line="257" w:beforeAutospacing="0" w:afterAutospacing="0"/>
      </w:pPr>
      <w:r>
        <w:rPr>
          <w:rFonts w:cs="Arial" w:eastAsia="Calibri"/>
          <w:noProof w:val="1"/>
          <w:color w:val="7030A0"/>
          <w:szCs w:val="24"/>
        </w:rPr>
        <mc:AlternateContent>
          <mc:Choice Requires="wps">
            <w:drawing>
              <wp:anchor xmlns:wp="http://schemas.openxmlformats.org/drawingml/2006/wordprocessingDrawing" distT="0" distB="0" distL="114300" distR="114300" simplePos="0" relativeHeight="21" behindDoc="0" locked="0" layoutInCell="1" allowOverlap="1">
                <wp:simplePos x="0" y="0"/>
                <wp:positionH relativeFrom="column">
                  <wp:posOffset>770255</wp:posOffset>
                </wp:positionH>
                <wp:positionV relativeFrom="paragraph">
                  <wp:posOffset>758190</wp:posOffset>
                </wp:positionV>
                <wp:extent cx="450215" cy="443230"/>
                <wp:effectExtent l="19050" t="19050" r="26035" b="13970"/>
                <wp:wrapNone/>
                <wp:docPr id="201" name="Ellips 201"/>
                <wp:cNvGraphicFramePr/>
                <a:graphic xmlns:a="http://schemas.openxmlformats.org/drawingml/2006/main">
                  <a:graphicData uri="http://schemas.microsoft.com/office/word/2010/wordprocessingShape">
                    <wps:wsp>
                      <wps:cNvSpPr/>
                      <wps:spPr>
                        <a:xfrm>
                          <a:off x="0" y="0"/>
                          <a:ext cx="450376" cy="443556"/>
                        </a:xfrm>
                        <a:prstGeom prst="ellipse"/>
                        <a:noFill/>
                        <a:ln w="38100">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xmlns:o="urn:schemas-microsoft-com:office:office" id="Ellips 201" o:spid="_x0000_s1033" style="position:absolute;width:35.45pt;height:34.9pt;z-index:21;mso-wrap-distance-left:9pt;mso-wrap-distance-top:0pt;mso-wrap-distance-right:9pt;mso-wrap-distance-bottom:0pt;margin-left:60.65pt;margin-top:59.7pt;mso-position-horizontal:absolute;mso-position-horizontal-relative:text;mso-position-vertical:absolute;mso-position-vertical-relative:text;v-text-anchor:middle" o:allowincell="t" filled="f" strokecolor="#00B0F0" strokeweight="3pt" stroked="t">
                <v:textbox inset="3mm,1mm,3mm,1mm">
                  <w:txbxContent>
                    <w:p/>
                  </w:txbxContent>
                </v:textbox>
              </v:oval>
            </w:pict>
          </mc:Fallback>
        </mc:AlternateContent>
      </w:r>
      <w:r>
        <w:rPr>
          <w:rFonts w:cs="Arial" w:eastAsia="Calibri"/>
          <w:noProof w:val="1"/>
          <w:color w:val="7030A0"/>
          <w:szCs w:val="24"/>
        </w:rPr>
        <w:drawing>
          <wp:anchor xmlns:wp="http://schemas.openxmlformats.org/drawingml/2006/wordprocessingDrawing" distT="0" distB="0" distL="114300" distR="114300" simplePos="0" relativeHeight="12" behindDoc="0" locked="0" layoutInCell="1" allowOverlap="1">
            <wp:simplePos x="0" y="0"/>
            <wp:positionH relativeFrom="column">
              <wp:posOffset>2903220</wp:posOffset>
            </wp:positionH>
            <wp:positionV relativeFrom="paragraph">
              <wp:posOffset>155575</wp:posOffset>
            </wp:positionV>
            <wp:extent cx="2679700" cy="1221740"/>
            <wp:effectExtent l="0" t="0" r="6350" b="0"/>
            <wp:wrapSquare wrapText="bothSides"/>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64"/>
                    <pic:cNvPicPr/>
                  </pic:nvPicPr>
                  <pic:blipFill dpi="0">
                    <a:blip xmlns:r="http://schemas.openxmlformats.org/officeDocument/2006/relationships" r:embed="Relimage21"/>
                    <a:srcRect/>
                    <a:stretch>
                      <a:fillRect/>
                    </a:stretch>
                  </pic:blipFill>
                  <pic:spPr>
                    <a:xfrm>
                      <a:off x="0" y="0"/>
                      <a:ext cx="2679700" cy="1221740"/>
                    </a:xfrm>
                    <a:prstGeom prst="rect"/>
                  </pic:spPr>
                </pic:pic>
              </a:graphicData>
            </a:graphic>
          </wp:anchor>
        </w:drawing>
      </w:r>
      <w:r>
        <w:rPr>
          <w:rFonts w:cs="Arial" w:eastAsia="Calibri"/>
          <w:noProof w:val="1"/>
          <w:color w:val="7030A0"/>
          <w:szCs w:val="24"/>
        </w:rPr>
        <w:drawing>
          <wp:inline xmlns:wp="http://schemas.openxmlformats.org/drawingml/2006/wordprocessingDrawing" distT="0" distB="0" distL="0" distR="0">
            <wp:extent cx="2669540" cy="2507615"/>
            <wp:effectExtent l="0" t="0" r="0" b="6985"/>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65"/>
                    <pic:cNvPicPr/>
                  </pic:nvPicPr>
                  <pic:blipFill dpi="0">
                    <a:blip xmlns:r="http://schemas.openxmlformats.org/officeDocument/2006/relationships" r:embed="Relimage22"/>
                    <a:srcRect t="22969" r="26350" b="17483"/>
                    <a:stretch>
                      <a:fillRect/>
                    </a:stretch>
                  </pic:blipFill>
                  <pic:spPr bwMode="auto">
                    <a:xfrm>
                      <a:off x="0" y="0"/>
                      <a:ext cx="2677569" cy="2515033"/>
                    </a:xfrm>
                    <a:prstGeom prst="rect"/>
                    <a:ln>
                      <a:noFill/>
                    </a:ln>
                  </pic:spPr>
                </pic:pic>
              </a:graphicData>
            </a:graphic>
          </wp:inline>
        </w:drawing>
      </w:r>
    </w:p>
    <w:p>
      <w:pPr>
        <w:pStyle w:val="P26"/>
      </w:pPr>
      <w:r>
        <w:t xml:space="preserve">Figur </w:t>
      </w:r>
      <w:r>
        <w:fldChar w:fldCharType="begin"/>
      </w:r>
      <w:r>
        <w:instrText>SEQ Figur \* ARABIC</w:instrText>
      </w:r>
      <w:r>
        <w:fldChar w:fldCharType="separate"/>
      </w:r>
      <w:r>
        <w:rPr>
          <w:noProof w:val="1"/>
        </w:rPr>
        <w:t>16</w:t>
      </w:r>
      <w:r>
        <w:fldChar w:fldCharType="end"/>
      </w:r>
      <w:r>
        <w:t>. Utdrag ur förstudie för kartering och stabilitet (MSB) 2014. Planområdet markeras ungefärligt med blå ring.</w:t>
      </w:r>
    </w:p>
    <w:p>
      <w:pPr>
        <w:pStyle w:val="P4"/>
        <w:rPr>
          <w:rFonts w:eastAsia="Calibri"/>
          <w:szCs w:val="24"/>
        </w:rPr>
      </w:pPr>
      <w:bookmarkEnd w:id="101"/>
      <w:r>
        <w:t xml:space="preserve">Konsekvenser </w:t>
      </w:r>
    </w:p>
    <w:p>
      <w:pPr>
        <w:spacing w:after="0" w:beforeAutospacing="0" w:afterAutospacing="0"/>
      </w:pPr>
      <w:bookmarkStart w:id="102" w:name="ko_annat05"/>
      <w:r>
        <w:t>Den tillåtna byggrätten motsvarar en</w:t>
      </w:r>
      <w:r>
        <w:rPr>
          <w:rFonts w:cs="Arial" w:eastAsia="Arial"/>
        </w:rPr>
        <w:t xml:space="preserve"> exploateringsgrad om 18% vilket är lägre än den maximalt tillåtna exploateringsgraden om 21 % i gällande detaljplan (i förhållande till minsta tillåtna fastighetsstorlek).</w:t>
      </w:r>
      <w:r>
        <w:t xml:space="preserve"> Bedömningen är att marken är lämplig för den föreslagna bebyggelsen och inga ytterligare utredningar krävs i planläggningsskedet. Eventuella kompletterande utredningar kan komma krävas i bygglovsskedet. </w:t>
      </w:r>
    </w:p>
    <w:p>
      <w:pPr>
        <w:pStyle w:val="P3"/>
      </w:pPr>
      <w:bookmarkEnd w:id="102"/>
      <w:bookmarkStart w:id="103" w:name="_Toc214886790"/>
      <w:bookmarkStart w:id="104" w:name="_Toc220311616"/>
      <w:r>
        <w:t>Hydrologiska förhållanden</w:t>
      </w:r>
      <w:bookmarkEnd w:id="103"/>
      <w:bookmarkEnd w:id="104"/>
    </w:p>
    <w:p>
      <w:pPr>
        <w:spacing w:lineRule="auto" w:line="257" w:beforeAutospacing="0" w:afterAutospacing="0"/>
        <w:rPr>
          <w:rFonts w:cs="Arial" w:eastAsia="Calibri"/>
          <w:szCs w:val="24"/>
        </w:rPr>
      </w:pPr>
      <w:bookmarkStart w:id="105" w:name="pf_hydrologiskaförhållanden01"/>
      <w:r>
        <w:t>Planområdet ingår i ett delavrinningsområde där vattnet rinner mot Södra sundet (ytvattenförekomst). Grundvattennivå ligger 1 meter under markytan (MSB 2014).</w:t>
      </w:r>
    </w:p>
    <w:p>
      <w:pPr>
        <w:pStyle w:val="P4"/>
        <w:rPr>
          <w:rFonts w:eastAsia="Calibri"/>
          <w:szCs w:val="24"/>
        </w:rPr>
      </w:pPr>
      <w:bookmarkEnd w:id="105"/>
      <w:r>
        <w:t xml:space="preserve">Konsekvenser </w:t>
      </w:r>
    </w:p>
    <w:p>
      <w:pPr>
        <w:spacing w:lineRule="auto" w:line="257" w:beforeAutospacing="0" w:afterAutospacing="0"/>
        <w:rPr>
          <w:rFonts w:cs="Arial" w:eastAsia="Calibri"/>
          <w:szCs w:val="24"/>
        </w:rPr>
      </w:pPr>
      <w:bookmarkStart w:id="106" w:name="ko_annat06"/>
      <w:r>
        <w:rPr>
          <w:rFonts w:cs="Arial" w:eastAsia="Calibri"/>
          <w:szCs w:val="24"/>
        </w:rPr>
        <w:t xml:space="preserve">Det finns inte anledning att anta att planen äventyrar eller hindrar uppfyllande av kvalitetskraven för någon vattenförekomst. </w:t>
      </w:r>
    </w:p>
    <w:p>
      <w:pPr>
        <w:spacing w:lineRule="auto" w:line="257" w:beforeAutospacing="0" w:afterAutospacing="0"/>
        <w:ind w:left="1304"/>
        <w:rPr>
          <w:rFonts w:cs="Arial" w:eastAsia="Calibri"/>
          <w:szCs w:val="24"/>
        </w:rPr>
      </w:pPr>
      <w:bookmarkEnd w:id="106"/>
    </w:p>
    <w:p>
      <w:pPr>
        <w:pStyle w:val="P2"/>
        <w:rPr>
          <w:rFonts w:eastAsia="Calibri"/>
        </w:rPr>
      </w:pPr>
      <w:bookmarkStart w:id="107" w:name="_Toc214886791"/>
      <w:bookmarkStart w:id="108" w:name="_Toc220311617"/>
      <w:r>
        <w:rPr>
          <w:rFonts w:eastAsia="Calibri"/>
        </w:rPr>
        <w:t>Sociala faktorer</w:t>
      </w:r>
      <w:bookmarkEnd w:id="107"/>
      <w:bookmarkEnd w:id="108"/>
    </w:p>
    <w:p>
      <w:pPr>
        <w:pStyle w:val="P3"/>
      </w:pPr>
      <w:bookmarkStart w:id="109" w:name="_Toc214886792"/>
      <w:bookmarkStart w:id="110" w:name="_Toc220311618"/>
      <w:r>
        <w:t>Friytor</w:t>
      </w:r>
      <w:bookmarkEnd w:id="109"/>
      <w:bookmarkEnd w:id="110"/>
    </w:p>
    <w:p>
      <w:pPr>
        <w:spacing w:lineRule="auto" w:line="257" w:beforeAutospacing="0" w:afterAutospacing="0"/>
        <w:rPr>
          <w:rFonts w:cs="Arial"/>
        </w:rPr>
      </w:pPr>
      <w:bookmarkStart w:id="111" w:name="pf_sociala01"/>
      <w:r>
        <w:rPr>
          <w:rFonts w:cs="Arial" w:eastAsia="Calibri"/>
          <w:szCs w:val="24"/>
        </w:rPr>
        <w:t>För bostäder, lokaler för fritidshem, förskola, skola eller annan jämförlig verksamhet, ska det inom fastigheten eller i närheten av den finnas tillräckligt stor friyta som är lämplig för lek och utevistelse. Friyta definieras som markområde som inte är avsett för byggnader eller trafikanläggningar (exempelvis cykel- och bilparkering eller angöringsväg).</w:t>
      </w:r>
    </w:p>
    <w:p>
      <w:pPr>
        <w:spacing w:lineRule="auto" w:line="257" w:beforeAutospacing="0" w:afterAutospacing="0"/>
        <w:rPr>
          <w:rFonts w:cs="Arial"/>
        </w:rPr>
      </w:pPr>
      <w:r>
        <w:rPr>
          <w:rFonts w:cs="Arial" w:eastAsia="Calibri"/>
          <w:szCs w:val="24"/>
        </w:rPr>
        <w:t>Vid planläggning av bostadsmiljöer ska barns behov av friytor särskilt beaktas. Barnens möjligheter till säker och utvecklande lek och rekreation ska tillgodoses.</w:t>
      </w:r>
    </w:p>
    <w:p>
      <w:pPr>
        <w:spacing w:lineRule="auto" w:line="257" w:beforeAutospacing="0" w:afterAutospacing="0"/>
        <w:rPr>
          <w:rFonts w:cs="Arial"/>
        </w:rPr>
      </w:pPr>
      <w:r>
        <w:rPr>
          <w:rFonts w:cs="Arial" w:eastAsia="Calibri"/>
          <w:szCs w:val="24"/>
        </w:rPr>
        <w:t>Enligt Fördjupning för de centrala stadsdelarna (2011) finns riktlinjer för friyta på kvartersmark inom bostadsbebyggelse. Förutsättningarna för planområdet är därmed att:</w:t>
      </w:r>
    </w:p>
    <w:p>
      <w:pPr>
        <w:pStyle w:val="P16"/>
        <w:numPr>
          <w:ilvl w:val="0"/>
          <w:numId w:val="3"/>
        </w:numPr>
        <w:rPr>
          <w:rFonts w:cs="Arial" w:eastAsiaTheme="minorEastAsia"/>
          <w:szCs w:val="24"/>
        </w:rPr>
      </w:pPr>
      <w:r>
        <w:rPr>
          <w:rFonts w:cs="Arial" w:eastAsia="Calibri"/>
          <w:szCs w:val="24"/>
        </w:rPr>
        <w:t>Friytan ska ha ett skyddat läge för buller och avgaser.</w:t>
      </w:r>
    </w:p>
    <w:p>
      <w:pPr>
        <w:pStyle w:val="P16"/>
        <w:numPr>
          <w:ilvl w:val="0"/>
          <w:numId w:val="3"/>
        </w:numPr>
        <w:rPr>
          <w:rFonts w:cs="Arial" w:eastAsiaTheme="minorEastAsia"/>
          <w:szCs w:val="24"/>
        </w:rPr>
      </w:pPr>
      <w:r>
        <w:rPr>
          <w:rFonts w:cs="Arial" w:eastAsia="Calibri"/>
          <w:szCs w:val="24"/>
        </w:rPr>
        <w:t>Friytan ska innehålla buskar och träd samt ge en god rumsverkan och möjlighet att följa årstidsväxlingarna.</w:t>
      </w:r>
    </w:p>
    <w:p>
      <w:pPr>
        <w:pStyle w:val="P16"/>
        <w:numPr>
          <w:ilvl w:val="0"/>
          <w:numId w:val="3"/>
        </w:numPr>
        <w:rPr>
          <w:rFonts w:cs="Arial" w:eastAsiaTheme="minorEastAsia"/>
          <w:szCs w:val="24"/>
        </w:rPr>
      </w:pPr>
      <w:r>
        <w:rPr>
          <w:rFonts w:cs="Arial" w:eastAsia="Calibri"/>
          <w:szCs w:val="24"/>
        </w:rPr>
        <w:t>Barns behov av friyta ska särskilt beaktas.</w:t>
      </w:r>
    </w:p>
    <w:p>
      <w:pPr>
        <w:pStyle w:val="P16"/>
        <w:numPr>
          <w:ilvl w:val="0"/>
          <w:numId w:val="3"/>
        </w:numPr>
        <w:rPr>
          <w:rFonts w:cs="Arial" w:eastAsiaTheme="minorEastAsia"/>
          <w:szCs w:val="24"/>
        </w:rPr>
      </w:pPr>
      <w:r>
        <w:rPr>
          <w:rFonts w:cs="Arial" w:eastAsia="Calibri"/>
          <w:szCs w:val="24"/>
        </w:rPr>
        <w:t>Friytans storlek bör vara minst en tredjedel av bostädernas totala yta (m</w:t>
      </w:r>
      <w:r>
        <w:rPr>
          <w:rFonts w:cs="Arial" w:eastAsia="Calibri"/>
          <w:szCs w:val="24"/>
          <w:vertAlign w:val="superscript"/>
        </w:rPr>
        <w:t>2</w:t>
      </w:r>
      <w:r>
        <w:rPr>
          <w:rFonts w:cs="Arial" w:eastAsia="Calibri"/>
          <w:szCs w:val="24"/>
        </w:rPr>
        <w:t xml:space="preserve"> BTA). I centrumfyrkanten bör friytan vara minst en sjättedel av bostädernas totala yta (m</w:t>
      </w:r>
      <w:r>
        <w:rPr>
          <w:rFonts w:cs="Arial" w:eastAsia="Calibri"/>
          <w:szCs w:val="24"/>
          <w:vertAlign w:val="superscript"/>
        </w:rPr>
        <w:t>2</w:t>
      </w:r>
      <w:r>
        <w:rPr>
          <w:rFonts w:cs="Arial" w:eastAsia="Calibri"/>
          <w:szCs w:val="24"/>
        </w:rPr>
        <w:t xml:space="preserve"> BTA) om inte ytan kompenseras med andra åtgärder.</w:t>
      </w:r>
    </w:p>
    <w:p>
      <w:pPr>
        <w:pStyle w:val="P4"/>
        <w:rPr>
          <w:rFonts w:eastAsia="Calibri"/>
          <w:szCs w:val="24"/>
        </w:rPr>
      </w:pPr>
      <w:bookmarkEnd w:id="111"/>
      <w:r>
        <w:t xml:space="preserve">Konsekvenser </w:t>
      </w:r>
    </w:p>
    <w:p>
      <w:bookmarkStart w:id="112" w:name="ko_sociala01"/>
      <w:r>
        <w:t>Planförslaget begränsar byggrätten genom bestämmelsen om största byggnadsarea [</w:t>
      </w:r>
      <w:r>
        <w:rPr>
          <w:b w:val="1"/>
          <w:bCs w:val="1"/>
        </w:rPr>
        <w:t>e</w:t>
      </w:r>
      <w:r>
        <w:rPr>
          <w:b w:val="1"/>
          <w:bCs w:val="1"/>
          <w:vertAlign w:val="subscript"/>
        </w:rPr>
        <w:t>1</w:t>
      </w:r>
      <w:r>
        <w:t>]. Vid full utbyggnad kvarstår cirka 85 % av fastigheten som friyta, vilket bedöms som väl tillräckligt. Därutöver finns goda möjligheter till rekreation i planområdets närmiljö.</w:t>
      </w:r>
    </w:p>
    <w:p>
      <w:pPr>
        <w:pStyle w:val="P3"/>
      </w:pPr>
      <w:bookmarkEnd w:id="112"/>
      <w:bookmarkStart w:id="113" w:name="_Toc214886793"/>
      <w:bookmarkStart w:id="114" w:name="_Toc220311619"/>
      <w:r>
        <w:t>Ljusförhållanden</w:t>
      </w:r>
      <w:bookmarkEnd w:id="113"/>
      <w:bookmarkEnd w:id="114"/>
    </w:p>
    <w:p>
      <w:bookmarkStart w:id="115" w:name="pf_sociala02"/>
      <w:r>
        <w:t xml:space="preserve">Sol- och dagsljusförhållanden är en viktig miljöfaktor i ett övervägande kallt klimat och solvärmen är en god energitillgång under sommarhalvåret. Vid nybyggnation ställs krav på tillgång till dagsljus för rum eller avskiljbara delar av rum där människor vistas mer än tillfälligt. </w:t>
      </w:r>
    </w:p>
    <w:p>
      <w:pPr>
        <w:rPr>
          <w:szCs w:val="24"/>
        </w:rPr>
      </w:pPr>
      <w:r>
        <w:rPr>
          <w:szCs w:val="24"/>
        </w:rPr>
        <w:t xml:space="preserve">De krav på tillgång till dagsljus som ställs i BBR är dock endast motiverade av kravet i plan- och bygglagen, på att byggnadsverk inte ska ge upphov till oacceptabla risker för hälsan. </w:t>
      </w:r>
    </w:p>
    <w:p>
      <w:r>
        <w:t>Planområdet är redan bebyggt med en villa i en och en halv våning och avgränsas från grannfastigheter genom vegetation i form av buskage och höga barrträd.</w:t>
      </w:r>
    </w:p>
    <w:p>
      <w:pPr>
        <w:pStyle w:val="P4"/>
      </w:pPr>
      <w:bookmarkEnd w:id="115"/>
      <w:r>
        <w:t xml:space="preserve">Konsekvenser </w:t>
      </w:r>
    </w:p>
    <w:p>
      <w:bookmarkStart w:id="116" w:name="ko_sociala02"/>
      <w:r>
        <w:t>Området omges av vegetation och höga barrträd som överstiger planförslagets reglering om högsta nockhöjd, 10 meter [</w:t>
      </w:r>
      <w:r>
        <w:rPr>
          <w:b w:val="1"/>
          <w:bCs w:val="1"/>
        </w:rPr>
        <w:t>h</w:t>
      </w:r>
      <w:r>
        <w:rPr>
          <w:b w:val="1"/>
          <w:bCs w:val="1"/>
          <w:vertAlign w:val="subscript"/>
        </w:rPr>
        <w:t>1</w:t>
      </w:r>
      <w:r>
        <w:t>]. Trädridån avgränsar fastigheten tydligt mot angränsande fastigheter. Bedömningen är därför att den nya byggnaden varken kommer att skugga eller skuggas av befintlig bebyggelse.</w:t>
      </w:r>
    </w:p>
    <w:p>
      <w:pPr>
        <w:pStyle w:val="P3"/>
      </w:pPr>
      <w:bookmarkEnd w:id="116"/>
      <w:bookmarkStart w:id="117" w:name="_Toc214886794"/>
      <w:bookmarkStart w:id="118" w:name="_Toc220311620"/>
      <w:r>
        <w:t>Barnperspektiv</w:t>
      </w:r>
      <w:bookmarkEnd w:id="117"/>
      <w:bookmarkEnd w:id="118"/>
    </w:p>
    <w:p>
      <w:pPr>
        <w:rPr>
          <w:rFonts w:cs="Arial"/>
        </w:rPr>
      </w:pPr>
      <w:bookmarkStart w:id="119" w:name="pf_sociala03"/>
      <w:r>
        <w:rPr>
          <w:rFonts w:cs="Arial"/>
        </w:rPr>
        <w:t xml:space="preserve">Barnkonventionen blev svensk lag 1 januari 2020 och ska därmed införlivas i samhällsplaneringen. </w:t>
      </w:r>
    </w:p>
    <w:p>
      <w:pPr>
        <w:rPr>
          <w:rFonts w:cs="Arial"/>
          <w:color w:val="000000"/>
        </w:rPr>
      </w:pPr>
      <w:r>
        <w:rPr>
          <w:rFonts w:cs="Arial"/>
          <w:color w:val="000000"/>
        </w:rPr>
        <w:t xml:space="preserve">Konventionen syftar till att säkerställa alla barns mänskliga rättigheter. Lagen innebär att för varje beslut som får påtagliga, direkta eller indirekta konsekvenser för barn ska en bedömning av vad som är barns bästa göras (art. 3). Om det finns mer än ett alternativ ska den lösning väljas som bäst tillgodoser barns bästa. Bedömningen av vad som är barns bästa ska baseras på bland annat beprövad erfarenhet, forskning och nationella riktlinjer, men även på barns egna åsikter. </w:t>
      </w:r>
    </w:p>
    <w:p>
      <w:pPr>
        <w:rPr>
          <w:rFonts w:cs="Arial"/>
          <w:color w:val="000000"/>
        </w:rPr>
      </w:pPr>
      <w:r>
        <w:rPr>
          <w:rFonts w:cs="Arial"/>
          <w:color w:val="000000"/>
        </w:rPr>
        <w:t>Barnkonventionen innefattar även krav på barns delaktighet och inflytande i de beslut som får konsekvenser för barn (art. 12) samt krav på att inga barn får diskrimineras på grund av t ex funktionshinder eller språkkunskaper (art. 2). Därutöver har barn, enligt barnkonventionen, även rätt till bland annat goda förutsättningar för en optimal utveckling, en trygg och säker uppväxt, utbildning samt rätt till vila och lek.</w:t>
      </w:r>
    </w:p>
    <w:p>
      <w:r>
        <w:t>Bostadsfastigheten erbjuder ytor för utomhusvistelse av hög kvalitet, med grönska, terräng och lekytor. Den ligger dessutom i direkt anslutning till naturmark och vatten, vilket är en värdefull kvalitet för barn i området.</w:t>
      </w:r>
    </w:p>
    <w:p>
      <w:r>
        <w:t>Området saknar genomfartstrafik. Närmaste kollektivtrafik är busslinje 14, som trafikerar väg 719 mellan centrala Härnösand och Solumshamn.</w:t>
      </w:r>
    </w:p>
    <w:p>
      <w:pPr>
        <w:pStyle w:val="P4"/>
      </w:pPr>
      <w:bookmarkEnd w:id="119"/>
      <w:r>
        <w:t>Konsekvenser</w:t>
      </w:r>
    </w:p>
    <w:p>
      <w:pPr>
        <w:rPr>
          <w:color w:val="FF0000"/>
        </w:rPr>
      </w:pPr>
      <w:bookmarkStart w:id="120" w:name="ko_sociala03"/>
      <w:r>
        <w:rPr>
          <w:rFonts w:cs="Arial" w:eastAsia="Calibri"/>
          <w:szCs w:val="24"/>
        </w:rPr>
        <w:t>Ingen förändring.</w:t>
      </w:r>
    </w:p>
    <w:p>
      <w:pPr>
        <w:spacing w:after="160" w:beforeAutospacing="0" w:afterAutospacing="0"/>
        <w:rPr>
          <w:rFonts w:cs="Arial" w:eastAsia="Times New Roman"/>
          <w:b w:val="1"/>
          <w:i w:val="1"/>
          <w:bCs w:val="1"/>
          <w:color w:val="2F5496" w:themeColor="accent1" w:themeShade="BF"/>
          <w:szCs w:val="26"/>
        </w:rPr>
      </w:pPr>
      <w:bookmarkEnd w:id="120"/>
      <w:r>
        <w:br w:type="page"/>
      </w:r>
    </w:p>
    <w:p>
      <w:pPr>
        <w:pStyle w:val="P3"/>
      </w:pPr>
      <w:bookmarkStart w:id="121" w:name="_Toc214886795"/>
      <w:bookmarkStart w:id="122" w:name="_Toc220311621"/>
      <w:r>
        <w:t>Tillgänglighet, trygghet och jämställdhet</w:t>
      </w:r>
      <w:bookmarkEnd w:id="121"/>
      <w:bookmarkEnd w:id="122"/>
    </w:p>
    <w:p>
      <w:pPr>
        <w:rPr>
          <w:rFonts w:cs="Arial"/>
        </w:rPr>
      </w:pPr>
      <w:bookmarkStart w:id="123" w:name="pf_sociala04"/>
      <w:r>
        <w:rPr>
          <w:rFonts w:cs="Arial"/>
        </w:rPr>
        <w:t>Att känna sig trygg och kunna röra sig fritt är en demokratisk rättighet för alla människor. Alla ytor ska göras tillgängliga, trygga och användbara för alla grupper av människor så långt det är möjligt, inom rimliga kostnader. Hinder för tillgänglighet kan, beroende på vem du är, finnas i allt från den fysiska miljön till platsens upplevda trygghet. Det är viktigt att identifiera aspekter som kan skada tillgängligheten för vissa för att skapa rum för så många som möjligt.</w:t>
      </w:r>
    </w:p>
    <w:p>
      <w:pPr>
        <w:rPr>
          <w:rFonts w:cs="Arial" w:eastAsia="Calibri"/>
        </w:rPr>
      </w:pPr>
      <w:r>
        <w:rPr>
          <w:rFonts w:cs="Arial" w:eastAsia="Calibri"/>
        </w:rPr>
        <w:t xml:space="preserve">Byggnader och lokaler ska vara tillgängliga och användbara för personer med nedsatt rörelse- eller orienteringsförmåga. Vid nybyggnation av bostäder ska alla lägenheter belägna högre upp än två våningsplan ha tillgång till hiss. Nybyggda entréer ska vara tillgängliga och angöringsavstånden får inte överstiga 25 meter. Markplaneringen ska utföras så att personer med nedsatt rörelse- eller orienteringsförmåga kan nå målpunkter som entréer m.m. utan problem. </w:t>
      </w:r>
    </w:p>
    <w:p>
      <w:r>
        <w:t>Marken inom planområdet sluttar ned mot Södra sundet med en lutning på cirka 8,5 grader. Området består främst av gräsyta med vegetation i form av buskage och större barrträd med inslag av stenpartier.</w:t>
      </w:r>
    </w:p>
    <w:p>
      <w:pPr>
        <w:pStyle w:val="P4"/>
      </w:pPr>
      <w:bookmarkEnd w:id="123"/>
      <w:r>
        <w:t>Konsekvenser</w:t>
      </w:r>
    </w:p>
    <w:p>
      <w:pPr>
        <w:rPr>
          <w:rFonts w:cs="Arial" w:eastAsia="Calibri"/>
          <w:szCs w:val="24"/>
        </w:rPr>
      </w:pPr>
      <w:bookmarkStart w:id="124" w:name="ko_sociala04"/>
      <w:r>
        <w:rPr>
          <w:rFonts w:cs="Arial" w:eastAsia="Calibri"/>
          <w:szCs w:val="24"/>
        </w:rPr>
        <w:t xml:space="preserve">Planförslaget bekräftar redan befintlig markanvändning. </w:t>
      </w:r>
      <w:r>
        <w:t>Krav på tillgänglighet enligt 8 kap. plan- och bygglagen ska tillgodoses i bygglovsskedet.</w:t>
      </w:r>
    </w:p>
    <w:p>
      <w:pPr>
        <w:spacing w:after="160" w:beforeAutospacing="0" w:afterAutospacing="0"/>
        <w:rPr>
          <w:rFonts w:cs="Times New Roman" w:eastAsia="Times New Roman"/>
          <w:b w:val="1"/>
          <w:bCs w:val="1"/>
          <w:iCs w:val="1"/>
          <w:color w:val="2F5496" w:themeColor="accent1" w:themeShade="BF"/>
          <w:sz w:val="28"/>
          <w:szCs w:val="28"/>
          <w:lang w:eastAsia="sv-SE"/>
        </w:rPr>
      </w:pPr>
      <w:r>
        <w:br w:type="page"/>
      </w:r>
    </w:p>
    <w:p>
      <w:pPr>
        <w:pStyle w:val="P2"/>
      </w:pPr>
      <w:bookmarkEnd w:id="124"/>
      <w:bookmarkStart w:id="125" w:name="_Toc214886796"/>
      <w:bookmarkStart w:id="126" w:name="_Toc220311622"/>
      <w:r>
        <w:t>Kommunikationer</w:t>
      </w:r>
      <w:bookmarkEnd w:id="125"/>
      <w:bookmarkEnd w:id="126"/>
    </w:p>
    <w:p>
      <w:pPr>
        <w:pStyle w:val="P3"/>
      </w:pPr>
      <w:bookmarkStart w:id="127" w:name="_Toc214886797"/>
      <w:bookmarkStart w:id="128" w:name="_Toc220311623"/>
      <w:r>
        <w:t>Gång- och cykeltrafik</w:t>
      </w:r>
      <w:bookmarkEnd w:id="127"/>
      <w:bookmarkEnd w:id="128"/>
    </w:p>
    <w:p>
      <w:pPr>
        <w:spacing w:lineRule="auto" w:line="257" w:beforeAutospacing="0" w:afterAutospacing="0"/>
        <w:rPr>
          <w:rFonts w:cs="Arial" w:eastAsia="Calibri"/>
          <w:szCs w:val="24"/>
        </w:rPr>
      </w:pPr>
      <w:bookmarkStart w:id="129" w:name="pf_trafik01"/>
      <w:r>
        <w:rPr>
          <w:rFonts w:cs="Arial" w:eastAsia="Calibri"/>
          <w:szCs w:val="24"/>
        </w:rPr>
        <w:t xml:space="preserve">Det finns inga gång- och cykelvägar inom eller i anslutning till planområdet. </w:t>
      </w:r>
    </w:p>
    <w:p>
      <w:pPr>
        <w:pStyle w:val="P4"/>
        <w:rPr>
          <w:rFonts w:eastAsia="Calibri"/>
          <w:szCs w:val="24"/>
        </w:rPr>
      </w:pPr>
      <w:bookmarkEnd w:id="129"/>
      <w:r>
        <w:t xml:space="preserve">Konsekvenser </w:t>
      </w:r>
    </w:p>
    <w:p>
      <w:pPr>
        <w:spacing w:lineRule="auto" w:line="257" w:beforeAutospacing="0" w:afterAutospacing="0"/>
        <w:rPr>
          <w:rFonts w:cs="Arial" w:eastAsia="Calibri"/>
          <w:szCs w:val="24"/>
        </w:rPr>
      </w:pPr>
      <w:bookmarkStart w:id="130" w:name="ko_trafik01"/>
      <w:r>
        <w:rPr>
          <w:rFonts w:cs="Arial" w:eastAsia="Calibri"/>
          <w:szCs w:val="24"/>
        </w:rPr>
        <w:t>Ingen förändring.</w:t>
      </w:r>
    </w:p>
    <w:p>
      <w:pPr>
        <w:pStyle w:val="P3"/>
      </w:pPr>
      <w:bookmarkEnd w:id="130"/>
      <w:bookmarkStart w:id="131" w:name="_Toc214886798"/>
      <w:bookmarkStart w:id="132" w:name="_Toc220311624"/>
      <w:r>
        <w:t>Kollektivtrafik</w:t>
      </w:r>
      <w:bookmarkEnd w:id="131"/>
      <w:bookmarkEnd w:id="132"/>
    </w:p>
    <w:p>
      <w:pPr>
        <w:rPr>
          <w:i w:val="1"/>
          <w:iCs w:val="1"/>
        </w:rPr>
      </w:pPr>
      <w:bookmarkStart w:id="133" w:name="pf_trafik02"/>
      <w:r>
        <w:t>Det finns ingen kollektivtrafik inom eller i direkt anslutning till planområdet. Närmaste busstrafik är linje 14, som trafikerar väg 719 mellan centrala Härnösand och Solumshamn. Avståndet från planområdet till hållplatsen vid väg 719 är cirka 0,8 kilometer.</w:t>
      </w:r>
    </w:p>
    <w:p>
      <w:pPr>
        <w:pStyle w:val="P4"/>
        <w:rPr>
          <w:rFonts w:eastAsia="Calibri"/>
          <w:szCs w:val="24"/>
        </w:rPr>
      </w:pPr>
      <w:bookmarkEnd w:id="133"/>
      <w:r>
        <w:t xml:space="preserve">Konsekvenser </w:t>
      </w:r>
    </w:p>
    <w:p>
      <w:pPr>
        <w:spacing w:lineRule="auto" w:line="257" w:beforeAutospacing="0" w:afterAutospacing="0"/>
        <w:rPr>
          <w:rFonts w:cs="Arial" w:eastAsia="Calibri"/>
          <w:szCs w:val="24"/>
        </w:rPr>
      </w:pPr>
      <w:bookmarkStart w:id="134" w:name="ko_trafik02"/>
      <w:r>
        <w:rPr>
          <w:rFonts w:cs="Arial" w:eastAsia="Calibri"/>
          <w:szCs w:val="24"/>
        </w:rPr>
        <w:t xml:space="preserve">Ingen förändring. </w:t>
      </w:r>
    </w:p>
    <w:p>
      <w:pPr>
        <w:pStyle w:val="P3"/>
      </w:pPr>
      <w:bookmarkEnd w:id="134"/>
      <w:bookmarkStart w:id="135" w:name="_Toc214886799"/>
      <w:bookmarkStart w:id="136" w:name="_Toc220311625"/>
      <w:r>
        <w:t>Fordonstrafik</w:t>
      </w:r>
      <w:bookmarkEnd w:id="135"/>
      <w:bookmarkEnd w:id="136"/>
    </w:p>
    <w:p>
      <w:bookmarkStart w:id="137" w:name="pf_trafik03"/>
      <w:r>
        <w:t>Angöring till planområdet samt grannfastigheter sker via en enskilt ägd grusväg, cirka 4,5 meter bred, utan mittlinje eller trottoarer. Vägen ansluter till väg 719, som är en kommunal gata med kommunalt huvudmannaskap och en bredd på cirka 6 meter.</w:t>
      </w:r>
    </w:p>
    <w:p>
      <w:pPr>
        <w:pStyle w:val="P4"/>
      </w:pPr>
      <w:bookmarkEnd w:id="137"/>
      <w:r>
        <w:t xml:space="preserve">Konsekvenser </w:t>
      </w:r>
    </w:p>
    <w:p>
      <w:pPr>
        <w:spacing w:lineRule="auto" w:line="257" w:beforeAutospacing="0" w:afterAutospacing="0"/>
        <w:rPr>
          <w:rFonts w:cs="Arial" w:eastAsia="Calibri"/>
          <w:szCs w:val="24"/>
        </w:rPr>
      </w:pPr>
      <w:bookmarkStart w:id="138" w:name="ko_trafik03"/>
      <w:r>
        <w:rPr>
          <w:rFonts w:cs="Arial" w:eastAsia="Calibri"/>
          <w:szCs w:val="24"/>
        </w:rPr>
        <w:t xml:space="preserve">Ingen förändring. </w:t>
      </w:r>
    </w:p>
    <w:p>
      <w:pPr>
        <w:pStyle w:val="P3"/>
      </w:pPr>
      <w:bookmarkEnd w:id="138"/>
      <w:bookmarkStart w:id="139" w:name="_Toc214886800"/>
      <w:bookmarkStart w:id="140" w:name="_Toc220311626"/>
      <w:r>
        <w:t>Parkering, varumottagning och angöring</w:t>
      </w:r>
      <w:bookmarkEnd w:id="139"/>
      <w:bookmarkEnd w:id="140"/>
    </w:p>
    <w:p>
      <w:pPr>
        <w:spacing w:lineRule="auto" w:line="257" w:beforeAutospacing="0" w:afterAutospacing="0"/>
        <w:rPr>
          <w:rFonts w:cs="Arial" w:eastAsia="Calibri"/>
          <w:color w:val="007AC8"/>
          <w:szCs w:val="24"/>
        </w:rPr>
      </w:pPr>
      <w:bookmarkStart w:id="141" w:name="pf_trafik04"/>
      <w:r>
        <w:rPr>
          <w:rFonts w:cs="Arial" w:eastAsia="Calibri"/>
          <w:szCs w:val="24"/>
        </w:rPr>
        <w:t>Parkering sker idag inom den enskilda fastigheten. Angöring till planområdet sker via en enskild väg som även används till angränsande fastigheter.</w:t>
      </w:r>
    </w:p>
    <w:p>
      <w:pPr>
        <w:pStyle w:val="P4"/>
        <w:rPr>
          <w:rFonts w:eastAsia="Calibri"/>
          <w:szCs w:val="24"/>
        </w:rPr>
      </w:pPr>
      <w:bookmarkEnd w:id="141"/>
      <w:r>
        <w:t xml:space="preserve">Konsekvenser </w:t>
      </w:r>
    </w:p>
    <w:p>
      <w:pPr>
        <w:spacing w:lineRule="auto" w:line="257" w:beforeAutospacing="0" w:afterAutospacing="0"/>
        <w:rPr>
          <w:rFonts w:cs="Arial" w:eastAsia="Calibri"/>
        </w:rPr>
      </w:pPr>
      <w:bookmarkStart w:id="142" w:name="ko_sociala05"/>
      <w:r>
        <w:rPr>
          <w:rFonts w:cs="Arial" w:eastAsia="Calibri"/>
        </w:rPr>
        <w:t xml:space="preserve">Parkeringsbehovet ska lösas inom den egna fastigheten och ska redovisas vid ansökan om bygglov, där den vid tidpunkten gällande parkeringsnormen tillämpas. </w:t>
      </w:r>
    </w:p>
    <w:p>
      <w:pPr>
        <w:spacing w:lineRule="auto" w:line="257" w:beforeAutospacing="0" w:afterAutospacing="0"/>
        <w:rPr>
          <w:rFonts w:cs="Arial" w:eastAsia="Calibri"/>
          <w:color w:val="00A01E"/>
        </w:rPr>
      </w:pPr>
      <w:bookmarkEnd w:id="142"/>
    </w:p>
    <w:p>
      <w:pPr>
        <w:spacing w:after="160" w:beforeAutospacing="0" w:afterAutospacing="0"/>
        <w:rPr>
          <w:rFonts w:cs="Times New Roman" w:eastAsia="Calibri"/>
          <w:b w:val="1"/>
          <w:bCs w:val="1"/>
          <w:iCs w:val="1"/>
          <w:color w:val="2F5496" w:themeColor="accent1" w:themeShade="BF"/>
          <w:sz w:val="28"/>
          <w:szCs w:val="28"/>
          <w:lang w:eastAsia="sv-SE"/>
        </w:rPr>
      </w:pPr>
      <w:r>
        <w:rPr>
          <w:rFonts w:eastAsia="Calibri"/>
        </w:rPr>
        <w:br w:type="page"/>
      </w:r>
    </w:p>
    <w:p>
      <w:pPr>
        <w:pStyle w:val="P2"/>
        <w:rPr>
          <w:rFonts w:eastAsia="Calibri"/>
        </w:rPr>
      </w:pPr>
      <w:bookmarkStart w:id="143" w:name="_Toc214886801"/>
      <w:bookmarkStart w:id="144" w:name="_Toc220311627"/>
      <w:r>
        <w:rPr>
          <w:rFonts w:eastAsia="Calibri"/>
        </w:rPr>
        <w:t>Hälsa och säkerhet</w:t>
      </w:r>
      <w:bookmarkEnd w:id="143"/>
      <w:bookmarkEnd w:id="144"/>
    </w:p>
    <w:p>
      <w:pPr>
        <w:pStyle w:val="P3"/>
      </w:pPr>
      <w:bookmarkStart w:id="145" w:name="_Toc214886802"/>
      <w:bookmarkStart w:id="146" w:name="_Toc220311628"/>
      <w:r>
        <w:t>Risk för översvämning och skyfall</w:t>
      </w:r>
      <w:bookmarkEnd w:id="145"/>
      <w:bookmarkEnd w:id="146"/>
    </w:p>
    <w:p>
      <w:bookmarkStart w:id="147" w:name="pf_riskföröversvämning01"/>
      <w:r>
        <w:t xml:space="preserve">Planområdet är bebyggt med en komplementbyggnad och ett bostadshus om cirka 65 m², vilket motsvarar att 3,2 % av fastighetsytan är bebyggd. Resterande mark inklusive den grusade parkeringsplatsen fungerar som naturlig infiltrationsyta för dagvatten. </w:t>
      </w:r>
    </w:p>
    <w:p>
      <w:r>
        <w:rPr>
          <w:noProof w:val="1"/>
          <w:color w:val="FF0000"/>
        </w:rPr>
        <mc:AlternateContent>
          <mc:Choice Requires="wps">
            <w:drawing>
              <wp:anchor xmlns:wp="http://schemas.openxmlformats.org/drawingml/2006/wordprocessingDrawing" distT="0" distB="0" distL="114300" distR="114300" simplePos="0" relativeHeight="13" behindDoc="0" locked="0" layoutInCell="1" allowOverlap="1">
                <wp:simplePos x="0" y="0"/>
                <wp:positionH relativeFrom="column">
                  <wp:posOffset>778510</wp:posOffset>
                </wp:positionH>
                <wp:positionV relativeFrom="paragraph">
                  <wp:posOffset>2836545</wp:posOffset>
                </wp:positionV>
                <wp:extent cx="746760" cy="502285"/>
                <wp:effectExtent l="19050" t="19050" r="34290" b="12065"/>
                <wp:wrapNone/>
                <wp:docPr id="17" name="Rektangel 17"/>
                <wp:cNvGraphicFramePr/>
                <a:graphic xmlns:a="http://schemas.openxmlformats.org/drawingml/2006/main">
                  <a:graphicData uri="http://schemas.microsoft.com/office/word/2010/wordprocessingShape">
                    <wps:wsp>
                      <wps:cNvSpPr/>
                      <wps:spPr>
                        <a:xfrm>
                          <a:off x="0" y="0"/>
                          <a:ext cx="746767" cy="502580"/>
                        </a:xfrm>
                        <a:custGeom>
                          <a:gdLst>
                            <a:gd name="connsiteX0" fmla="*/ 0 w 669290"/>
                            <a:gd name="connsiteY0" fmla="*/ 0 h 308610"/>
                            <a:gd name="connsiteX1" fmla="*/ 669290 w 669290"/>
                            <a:gd name="connsiteY1" fmla="*/ 0 h 308610"/>
                            <a:gd name="connsiteX2" fmla="*/ 669290 w 669290"/>
                            <a:gd name="connsiteY2" fmla="*/ 308610 h 308610"/>
                            <a:gd name="connsiteX3" fmla="*/ 0 w 669290"/>
                            <a:gd name="connsiteY3" fmla="*/ 308610 h 308610"/>
                            <a:gd name="connsiteX4" fmla="*/ 0 w 669290"/>
                            <a:gd name="connsiteY4" fmla="*/ 0 h 308610"/>
                            <a:gd name="connsiteX0" fmla="*/ 45076 w 714366"/>
                            <a:gd name="connsiteY0" fmla="*/ 0 h 501793"/>
                            <a:gd name="connsiteX1" fmla="*/ 714366 w 714366"/>
                            <a:gd name="connsiteY1" fmla="*/ 0 h 501793"/>
                            <a:gd name="connsiteX2" fmla="*/ 714366 w 714366"/>
                            <a:gd name="connsiteY2" fmla="*/ 308610 h 501793"/>
                            <a:gd name="connsiteX3" fmla="*/ 0 w 714366"/>
                            <a:gd name="connsiteY3" fmla="*/ 501793 h 501793"/>
                            <a:gd name="connsiteX4" fmla="*/ 45076 w 714366"/>
                            <a:gd name="connsiteY4" fmla="*/ 0 h 501793"/>
                            <a:gd name="connsiteX0" fmla="*/ 45076 w 714366"/>
                            <a:gd name="connsiteY0" fmla="*/ 0 h 501793"/>
                            <a:gd name="connsiteX1" fmla="*/ 714366 w 714366"/>
                            <a:gd name="connsiteY1" fmla="*/ 0 h 501793"/>
                            <a:gd name="connsiteX2" fmla="*/ 714366 w 714366"/>
                            <a:gd name="connsiteY2" fmla="*/ 308610 h 501793"/>
                            <a:gd name="connsiteX3" fmla="*/ 0 w 714366"/>
                            <a:gd name="connsiteY3" fmla="*/ 501793 h 501793"/>
                            <a:gd name="connsiteX4" fmla="*/ 26010 w 714366"/>
                            <a:gd name="connsiteY4" fmla="*/ 218599 h 501793"/>
                            <a:gd name="connsiteX5" fmla="*/ 45076 w 714366"/>
                            <a:gd name="connsiteY5" fmla="*/ 0 h 501793"/>
                            <a:gd name="connsiteX0" fmla="*/ 57702 w 726992"/>
                            <a:gd name="connsiteY0" fmla="*/ 0 h 501793"/>
                            <a:gd name="connsiteX1" fmla="*/ 726992 w 726992"/>
                            <a:gd name="connsiteY1" fmla="*/ 0 h 501793"/>
                            <a:gd name="connsiteX2" fmla="*/ 726992 w 726992"/>
                            <a:gd name="connsiteY2" fmla="*/ 308610 h 501793"/>
                            <a:gd name="connsiteX3" fmla="*/ 12626 w 726992"/>
                            <a:gd name="connsiteY3" fmla="*/ 501793 h 501793"/>
                            <a:gd name="connsiteX4" fmla="*/ 0 w 726992"/>
                            <a:gd name="connsiteY4" fmla="*/ 270063 h 501793"/>
                            <a:gd name="connsiteX5" fmla="*/ 57702 w 726992"/>
                            <a:gd name="connsiteY5" fmla="*/ 0 h 501793"/>
                            <a:gd name="connsiteX0" fmla="*/ 57702 w 726992"/>
                            <a:gd name="connsiteY0" fmla="*/ 0 h 501793"/>
                            <a:gd name="connsiteX1" fmla="*/ 720554 w 726992"/>
                            <a:gd name="connsiteY1" fmla="*/ 115796 h 501793"/>
                            <a:gd name="connsiteX2" fmla="*/ 726992 w 726992"/>
                            <a:gd name="connsiteY2" fmla="*/ 308610 h 501793"/>
                            <a:gd name="connsiteX3" fmla="*/ 12626 w 726992"/>
                            <a:gd name="connsiteY3" fmla="*/ 501793 h 501793"/>
                            <a:gd name="connsiteX4" fmla="*/ 0 w 726992"/>
                            <a:gd name="connsiteY4" fmla="*/ 270063 h 501793"/>
                            <a:gd name="connsiteX5" fmla="*/ 57702 w 726992"/>
                            <a:gd name="connsiteY5" fmla="*/ 0 h 501793"/>
                            <a:gd name="connsiteX0" fmla="*/ 57702 w 746308"/>
                            <a:gd name="connsiteY0" fmla="*/ 0 h 501793"/>
                            <a:gd name="connsiteX1" fmla="*/ 720554 w 746308"/>
                            <a:gd name="connsiteY1" fmla="*/ 115796 h 501793"/>
                            <a:gd name="connsiteX2" fmla="*/ 746308 w 746308"/>
                            <a:gd name="connsiteY2" fmla="*/ 501793 h 501793"/>
                            <a:gd name="connsiteX3" fmla="*/ 12626 w 746308"/>
                            <a:gd name="connsiteY3" fmla="*/ 501793 h 501793"/>
                            <a:gd name="connsiteX4" fmla="*/ 0 w 746308"/>
                            <a:gd name="connsiteY4" fmla="*/ 270063 h 501793"/>
                            <a:gd name="connsiteX5" fmla="*/ 57702 w 746308"/>
                            <a:gd name="connsiteY5" fmla="*/ 0 h 501793"/>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46308" h="501793">
                              <a:moveTo>
                                <a:pt x="57702" y="0"/>
                              </a:moveTo>
                              <a:lnTo>
                                <a:pt x="720554" y="115796"/>
                              </a:lnTo>
                              <a:lnTo>
                                <a:pt x="746308" y="501793"/>
                              </a:lnTo>
                              <a:lnTo>
                                <a:pt x="12626" y="501793"/>
                              </a:lnTo>
                              <a:lnTo>
                                <a:pt x="0" y="270063"/>
                              </a:lnTo>
                              <a:lnTo>
                                <a:pt x="57702" y="0"/>
                              </a:lnTo>
                              <a:close/>
                            </a:path>
                          </a:pathLst>
                        </a:custGeom>
                        <a:noFill/>
                        <a:ln w="19050">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Rektangel 17" o:spid="_x0000_s1034" style="position:absolute;width:58.8pt;height:39.55pt;z-index:13;mso-wrap-distance-left:9pt;mso-wrap-distance-top:0pt;mso-wrap-distance-right:9pt;mso-wrap-distance-bottom:0pt;margin-left:61.3pt;margin-top:223.35pt;mso-position-horizontal:absolute;mso-position-horizontal-relative:text;mso-position-vertical:absolute;mso-position-vertical-relative:text;v-text-anchor:middle" o:allowincell="t" filled="f" strokecolor="#000000" strokeweight="1.5pt" stroked="t" coordsize="1176,791" path="m57702,0l720554,115796,746308,501793,12626,501793,,270063,57702,,xe">
                <v:textbox inset="3mm,1mm,3mm,1mm">
                  <w:txbxContent>
                    <w:p/>
                  </w:txbxContent>
                </v:textbox>
                <v:stroke dashstyle="shortdash"/>
              </v:shape>
            </w:pict>
          </mc:Fallback>
        </mc:AlternateContent>
      </w:r>
      <w:r>
        <w:rPr>
          <w:noProof w:val="1"/>
        </w:rPr>
        <mc:AlternateContent>
          <mc:Choice Requires="wps">
            <w:drawing>
              <wp:anchor xmlns:wp="http://schemas.openxmlformats.org/drawingml/2006/wordprocessingDrawing" distT="45720" distB="45720" distL="114300" distR="114300" simplePos="0" relativeHeight="16" behindDoc="0" locked="0" layoutInCell="1" allowOverlap="1">
                <wp:simplePos x="0" y="0"/>
                <wp:positionH relativeFrom="column">
                  <wp:posOffset>3555365</wp:posOffset>
                </wp:positionH>
                <wp:positionV relativeFrom="paragraph">
                  <wp:posOffset>2426335</wp:posOffset>
                </wp:positionV>
                <wp:extent cx="250825" cy="1404620"/>
                <wp:effectExtent l="0" t="0" r="0" b="2540"/>
                <wp:wrapNone/>
                <wp:docPr id="20" name="Textruta 2"/>
                <wp:cNvGraphicFramePr/>
                <a:graphic xmlns:a="http://schemas.openxmlformats.org/drawingml/2006/main">
                  <a:graphicData uri="http://schemas.microsoft.com/office/word/2010/wordprocessingShape">
                    <wps:wsp>
                      <wps:cNvSpPr txBox="1">
                        <a:spLocks noChangeArrowheads="1"/>
                      </wps:cNvSpPr>
                      <wps:spPr bwMode="auto">
                        <a:xfrm>
                          <a:off x="0" y="0"/>
                          <a:ext cx="250825" cy="1404620"/>
                        </a:xfrm>
                        <a:prstGeom prst="rect"/>
                        <a:no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b w:val="1"/>
                                <w:bCs w:val="1"/>
                                <w:color w:val="2F5496" w:themeColor="accent1" w:themeShade="BF"/>
                                <w:sz w:val="26"/>
                                <w:szCs w:val="26"/>
                              </w:rPr>
                            </w:pPr>
                            <w:r>
                              <w:rPr>
                                <w:b w:val="1"/>
                                <w:bCs w:val="1"/>
                                <w:color w:val="2F5496" w:themeColor="accent1" w:themeShade="BF"/>
                                <w:sz w:val="26"/>
                                <w:szCs w:val="26"/>
                              </w:rPr>
                              <w:t>1</w:t>
                            </w:r>
                          </w:p>
                        </w:txbxContent>
                      </wps:txbx>
                      <wps:bodyPr rot="0" vert="horz" wrap="square" lIns="91440" tIns="45720" rIns="91440" bIns="45720" anchor="t" anchorCtr="0">
                        <a:spAutoFit/>
                      </wps:bodyPr>
                    </wps:wsp>
                  </a:graphicData>
                </a:graphic>
                <wp14:sizeRelV relativeFrom="margin">
                  <wp14:pctHeight>20000</wp14:pctHeight>
                </wp14:sizeRelV>
              </wp:anchor>
            </w:drawing>
          </mc:Choice>
          <mc:Fallback>
            <w:pict>
              <v:shape xmlns:o="urn:schemas-microsoft-com:office:office" type="#_x0000_t202" id="Textruta 2" o:spid="_x0000_s1035" style="position:absolute;width:19.75pt;height:110.6pt;z-index:16;mso-wrap-distance-left:9pt;mso-wrap-distance-top:3.6pt;mso-wrap-distance-right:9pt;mso-wrap-distance-bottom:3.6pt;margin-left:279.95pt;margin-top:191.05pt;mso-position-horizontal:absolute;mso-position-horizontal-relative:text;mso-position-vertical:absolute;mso-position-vertical-relative:text;mso-height-relative:margin;mso-height-percent:200" o:allowincell="t" filled="f" strokeweight="0.75pt" stroked="f">
                <v:textbox style="mso-fit-shape-to-text:t" inset="3mm,1mm,3mm,1mm">
                  <w:txbxContent>
                    <w:p>
                      <w:pPr>
                        <w:rPr>
                          <w:b w:val="1"/>
                          <w:bCs w:val="1"/>
                          <w:color w:val="2F5496" w:themeColor="accent1" w:themeShade="BF"/>
                          <w:sz w:val="26"/>
                          <w:szCs w:val="26"/>
                        </w:rPr>
                      </w:pPr>
                      <w:r>
                        <w:rPr>
                          <w:b w:val="1"/>
                          <w:bCs w:val="1"/>
                          <w:color w:val="2F5496" w:themeColor="accent1" w:themeShade="BF"/>
                          <w:sz w:val="26"/>
                          <w:szCs w:val="26"/>
                        </w:rPr>
                        <w:t>1</w:t>
                      </w:r>
                    </w:p>
                  </w:txbxContent>
                </v:textbox>
              </v:shape>
            </w:pict>
          </mc:Fallback>
        </mc:AlternateContent>
      </w:r>
      <w:r>
        <w:rPr>
          <w:noProof w:val="1"/>
        </w:rPr>
        <mc:AlternateContent>
          <mc:Choice Requires="wps">
            <w:drawing>
              <wp:anchor xmlns:wp="http://schemas.openxmlformats.org/drawingml/2006/wordprocessingDrawing" distT="0" distB="0" distL="114300" distR="114300" simplePos="0" relativeHeight="20" behindDoc="0" locked="0" layoutInCell="1" allowOverlap="1">
                <wp:simplePos x="0" y="0"/>
                <wp:positionH relativeFrom="column">
                  <wp:posOffset>3427730</wp:posOffset>
                </wp:positionH>
                <wp:positionV relativeFrom="paragraph">
                  <wp:posOffset>2291715</wp:posOffset>
                </wp:positionV>
                <wp:extent cx="497205" cy="467995"/>
                <wp:effectExtent l="0" t="0" r="17145" b="27305"/>
                <wp:wrapNone/>
                <wp:docPr id="37" name="Ellips 37"/>
                <wp:cNvGraphicFramePr/>
                <a:graphic xmlns:a="http://schemas.openxmlformats.org/drawingml/2006/main">
                  <a:graphicData uri="http://schemas.microsoft.com/office/word/2010/wordprocessingShape">
                    <wps:wsp>
                      <wps:cNvSpPr/>
                      <wps:spPr>
                        <a:xfrm>
                          <a:off x="0" y="0"/>
                          <a:ext cx="497435" cy="468174"/>
                        </a:xfrm>
                        <a:prstGeom prst="ellipse"/>
                        <a:noFill/>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xmlns:o="urn:schemas-microsoft-com:office:office" id="Ellips 37" o:spid="_x0000_s1036" style="position:absolute;width:39.15pt;height:36.85pt;z-index:20;mso-wrap-distance-left:9pt;mso-wrap-distance-top:0pt;mso-wrap-distance-right:9pt;mso-wrap-distance-bottom:0pt;margin-left:269.9pt;margin-top:180.45pt;mso-position-horizontal:absolute;mso-position-horizontal-relative:text;mso-position-vertical:absolute;mso-position-vertical-relative:text;v-text-anchor:middle" o:allowincell="t" filled="f" strokecolor="#2F528F" strokeweight="1pt" stroked="t">
                <v:textbox inset="3mm,1mm,3mm,1mm">
                  <w:txbxContent>
                    <w:p/>
                  </w:txbxContent>
                </v:textbox>
              </v:oval>
            </w:pict>
          </mc:Fallback>
        </mc:AlternateContent>
      </w:r>
      <w:r>
        <w:rPr>
          <w:noProof w:val="1"/>
          <w:color w:val="FF0000"/>
        </w:rPr>
        <mc:AlternateContent>
          <mc:Choice Requires="wps">
            <w:drawing>
              <wp:anchor xmlns:wp="http://schemas.openxmlformats.org/drawingml/2006/wordprocessingDrawing" distT="0" distB="0" distL="114300" distR="114300" simplePos="0" relativeHeight="14" behindDoc="0" locked="0" layoutInCell="1" allowOverlap="1">
                <wp:simplePos x="0" y="0"/>
                <wp:positionH relativeFrom="column">
                  <wp:posOffset>3472815</wp:posOffset>
                </wp:positionH>
                <wp:positionV relativeFrom="paragraph">
                  <wp:posOffset>2433955</wp:posOffset>
                </wp:positionV>
                <wp:extent cx="746760" cy="502285"/>
                <wp:effectExtent l="19050" t="19050" r="34290" b="12065"/>
                <wp:wrapNone/>
                <wp:docPr id="19" name="Rektangel 17"/>
                <wp:cNvGraphicFramePr/>
                <a:graphic xmlns:a="http://schemas.openxmlformats.org/drawingml/2006/main">
                  <a:graphicData uri="http://schemas.microsoft.com/office/word/2010/wordprocessingShape">
                    <wps:wsp>
                      <wps:cNvSpPr/>
                      <wps:spPr>
                        <a:xfrm>
                          <a:off x="0" y="0"/>
                          <a:ext cx="746767" cy="502580"/>
                        </a:xfrm>
                        <a:custGeom>
                          <a:gdLst>
                            <a:gd name="connsiteX0" fmla="*/ 0 w 669290"/>
                            <a:gd name="connsiteY0" fmla="*/ 0 h 308610"/>
                            <a:gd name="connsiteX1" fmla="*/ 669290 w 669290"/>
                            <a:gd name="connsiteY1" fmla="*/ 0 h 308610"/>
                            <a:gd name="connsiteX2" fmla="*/ 669290 w 669290"/>
                            <a:gd name="connsiteY2" fmla="*/ 308610 h 308610"/>
                            <a:gd name="connsiteX3" fmla="*/ 0 w 669290"/>
                            <a:gd name="connsiteY3" fmla="*/ 308610 h 308610"/>
                            <a:gd name="connsiteX4" fmla="*/ 0 w 669290"/>
                            <a:gd name="connsiteY4" fmla="*/ 0 h 308610"/>
                            <a:gd name="connsiteX0" fmla="*/ 45076 w 714366"/>
                            <a:gd name="connsiteY0" fmla="*/ 0 h 501793"/>
                            <a:gd name="connsiteX1" fmla="*/ 714366 w 714366"/>
                            <a:gd name="connsiteY1" fmla="*/ 0 h 501793"/>
                            <a:gd name="connsiteX2" fmla="*/ 714366 w 714366"/>
                            <a:gd name="connsiteY2" fmla="*/ 308610 h 501793"/>
                            <a:gd name="connsiteX3" fmla="*/ 0 w 714366"/>
                            <a:gd name="connsiteY3" fmla="*/ 501793 h 501793"/>
                            <a:gd name="connsiteX4" fmla="*/ 45076 w 714366"/>
                            <a:gd name="connsiteY4" fmla="*/ 0 h 501793"/>
                            <a:gd name="connsiteX0" fmla="*/ 45076 w 714366"/>
                            <a:gd name="connsiteY0" fmla="*/ 0 h 501793"/>
                            <a:gd name="connsiteX1" fmla="*/ 714366 w 714366"/>
                            <a:gd name="connsiteY1" fmla="*/ 0 h 501793"/>
                            <a:gd name="connsiteX2" fmla="*/ 714366 w 714366"/>
                            <a:gd name="connsiteY2" fmla="*/ 308610 h 501793"/>
                            <a:gd name="connsiteX3" fmla="*/ 0 w 714366"/>
                            <a:gd name="connsiteY3" fmla="*/ 501793 h 501793"/>
                            <a:gd name="connsiteX4" fmla="*/ 26010 w 714366"/>
                            <a:gd name="connsiteY4" fmla="*/ 218599 h 501793"/>
                            <a:gd name="connsiteX5" fmla="*/ 45076 w 714366"/>
                            <a:gd name="connsiteY5" fmla="*/ 0 h 501793"/>
                            <a:gd name="connsiteX0" fmla="*/ 57702 w 726992"/>
                            <a:gd name="connsiteY0" fmla="*/ 0 h 501793"/>
                            <a:gd name="connsiteX1" fmla="*/ 726992 w 726992"/>
                            <a:gd name="connsiteY1" fmla="*/ 0 h 501793"/>
                            <a:gd name="connsiteX2" fmla="*/ 726992 w 726992"/>
                            <a:gd name="connsiteY2" fmla="*/ 308610 h 501793"/>
                            <a:gd name="connsiteX3" fmla="*/ 12626 w 726992"/>
                            <a:gd name="connsiteY3" fmla="*/ 501793 h 501793"/>
                            <a:gd name="connsiteX4" fmla="*/ 0 w 726992"/>
                            <a:gd name="connsiteY4" fmla="*/ 270063 h 501793"/>
                            <a:gd name="connsiteX5" fmla="*/ 57702 w 726992"/>
                            <a:gd name="connsiteY5" fmla="*/ 0 h 501793"/>
                            <a:gd name="connsiteX0" fmla="*/ 57702 w 726992"/>
                            <a:gd name="connsiteY0" fmla="*/ 0 h 501793"/>
                            <a:gd name="connsiteX1" fmla="*/ 720554 w 726992"/>
                            <a:gd name="connsiteY1" fmla="*/ 115796 h 501793"/>
                            <a:gd name="connsiteX2" fmla="*/ 726992 w 726992"/>
                            <a:gd name="connsiteY2" fmla="*/ 308610 h 501793"/>
                            <a:gd name="connsiteX3" fmla="*/ 12626 w 726992"/>
                            <a:gd name="connsiteY3" fmla="*/ 501793 h 501793"/>
                            <a:gd name="connsiteX4" fmla="*/ 0 w 726992"/>
                            <a:gd name="connsiteY4" fmla="*/ 270063 h 501793"/>
                            <a:gd name="connsiteX5" fmla="*/ 57702 w 726992"/>
                            <a:gd name="connsiteY5" fmla="*/ 0 h 501793"/>
                            <a:gd name="connsiteX0" fmla="*/ 57702 w 746308"/>
                            <a:gd name="connsiteY0" fmla="*/ 0 h 501793"/>
                            <a:gd name="connsiteX1" fmla="*/ 720554 w 746308"/>
                            <a:gd name="connsiteY1" fmla="*/ 115796 h 501793"/>
                            <a:gd name="connsiteX2" fmla="*/ 746308 w 746308"/>
                            <a:gd name="connsiteY2" fmla="*/ 501793 h 501793"/>
                            <a:gd name="connsiteX3" fmla="*/ 12626 w 746308"/>
                            <a:gd name="connsiteY3" fmla="*/ 501793 h 501793"/>
                            <a:gd name="connsiteX4" fmla="*/ 0 w 746308"/>
                            <a:gd name="connsiteY4" fmla="*/ 270063 h 501793"/>
                            <a:gd name="connsiteX5" fmla="*/ 57702 w 746308"/>
                            <a:gd name="connsiteY5" fmla="*/ 0 h 501793"/>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46308" h="501793">
                              <a:moveTo>
                                <a:pt x="57702" y="0"/>
                              </a:moveTo>
                              <a:lnTo>
                                <a:pt x="720554" y="115796"/>
                              </a:lnTo>
                              <a:lnTo>
                                <a:pt x="746308" y="501793"/>
                              </a:lnTo>
                              <a:lnTo>
                                <a:pt x="12626" y="501793"/>
                              </a:lnTo>
                              <a:lnTo>
                                <a:pt x="0" y="270063"/>
                              </a:lnTo>
                              <a:lnTo>
                                <a:pt x="57702" y="0"/>
                              </a:lnTo>
                              <a:close/>
                            </a:path>
                          </a:pathLst>
                        </a:custGeom>
                        <a:noFill/>
                        <a:ln w="19050">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Rektangel 17" o:spid="_x0000_s1037" style="position:absolute;width:58.8pt;height:39.55pt;z-index:14;mso-wrap-distance-left:9pt;mso-wrap-distance-top:0pt;mso-wrap-distance-right:9pt;mso-wrap-distance-bottom:0pt;margin-left:273.45pt;margin-top:191.65pt;mso-position-horizontal:absolute;mso-position-horizontal-relative:text;mso-position-vertical:absolute;mso-position-vertical-relative:text;v-text-anchor:middle" o:allowincell="t" filled="f" strokecolor="#000000" strokeweight="1.5pt" stroked="t" coordsize="1176,791" path="m57702,0l720554,115796,746308,501793,12626,501793,,270063,57702,,xe">
                <v:textbox inset="3mm,1mm,3mm,1mm">
                  <w:txbxContent>
                    <w:p/>
                  </w:txbxContent>
                </v:textbox>
                <v:stroke dashstyle="shortdash"/>
              </v:shape>
            </w:pict>
          </mc:Fallback>
        </mc:AlternateContent>
      </w:r>
      <w:r>
        <w:rPr>
          <w:noProof w:val="1"/>
        </w:rPr>
        <mc:AlternateContent>
          <mc:Choice Requires="wps">
            <w:drawing>
              <wp:anchor xmlns:wp="http://schemas.openxmlformats.org/drawingml/2006/wordprocessingDrawing" distT="0" distB="0" distL="114300" distR="114300" simplePos="0" relativeHeight="19" behindDoc="0" locked="0" layoutInCell="1" allowOverlap="1">
                <wp:simplePos x="0" y="0"/>
                <wp:positionH relativeFrom="column">
                  <wp:posOffset>727710</wp:posOffset>
                </wp:positionH>
                <wp:positionV relativeFrom="paragraph">
                  <wp:posOffset>2668270</wp:posOffset>
                </wp:positionV>
                <wp:extent cx="497205" cy="467995"/>
                <wp:effectExtent l="0" t="0" r="17145" b="27305"/>
                <wp:wrapNone/>
                <wp:docPr id="35" name="Ellips 35"/>
                <wp:cNvGraphicFramePr/>
                <a:graphic xmlns:a="http://schemas.openxmlformats.org/drawingml/2006/main">
                  <a:graphicData uri="http://schemas.microsoft.com/office/word/2010/wordprocessingShape">
                    <wps:wsp>
                      <wps:cNvSpPr/>
                      <wps:spPr>
                        <a:xfrm>
                          <a:off x="0" y="0"/>
                          <a:ext cx="497205" cy="467995"/>
                        </a:xfrm>
                        <a:prstGeom prst="ellipse"/>
                        <a:noFill/>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xmlns:o="urn:schemas-microsoft-com:office:office" id="Ellips 35" o:spid="_x0000_s1038" style="position:absolute;width:39.15pt;height:36.85pt;z-index:19;mso-wrap-distance-left:9pt;mso-wrap-distance-top:0pt;mso-wrap-distance-right:9pt;mso-wrap-distance-bottom:0pt;margin-left:57.3pt;margin-top:210.1pt;mso-position-horizontal:absolute;mso-position-horizontal-relative:text;mso-position-vertical:absolute;mso-position-vertical-relative:text;v-text-anchor:middle" o:allowincell="t" filled="f" strokecolor="#2F528F" strokeweight="1pt" stroked="t">
                <v:textbox inset="3mm,1mm,3mm,1mm">
                  <w:txbxContent>
                    <w:p/>
                  </w:txbxContent>
                </v:textbox>
              </v:oval>
            </w:pict>
          </mc:Fallback>
        </mc:AlternateContent>
      </w:r>
      <w:r>
        <w:rPr>
          <w:noProof w:val="1"/>
        </w:rPr>
        <mc:AlternateContent>
          <mc:Choice Requires="wps">
            <w:drawing>
              <wp:anchor xmlns:wp="http://schemas.openxmlformats.org/drawingml/2006/wordprocessingDrawing" distT="45720" distB="45720" distL="114300" distR="114300" simplePos="0" relativeHeight="15" behindDoc="0" locked="0" layoutInCell="1" allowOverlap="1">
                <wp:simplePos x="0" y="0"/>
                <wp:positionH relativeFrom="column">
                  <wp:posOffset>814705</wp:posOffset>
                </wp:positionH>
                <wp:positionV relativeFrom="paragraph">
                  <wp:posOffset>2735580</wp:posOffset>
                </wp:positionV>
                <wp:extent cx="250825" cy="1404620"/>
                <wp:effectExtent l="0" t="0" r="0" b="2540"/>
                <wp:wrapNone/>
                <wp:docPr id="217" name="Textruta 2"/>
                <wp:cNvGraphicFramePr/>
                <a:graphic xmlns:a="http://schemas.openxmlformats.org/drawingml/2006/main">
                  <a:graphicData uri="http://schemas.microsoft.com/office/word/2010/wordprocessingShape">
                    <wps:wsp>
                      <wps:cNvSpPr txBox="1">
                        <a:spLocks noChangeArrowheads="1"/>
                      </wps:cNvSpPr>
                      <wps:spPr bwMode="auto">
                        <a:xfrm>
                          <a:off x="0" y="0"/>
                          <a:ext cx="251139" cy="1404620"/>
                        </a:xfrm>
                        <a:prstGeom prst="rect"/>
                        <a:no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b w:val="1"/>
                                <w:bCs w:val="1"/>
                                <w:color w:val="2F5496" w:themeColor="accent1" w:themeShade="BF"/>
                                <w:sz w:val="26"/>
                                <w:szCs w:val="26"/>
                              </w:rPr>
                            </w:pPr>
                            <w:r>
                              <w:rPr>
                                <w:b w:val="1"/>
                                <w:bCs w:val="1"/>
                                <w:color w:val="2F5496" w:themeColor="accent1" w:themeShade="BF"/>
                                <w:sz w:val="26"/>
                                <w:szCs w:val="26"/>
                              </w:rPr>
                              <w:t>1</w:t>
                            </w:r>
                          </w:p>
                        </w:txbxContent>
                      </wps:txbx>
                      <wps:bodyPr rot="0" vert="horz" wrap="square" lIns="91440" tIns="45720" rIns="91440" bIns="45720" anchor="t" anchorCtr="0">
                        <a:spAutoFit/>
                      </wps:bodyPr>
                    </wps:wsp>
                  </a:graphicData>
                </a:graphic>
                <wp14:sizeRelV relativeFrom="margin">
                  <wp14:pctHeight>20000</wp14:pctHeight>
                </wp14:sizeRelV>
              </wp:anchor>
            </w:drawing>
          </mc:Choice>
          <mc:Fallback>
            <w:pict>
              <v:shape xmlns:o="urn:schemas-microsoft-com:office:office" type="#_x0000_t202" id="Textruta 2" o:spid="_x0000_s1039" style="position:absolute;width:19.75pt;height:110.6pt;z-index:15;mso-wrap-distance-left:9pt;mso-wrap-distance-top:3.6pt;mso-wrap-distance-right:9pt;mso-wrap-distance-bottom:3.6pt;margin-left:64.15pt;margin-top:215.4pt;mso-position-horizontal:absolute;mso-position-horizontal-relative:text;mso-position-vertical:absolute;mso-position-vertical-relative:text;mso-height-relative:margin;mso-height-percent:200" o:allowincell="t" filled="f" strokeweight="0.75pt" stroked="f">
                <v:textbox style="mso-fit-shape-to-text:t" inset="3mm,1mm,3mm,1mm">
                  <w:txbxContent>
                    <w:p>
                      <w:pPr>
                        <w:rPr>
                          <w:b w:val="1"/>
                          <w:bCs w:val="1"/>
                          <w:color w:val="2F5496" w:themeColor="accent1" w:themeShade="BF"/>
                          <w:sz w:val="26"/>
                          <w:szCs w:val="26"/>
                        </w:rPr>
                      </w:pPr>
                      <w:r>
                        <w:rPr>
                          <w:b w:val="1"/>
                          <w:bCs w:val="1"/>
                          <w:color w:val="2F5496" w:themeColor="accent1" w:themeShade="BF"/>
                          <w:sz w:val="26"/>
                          <w:szCs w:val="26"/>
                        </w:rPr>
                        <w:t>1</w:t>
                      </w:r>
                    </w:p>
                  </w:txbxContent>
                </v:textbox>
              </v:shape>
            </w:pict>
          </mc:Fallback>
        </mc:AlternateContent>
      </w:r>
      <w:r>
        <w:rPr>
          <w:noProof w:val="1"/>
          <w:color w:val="FF0000"/>
        </w:rPr>
        <w:drawing>
          <wp:anchor xmlns:wp="http://schemas.openxmlformats.org/drawingml/2006/wordprocessingDrawing" distT="0" distB="0" distL="114300" distR="114300" simplePos="0" relativeHeight="3" behindDoc="0" locked="0" layoutInCell="1" allowOverlap="1">
            <wp:simplePos x="0" y="0"/>
            <wp:positionH relativeFrom="margin">
              <wp:posOffset>2738755</wp:posOffset>
            </wp:positionH>
            <wp:positionV relativeFrom="paragraph">
              <wp:posOffset>1226820</wp:posOffset>
            </wp:positionV>
            <wp:extent cx="2768600" cy="2932430"/>
            <wp:effectExtent l="0" t="0" r="0" b="1270"/>
            <wp:wrapSquare wrapText="bothSides"/>
            <wp:docPr id="10"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66"/>
                    <pic:cNvPicPr/>
                  </pic:nvPicPr>
                  <pic:blipFill dpi="0">
                    <a:blip xmlns:r="http://schemas.openxmlformats.org/officeDocument/2006/relationships" r:embed="Relimage23" cstate="print"/>
                    <a:srcRect t="4207"/>
                    <a:stretch>
                      <a:fillRect/>
                    </a:stretch>
                  </pic:blipFill>
                  <pic:spPr bwMode="auto">
                    <a:xfrm>
                      <a:off x="0" y="0"/>
                      <a:ext cx="2768600" cy="2932430"/>
                    </a:xfrm>
                    <a:prstGeom prst="rect"/>
                    <a:ln>
                      <a:noFill/>
                    </a:ln>
                  </pic:spPr>
                </pic:pic>
              </a:graphicData>
            </a:graphic>
          </wp:anchor>
        </w:drawing>
      </w:r>
      <w:r>
        <w:rPr>
          <w:noProof w:val="1"/>
          <w:color w:val="FF0000"/>
        </w:rPr>
        <w:drawing>
          <wp:anchor xmlns:wp="http://schemas.openxmlformats.org/drawingml/2006/wordprocessingDrawing" distT="0" distB="0" distL="114300" distR="114300" simplePos="0" relativeHeight="4" behindDoc="0" locked="0" layoutInCell="1" allowOverlap="1">
            <wp:simplePos x="0" y="0"/>
            <wp:positionH relativeFrom="margin">
              <wp:posOffset>1905</wp:posOffset>
            </wp:positionH>
            <wp:positionV relativeFrom="paragraph">
              <wp:posOffset>1310640</wp:posOffset>
            </wp:positionV>
            <wp:extent cx="2629535" cy="2857500"/>
            <wp:effectExtent l="0" t="0" r="0" b="0"/>
            <wp:wrapThrough wrapText="bothSides">
              <wp:wrapPolygon edited="0">
                <wp:start x="0" y="0"/>
                <wp:lineTo x="0" y="21456"/>
                <wp:lineTo x="21438" y="21456"/>
                <wp:lineTo x="21438" y="0"/>
                <wp:lineTo x="0" y="0"/>
              </wp:wrapPolygon>
            </wp:wrapThrough>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67"/>
                    <pic:cNvPicPr/>
                  </pic:nvPicPr>
                  <pic:blipFill dpi="0">
                    <a:blip xmlns:r="http://schemas.openxmlformats.org/officeDocument/2006/relationships" r:embed="Relimage24"/>
                    <a:srcRect t="4312" r="3646"/>
                    <a:stretch>
                      <a:fillRect/>
                    </a:stretch>
                  </pic:blipFill>
                  <pic:spPr bwMode="auto">
                    <a:xfrm>
                      <a:off x="0" y="0"/>
                      <a:ext cx="2629535" cy="2857500"/>
                    </a:xfrm>
                    <a:prstGeom prst="rect"/>
                    <a:ln>
                      <a:noFill/>
                    </a:ln>
                  </pic:spPr>
                </pic:pic>
              </a:graphicData>
            </a:graphic>
          </wp:anchor>
        </w:drawing>
      </w:r>
      <w:r>
        <w:t xml:space="preserve">Skyfallskarteringen visar att del av planområdet har en lågpunkt beläget i nordvästra hörnet (se markering 1 i figur 16 nedan) där ytvatten kan samlas vid ett 100-årsregn (ett extremt scenario som i genomsnitt inträffar vart hundrade år). Översvämningsrisken bedöms som liten idag. Avrinningen sker från den östra delen av infartsvägen ned mot Södra sundet, i enlighet med planområdets naturliga lutning mot strandlinjen. </w:t>
      </w:r>
    </w:p>
    <w:p>
      <w:pPr>
        <w:pStyle w:val="P26"/>
      </w:pPr>
      <w:r>
        <w:t xml:space="preserve">Figur </w:t>
      </w:r>
      <w:r>
        <w:fldChar w:fldCharType="begin"/>
      </w:r>
      <w:r>
        <w:instrText>SEQ Figur \* ARABIC</w:instrText>
      </w:r>
      <w:r>
        <w:fldChar w:fldCharType="separate"/>
      </w:r>
      <w:r>
        <w:rPr>
          <w:noProof w:val="1"/>
        </w:rPr>
        <w:t>17</w:t>
      </w:r>
      <w:r>
        <w:fldChar w:fldCharType="end"/>
      </w:r>
      <w:r>
        <w:t>.(TV) Maxflöde P100. (TH) Låga punkter, flödesriktning P100. Planområdet markeras ungefärligt med svart.</w:t>
      </w:r>
    </w:p>
    <w:p>
      <w:pPr>
        <w:pStyle w:val="P4"/>
      </w:pPr>
      <w:bookmarkEnd w:id="147"/>
      <w:r>
        <w:t xml:space="preserve">Konsekvenser </w:t>
      </w:r>
    </w:p>
    <w:p>
      <w:pPr>
        <w:spacing w:after="0" w:beforeAutospacing="0" w:afterAutospacing="0"/>
      </w:pPr>
      <w:bookmarkStart w:id="148" w:name="_Hlk220941215"/>
      <w:bookmarkStart w:id="149" w:name="_Hlk214864428"/>
      <w:bookmarkStart w:id="150" w:name="ko_översvämning01"/>
      <w:r>
        <w:t>Ett genomförande av detaljplanen medför till viss del ytterligare hårdgjord yta inom fastigheten, motsvarande en</w:t>
      </w:r>
      <w:r>
        <w:rPr>
          <w:rFonts w:cs="Arial" w:eastAsia="Arial"/>
          <w:szCs w:val="24"/>
        </w:rPr>
        <w:t xml:space="preserve"> exploateringsgrad på 18% vilket är lägre än den maximalt tillåtna exploateringsgraden om 21 % i gällande detaljplan.</w:t>
      </w:r>
    </w:p>
    <w:p>
      <w:bookmarkEnd w:id="148"/>
      <w:r>
        <w:t xml:space="preserve">Bedömningen är att planförslaget säkerställer att tillräcklig yta för naturlig infiltration förblir, varför ingen ytterligare utredning krävs.  </w:t>
      </w:r>
    </w:p>
    <w:p>
      <w:pPr>
        <w:ind w:left="1304"/>
      </w:pPr>
      <w:bookmarkEnd w:id="149"/>
      <w:bookmarkEnd w:id="150"/>
    </w:p>
    <w:p>
      <w:pPr>
        <w:spacing w:after="160" w:beforeAutospacing="0" w:afterAutospacing="0"/>
        <w:rPr>
          <w:rFonts w:cs="Arial" w:eastAsia="Times New Roman"/>
          <w:b w:val="1"/>
          <w:i w:val="1"/>
          <w:bCs w:val="1"/>
          <w:color w:val="2F5496" w:themeColor="accent1" w:themeShade="BF"/>
          <w:szCs w:val="26"/>
        </w:rPr>
      </w:pPr>
      <w:r>
        <w:br w:type="page"/>
      </w:r>
    </w:p>
    <w:p>
      <w:pPr>
        <w:pStyle w:val="P3"/>
      </w:pPr>
      <w:bookmarkStart w:id="151" w:name="_Toc214886803"/>
      <w:bookmarkStart w:id="152" w:name="_Toc220311629"/>
      <w:r>
        <w:t>Risk för ras, skred och erosion</w:t>
      </w:r>
      <w:bookmarkEnd w:id="151"/>
      <w:bookmarkEnd w:id="152"/>
    </w:p>
    <w:p>
      <w:pPr>
        <w:rPr>
          <w:lang w:eastAsia="sv-SE"/>
        </w:rPr>
      </w:pPr>
      <w:bookmarkStart w:id="153" w:name="pf_riskförras01"/>
      <w:bookmarkStart w:id="154" w:name="pf_riskförerosion01"/>
      <w:bookmarkStart w:id="155" w:name="pf_riskförskred01"/>
      <w:r>
        <w:rPr>
          <w:lang w:eastAsia="sv-SE"/>
        </w:rPr>
        <w:t>Enligt kommunens kartering finns ingen risk för skred inom planområdet eller dess närhet. Myndigheten för samhällsskydd och beredskap (MSB) genomförde 2014 en förstudie och översiktlig kartering av stabilitet i raviner och slänter bestående av morän och grova sedimentjordar. Förstudien anger att planområdet ingår i karteringspunkt 4. Avståndet från bebyggelsen vid Södra Sundet upp till den punkt där slänten flackar ut är cirka 150 meter. Med en nivåskillnad på omkring 25 meter ger detta en medellutning på knappt 10 grader.</w:t>
      </w:r>
    </w:p>
    <w:p>
      <w:pPr>
        <w:rPr>
          <w:lang w:eastAsia="sv-SE"/>
        </w:rPr>
      </w:pPr>
      <w:r>
        <w:rPr>
          <w:lang w:eastAsia="sv-SE"/>
        </w:rPr>
        <w:t>Den samlade bedömningen är att släntens stabilitet är god. Marken är inte tillräckligt brant för att ras eller slamström ska kunna uppstå, och ingen ytterligare utredning eller kontroll bedöms nödvändig.</w:t>
      </w:r>
    </w:p>
    <w:p>
      <w:pPr>
        <w:pStyle w:val="P4"/>
        <w:rPr>
          <w:rFonts w:eastAsia="Calibri"/>
          <w:szCs w:val="24"/>
        </w:rPr>
      </w:pPr>
      <w:bookmarkEnd w:id="153"/>
      <w:bookmarkEnd w:id="154"/>
      <w:bookmarkEnd w:id="155"/>
      <w:r>
        <w:t xml:space="preserve">Konsekvenser </w:t>
      </w:r>
    </w:p>
    <w:p>
      <w:bookmarkStart w:id="156" w:name="ko_erosion01"/>
      <w:bookmarkStart w:id="157" w:name="ko_ras01"/>
      <w:bookmarkStart w:id="158" w:name="ko_skred01"/>
      <w:r>
        <w:t>Planförslaget medger en exploateringsgrad om 18% för en minsta fastighetsstorlek om 2000 m</w:t>
      </w:r>
      <w:r>
        <w:rPr>
          <w:vertAlign w:val="superscript"/>
        </w:rPr>
        <w:t>2</w:t>
      </w:r>
      <w:r>
        <w:t xml:space="preserve"> vilket är lägre än den maximalt tillåtna exploateringsgraden om 21 % för en minsta fastighet om 1000 m</w:t>
      </w:r>
      <w:r>
        <w:rPr>
          <w:vertAlign w:val="superscript"/>
        </w:rPr>
        <w:t>2</w:t>
      </w:r>
      <w:r>
        <w:t xml:space="preserve"> i gällande detaljplan. Bedömningen är därmed att ingen ytterligare utredning behövs.</w:t>
      </w:r>
    </w:p>
    <w:p>
      <w:r>
        <w:t>Fastighetsägaren ansvarar för att marken är lämplig för det avsedda ändamålet samt att grundläggningen utförs på ett tillfredsställande sätt med hänsyn till markbelastning, vattenföring och markanpassning.</w:t>
      </w:r>
    </w:p>
    <w:p>
      <w:pPr>
        <w:pStyle w:val="P3"/>
      </w:pPr>
      <w:bookmarkEnd w:id="156"/>
      <w:bookmarkEnd w:id="157"/>
      <w:bookmarkEnd w:id="158"/>
      <w:bookmarkStart w:id="159" w:name="_Toc214886804"/>
      <w:bookmarkStart w:id="160" w:name="_Toc220311630"/>
      <w:r>
        <w:t>Förorenad mark</w:t>
      </w:r>
      <w:bookmarkEnd w:id="159"/>
      <w:bookmarkEnd w:id="160"/>
    </w:p>
    <w:p>
      <w:pPr>
        <w:spacing w:lineRule="auto" w:line="257" w:beforeAutospacing="0" w:afterAutospacing="0"/>
        <w:rPr>
          <w:rFonts w:cs="Arial"/>
        </w:rPr>
      </w:pPr>
      <w:bookmarkStart w:id="161" w:name="pf_hälsaochsäkerhetannat01"/>
      <w:r>
        <w:rPr>
          <w:rFonts w:cs="Arial" w:eastAsia="Calibri"/>
          <w:szCs w:val="24"/>
        </w:rPr>
        <w:t xml:space="preserve">Enligt kommunal kartering finns det inga kända föroreningar inom planområdet. </w:t>
      </w:r>
    </w:p>
    <w:p>
      <w:pPr>
        <w:pStyle w:val="P4"/>
        <w:rPr>
          <w:rFonts w:eastAsia="Calibri"/>
          <w:szCs w:val="24"/>
        </w:rPr>
      </w:pPr>
      <w:bookmarkEnd w:id="161"/>
      <w:r>
        <w:t xml:space="preserve">Konsekvenser </w:t>
      </w:r>
    </w:p>
    <w:p>
      <w:pPr>
        <w:spacing w:lineRule="auto" w:line="257" w:beforeAutospacing="0" w:afterAutospacing="0"/>
        <w:rPr>
          <w:rFonts w:cs="Arial"/>
        </w:rPr>
      </w:pPr>
      <w:bookmarkStart w:id="162" w:name="ko_hälsaochsäkerhetannat01"/>
      <w:r>
        <w:rPr>
          <w:rFonts w:cs="Arial" w:eastAsia="Calibri"/>
        </w:rPr>
        <w:t xml:space="preserve">Ingen förändring. </w:t>
      </w:r>
    </w:p>
    <w:p>
      <w:pPr>
        <w:pStyle w:val="P3"/>
      </w:pPr>
      <w:bookmarkEnd w:id="162"/>
      <w:bookmarkStart w:id="163" w:name="_Toc214886805"/>
      <w:bookmarkStart w:id="164" w:name="_Toc220311631"/>
      <w:r>
        <w:t>Brandsäkerhet</w:t>
      </w:r>
      <w:bookmarkEnd w:id="163"/>
      <w:bookmarkEnd w:id="164"/>
    </w:p>
    <w:p>
      <w:pPr>
        <w:rPr>
          <w:rFonts w:cs="Arial"/>
          <w:szCs w:val="24"/>
        </w:rPr>
      </w:pPr>
      <w:bookmarkStart w:id="165" w:name="pf_riskförolyckor01"/>
      <w:r>
        <w:rPr>
          <w:rFonts w:cs="Arial"/>
          <w:szCs w:val="24"/>
        </w:rPr>
        <w:t xml:space="preserve">Närmaste brandpost finns cirka 5 kilometer från planområdet. </w:t>
      </w:r>
    </w:p>
    <w:p>
      <w:pPr>
        <w:rPr>
          <w:rFonts w:cs="Arial"/>
          <w:color w:val="000000" w:themeColor="text1"/>
          <w:szCs w:val="24"/>
        </w:rPr>
      </w:pPr>
      <w:r>
        <w:rPr>
          <w:rFonts w:cs="Arial"/>
          <w:color w:val="000000" w:themeColor="text1"/>
          <w:szCs w:val="24"/>
        </w:rPr>
        <w:t>Regler om skydd mot brandspridning mellan byggnader finns i BBR avsnitt 5:61. I korthet innebär det att byggnader antingen ska placeras på ett avstånd av minst åtta meter ifrån varandra eller förses med en brandteknisk konstruktion i form av brandcellsgräns eller brandvägg.</w:t>
      </w:r>
    </w:p>
    <w:p>
      <w:pPr>
        <w:pStyle w:val="P4"/>
        <w:rPr>
          <w:rFonts w:eastAsia="Calibri"/>
        </w:rPr>
      </w:pPr>
      <w:bookmarkEnd w:id="165"/>
      <w:r>
        <w:t>Konsekvenser</w:t>
      </w:r>
    </w:p>
    <w:p>
      <w:pPr>
        <w:rPr>
          <w:color w:val="7030A0"/>
        </w:rPr>
      </w:pPr>
      <w:bookmarkStart w:id="166" w:name="ko_olyckor01"/>
      <w:r>
        <w:t>Planförslaget innebär att den nuvarande användningen behålls. Efter ett genomförande av detaljplanen bedöms framkomligheten för räddningstjänsten fortsatt som god.</w:t>
      </w:r>
    </w:p>
    <w:p>
      <w:pPr>
        <w:pStyle w:val="P3"/>
      </w:pPr>
      <w:bookmarkEnd w:id="166"/>
      <w:bookmarkStart w:id="167" w:name="_Toc214886807"/>
      <w:bookmarkStart w:id="168" w:name="_Toc220311632"/>
      <w:r>
        <w:t>Radon</w:t>
      </w:r>
      <w:bookmarkEnd w:id="167"/>
      <w:bookmarkEnd w:id="168"/>
    </w:p>
    <w:p>
      <w:pPr>
        <w:rPr>
          <w:rFonts w:cs="Arial"/>
        </w:rPr>
      </w:pPr>
      <w:bookmarkStart w:id="169" w:name="pf_hälsaochsäkerhetannat02"/>
      <w:r>
        <w:rPr>
          <w:rFonts w:cs="Arial" w:eastAsia="Calibri"/>
        </w:rPr>
        <w:t xml:space="preserve">Radon är en radioaktiv gas som finns naturligt i mark och grundvatten och som, beroende på markens genomsläpplighet och husgrundens täthet, kan sippra in i huset och skapa en ohälsosam inomhusmiljö. Eftersom förhöjda radonhalter inomhus är en olägenhet för människors hälsa så finns det gränsvärden som ska följas för nybyggda bostäder. </w:t>
      </w:r>
    </w:p>
    <w:p>
      <w:pPr>
        <w:spacing w:lineRule="auto" w:line="257" w:beforeAutospacing="0" w:afterAutospacing="0"/>
        <w:rPr>
          <w:rFonts w:cs="Arial"/>
        </w:rPr>
      </w:pPr>
      <w:r>
        <w:rPr>
          <w:rFonts w:cs="Arial" w:eastAsia="Calibri"/>
          <w:szCs w:val="24"/>
        </w:rPr>
        <w:t>Planområdet utgör lågriskområde för markradon.</w:t>
      </w:r>
    </w:p>
    <w:p>
      <w:pPr>
        <w:pStyle w:val="P4"/>
        <w:rPr>
          <w:rFonts w:cs="Arial" w:eastAsia="Calibri"/>
          <w:szCs w:val="24"/>
        </w:rPr>
      </w:pPr>
      <w:bookmarkEnd w:id="169"/>
      <w:r>
        <w:rPr>
          <w:rFonts w:cs="Arial"/>
        </w:rPr>
        <w:t xml:space="preserve">Konsekvenser </w:t>
      </w:r>
    </w:p>
    <w:p>
      <w:pPr>
        <w:spacing w:lineRule="auto" w:line="257" w:beforeAutospacing="0" w:afterAutospacing="0"/>
        <w:rPr>
          <w:rFonts w:cs="Arial" w:eastAsia="Calibri"/>
          <w:szCs w:val="24"/>
        </w:rPr>
      </w:pPr>
      <w:bookmarkStart w:id="170" w:name="ko_hälsaochsäkerhetannat02"/>
      <w:r>
        <w:rPr>
          <w:rFonts w:cs="Arial" w:eastAsia="Calibri"/>
          <w:szCs w:val="24"/>
        </w:rPr>
        <w:t>Eftersom planområdet ligger inom ett område som är karterat som lågriskområde krävs ingen åtgärd.</w:t>
      </w:r>
    </w:p>
    <w:p>
      <w:pPr>
        <w:spacing w:after="160" w:beforeAutospacing="0" w:afterAutospacing="0"/>
        <w:rPr>
          <w:rFonts w:cs="Arial" w:eastAsia="Calibri"/>
          <w:szCs w:val="24"/>
        </w:rPr>
      </w:pPr>
      <w:bookmarkEnd w:id="170"/>
      <w:r>
        <w:rPr>
          <w:rFonts w:cs="Arial" w:eastAsia="Calibri"/>
          <w:szCs w:val="24"/>
        </w:rPr>
        <w:br w:type="page"/>
      </w:r>
    </w:p>
    <w:p>
      <w:pPr>
        <w:pStyle w:val="P3"/>
      </w:pPr>
      <w:bookmarkStart w:id="171" w:name="_Toc214886808"/>
      <w:bookmarkStart w:id="172" w:name="_Toc220311633"/>
      <w:r>
        <w:t>Väg- och spårtrafiksbuller</w:t>
      </w:r>
      <w:bookmarkEnd w:id="171"/>
      <w:bookmarkEnd w:id="172"/>
    </w:p>
    <w:p>
      <w:pPr>
        <w:rPr>
          <w:rFonts w:cs="Arial"/>
          <w:b w:val="1"/>
          <w:bCs w:val="1"/>
          <w:color w:val="000000" w:themeColor="text1"/>
        </w:rPr>
      </w:pPr>
      <w:bookmarkStart w:id="173" w:name="pf_omgivningsbuller01"/>
      <w:r>
        <w:rPr>
          <w:rFonts w:cs="Arial" w:eastAsia="Calibri"/>
          <w:color w:val="000000" w:themeColor="text1"/>
        </w:rPr>
        <w:t>Planområdet ligger i en lugn miljö där infartsvägarna endast används av boende och besökare.</w:t>
        <w:br w:type="textWrapping"/>
      </w:r>
    </w:p>
    <w:p>
      <w:pPr>
        <w:rPr>
          <w:rFonts w:cs="Arial"/>
        </w:rPr>
      </w:pPr>
      <w:r>
        <w:rPr>
          <w:rFonts w:cs="Arial" w:eastAsia="Calibri"/>
          <w:i w:val="1"/>
          <w:iCs w:val="1"/>
          <w:sz w:val="18"/>
          <w:szCs w:val="18"/>
        </w:rPr>
        <w:t xml:space="preserve">Tabell 2. Riktvärden för omgivningsbuller från väg- och spårtrafik vid bostadsbyggnads fasad. </w:t>
      </w:r>
    </w:p>
    <w:tbl>
      <w:tblPr>
        <w:tblStyle w:val="T3"/>
        <w:tblW w:w="8325" w:type="dxa"/>
        <w:tblLayout w:type="fixed"/>
        <w:tblLook w:val="04A0"/>
      </w:tblPr>
      <w:tblGrid/>
      <w:tr>
        <w:trPr>
          <w:trHeight w:hRule="atLeast" w:val="1020"/>
        </w:trPr>
        <w:tc>
          <w:tcPr>
            <w:tcW w:w="2694" w:type="dxa"/>
            <w:tcBorders>
              <w:top w:val="nil"/>
              <w:left w:val="nil"/>
              <w:bottom w:val="single" w:sz="8" w:space="0" w:shadow="0" w:frame="0"/>
              <w:right w:val="single" w:sz="8" w:space="0" w:shadow="0" w:frame="0"/>
            </w:tcBorders>
          </w:tcPr>
          <w:p>
            <w:pPr>
              <w:rPr>
                <w:rFonts w:cs="Arial"/>
              </w:rPr>
            </w:pPr>
          </w:p>
        </w:tc>
        <w:tc>
          <w:tcPr>
            <w:tcW w:w="1657" w:type="dxa"/>
            <w:tcBorders>
              <w:top w:val="single" w:sz="8" w:space="0" w:shadow="0" w:frame="0"/>
              <w:left w:val="single" w:sz="8" w:space="0" w:shadow="0" w:frame="0"/>
              <w:bottom w:val="single" w:sz="8" w:space="0" w:shadow="0" w:frame="0"/>
              <w:right w:val="single" w:sz="8" w:space="0" w:shadow="0" w:frame="0"/>
            </w:tcBorders>
          </w:tcPr>
          <w:p>
            <w:pPr>
              <w:jc w:val="center"/>
              <w:rPr>
                <w:rFonts w:cs="Arial"/>
              </w:rPr>
            </w:pPr>
            <w:r>
              <w:rPr>
                <w:rFonts w:cs="Arial" w:eastAsia="Calibri"/>
                <w:sz w:val="20"/>
                <w:szCs w:val="20"/>
              </w:rPr>
              <w:t xml:space="preserve">Ekvivalent ljudnivå vid bostadsbyggnads fasad </w:t>
            </w:r>
          </w:p>
        </w:tc>
        <w:tc>
          <w:tcPr>
            <w:tcW w:w="1987" w:type="dxa"/>
            <w:tcBorders>
              <w:top w:val="single" w:sz="8" w:space="0" w:shadow="0" w:frame="0"/>
              <w:left w:val="single" w:sz="8" w:space="0" w:shadow="0" w:frame="0"/>
              <w:bottom w:val="single" w:sz="8" w:space="0" w:shadow="0" w:frame="0"/>
              <w:right w:val="single" w:sz="8" w:space="0" w:shadow="0" w:frame="0"/>
            </w:tcBorders>
          </w:tcPr>
          <w:p>
            <w:pPr>
              <w:jc w:val="center"/>
              <w:rPr>
                <w:rFonts w:cs="Arial"/>
              </w:rPr>
            </w:pPr>
            <w:r>
              <w:rPr>
                <w:rFonts w:cs="Arial" w:eastAsia="Calibri"/>
                <w:sz w:val="20"/>
                <w:szCs w:val="20"/>
              </w:rPr>
              <w:t>Ekvivalent ljudnivå vid uteplats om sådan anordnas</w:t>
            </w:r>
          </w:p>
        </w:tc>
        <w:tc>
          <w:tcPr>
            <w:tcW w:w="1987" w:type="dxa"/>
            <w:tcBorders>
              <w:top w:val="single" w:sz="8" w:space="0" w:shadow="0" w:frame="0"/>
              <w:left w:val="single" w:sz="8" w:space="0" w:shadow="0" w:frame="0"/>
              <w:bottom w:val="single" w:sz="8" w:space="0" w:shadow="0" w:frame="0"/>
              <w:right w:val="single" w:sz="8" w:space="0" w:shadow="0" w:frame="0"/>
            </w:tcBorders>
          </w:tcPr>
          <w:p>
            <w:pPr>
              <w:jc w:val="center"/>
              <w:rPr>
                <w:rFonts w:cs="Arial"/>
              </w:rPr>
            </w:pPr>
            <w:r>
              <w:rPr>
                <w:rFonts w:cs="Arial" w:eastAsia="Calibri"/>
                <w:sz w:val="20"/>
                <w:szCs w:val="20"/>
              </w:rPr>
              <w:t xml:space="preserve">Maximal ljudnivå vid uteplats om sådan anordnas </w:t>
            </w:r>
          </w:p>
        </w:tc>
      </w:tr>
      <w:tr>
        <w:trPr>
          <w:trHeight w:hRule="atLeast" w:val="780"/>
        </w:trPr>
        <w:tc>
          <w:tcPr>
            <w:tcW w:w="2694" w:type="dxa"/>
            <w:tcBorders>
              <w:top w:val="single" w:sz="8" w:space="0" w:shadow="0" w:frame="0"/>
              <w:left w:val="single" w:sz="8" w:space="0" w:shadow="0" w:frame="0"/>
              <w:bottom w:val="single" w:sz="8" w:space="0" w:shadow="0" w:frame="0"/>
              <w:right w:val="single" w:sz="8" w:space="0" w:shadow="0" w:frame="0"/>
            </w:tcBorders>
          </w:tcPr>
          <w:p>
            <w:pPr>
              <w:jc w:val="center"/>
              <w:rPr>
                <w:rFonts w:cs="Arial"/>
              </w:rPr>
            </w:pPr>
            <w:r>
              <w:rPr>
                <w:rFonts w:cs="Arial" w:eastAsia="Calibri"/>
                <w:sz w:val="20"/>
                <w:szCs w:val="20"/>
              </w:rPr>
              <w:t>För bostäder upp till 35 m</w:t>
            </w:r>
            <w:r>
              <w:rPr>
                <w:rFonts w:cs="Arial" w:eastAsia="Calibri"/>
                <w:sz w:val="20"/>
                <w:szCs w:val="20"/>
                <w:vertAlign w:val="superscript"/>
              </w:rPr>
              <w:t>2</w:t>
            </w:r>
          </w:p>
        </w:tc>
        <w:tc>
          <w:tcPr>
            <w:tcW w:w="1657" w:type="dxa"/>
            <w:tcBorders>
              <w:top w:val="single" w:sz="8" w:space="0" w:shadow="0" w:frame="0"/>
              <w:left w:val="single" w:sz="8" w:space="0" w:shadow="0" w:frame="0"/>
              <w:bottom w:val="single" w:sz="8" w:space="0" w:shadow="0" w:frame="0"/>
              <w:right w:val="single" w:sz="8" w:space="0" w:shadow="0" w:frame="0"/>
            </w:tcBorders>
          </w:tcPr>
          <w:p>
            <w:pPr>
              <w:jc w:val="center"/>
              <w:rPr>
                <w:rFonts w:cs="Arial"/>
              </w:rPr>
            </w:pPr>
            <w:r>
              <w:rPr>
                <w:rFonts w:cs="Arial" w:eastAsia="Calibri"/>
                <w:b w:val="1"/>
                <w:bCs w:val="1"/>
                <w:sz w:val="20"/>
                <w:szCs w:val="20"/>
              </w:rPr>
              <w:t>65 dBA</w:t>
            </w:r>
          </w:p>
        </w:tc>
        <w:tc>
          <w:tcPr>
            <w:tcW w:w="1987" w:type="dxa"/>
            <w:tcBorders>
              <w:top w:val="single" w:sz="8" w:space="0" w:shadow="0" w:frame="0"/>
              <w:left w:val="single" w:sz="8" w:space="0" w:shadow="0" w:frame="0"/>
              <w:bottom w:val="single" w:sz="8" w:space="0" w:shadow="0" w:frame="0"/>
              <w:right w:val="single" w:sz="8" w:space="0" w:shadow="0" w:frame="0"/>
            </w:tcBorders>
          </w:tcPr>
          <w:p>
            <w:pPr>
              <w:jc w:val="center"/>
              <w:rPr>
                <w:rFonts w:cs="Arial"/>
              </w:rPr>
            </w:pPr>
            <w:r>
              <w:rPr>
                <w:rFonts w:cs="Arial" w:eastAsia="Calibri"/>
                <w:b w:val="1"/>
                <w:bCs w:val="1"/>
                <w:sz w:val="20"/>
                <w:szCs w:val="20"/>
              </w:rPr>
              <w:t>50 dBA</w:t>
            </w:r>
          </w:p>
        </w:tc>
        <w:tc>
          <w:tcPr>
            <w:tcW w:w="1987" w:type="dxa"/>
            <w:tcBorders>
              <w:top w:val="single" w:sz="8" w:space="0" w:shadow="0" w:frame="0"/>
              <w:left w:val="single" w:sz="8" w:space="0" w:shadow="0" w:frame="0"/>
              <w:bottom w:val="single" w:sz="8" w:space="0" w:shadow="0" w:frame="0"/>
              <w:right w:val="single" w:sz="8" w:space="0" w:shadow="0" w:frame="0"/>
            </w:tcBorders>
          </w:tcPr>
          <w:p>
            <w:pPr>
              <w:jc w:val="center"/>
              <w:rPr>
                <w:rFonts w:cs="Arial"/>
              </w:rPr>
            </w:pPr>
            <w:r>
              <w:rPr>
                <w:rFonts w:cs="Arial" w:eastAsia="Calibri"/>
                <w:b w:val="1"/>
                <w:bCs w:val="1"/>
                <w:sz w:val="20"/>
                <w:szCs w:val="20"/>
              </w:rPr>
              <w:t>70 dBA</w:t>
            </w:r>
          </w:p>
        </w:tc>
      </w:tr>
      <w:tr>
        <w:trPr>
          <w:trHeight w:hRule="atLeast" w:val="705"/>
        </w:trPr>
        <w:tc>
          <w:tcPr>
            <w:tcW w:w="2694" w:type="dxa"/>
            <w:tcBorders>
              <w:top w:val="single" w:sz="8" w:space="0" w:shadow="0" w:frame="0"/>
              <w:left w:val="single" w:sz="8" w:space="0" w:shadow="0" w:frame="0"/>
              <w:bottom w:val="single" w:sz="8" w:space="0" w:shadow="0" w:frame="0"/>
              <w:right w:val="single" w:sz="8" w:space="0" w:shadow="0" w:frame="0"/>
            </w:tcBorders>
          </w:tcPr>
          <w:p>
            <w:pPr>
              <w:jc w:val="center"/>
              <w:rPr>
                <w:rFonts w:cs="Arial"/>
              </w:rPr>
            </w:pPr>
            <w:r>
              <w:rPr>
                <w:rFonts w:cs="Arial" w:eastAsia="Calibri"/>
                <w:sz w:val="20"/>
                <w:szCs w:val="20"/>
              </w:rPr>
              <w:t>För bostäder över 35 m</w:t>
            </w:r>
            <w:r>
              <w:rPr>
                <w:rFonts w:cs="Arial" w:eastAsia="Calibri"/>
                <w:sz w:val="20"/>
                <w:szCs w:val="20"/>
                <w:vertAlign w:val="superscript"/>
              </w:rPr>
              <w:t>2</w:t>
            </w:r>
          </w:p>
        </w:tc>
        <w:tc>
          <w:tcPr>
            <w:tcW w:w="1657" w:type="dxa"/>
            <w:tcBorders>
              <w:top w:val="single" w:sz="8" w:space="0" w:shadow="0" w:frame="0"/>
              <w:left w:val="single" w:sz="8" w:space="0" w:shadow="0" w:frame="0"/>
              <w:bottom w:val="single" w:sz="8" w:space="0" w:shadow="0" w:frame="0"/>
              <w:right w:val="single" w:sz="8" w:space="0" w:shadow="0" w:frame="0"/>
            </w:tcBorders>
          </w:tcPr>
          <w:p>
            <w:pPr>
              <w:jc w:val="center"/>
              <w:rPr>
                <w:rFonts w:cs="Arial"/>
              </w:rPr>
            </w:pPr>
            <w:r>
              <w:rPr>
                <w:rFonts w:cs="Arial" w:eastAsia="Calibri"/>
                <w:b w:val="1"/>
                <w:bCs w:val="1"/>
                <w:sz w:val="20"/>
                <w:szCs w:val="20"/>
              </w:rPr>
              <w:t>60 dBA</w:t>
            </w:r>
          </w:p>
        </w:tc>
        <w:tc>
          <w:tcPr>
            <w:tcW w:w="1987" w:type="dxa"/>
            <w:tcBorders>
              <w:top w:val="single" w:sz="8" w:space="0" w:shadow="0" w:frame="0"/>
              <w:left w:val="single" w:sz="8" w:space="0" w:shadow="0" w:frame="0"/>
              <w:bottom w:val="single" w:sz="8" w:space="0" w:shadow="0" w:frame="0"/>
              <w:right w:val="single" w:sz="8" w:space="0" w:shadow="0" w:frame="0"/>
            </w:tcBorders>
          </w:tcPr>
          <w:p>
            <w:pPr>
              <w:jc w:val="center"/>
              <w:rPr>
                <w:rFonts w:cs="Arial"/>
              </w:rPr>
            </w:pPr>
            <w:r>
              <w:rPr>
                <w:rFonts w:cs="Arial" w:eastAsia="Calibri"/>
                <w:b w:val="1"/>
                <w:bCs w:val="1"/>
                <w:sz w:val="20"/>
                <w:szCs w:val="20"/>
              </w:rPr>
              <w:t>50 dBA</w:t>
            </w:r>
          </w:p>
        </w:tc>
        <w:tc>
          <w:tcPr>
            <w:tcW w:w="1987" w:type="dxa"/>
            <w:tcBorders>
              <w:top w:val="single" w:sz="8" w:space="0" w:shadow="0" w:frame="0"/>
              <w:left w:val="single" w:sz="8" w:space="0" w:shadow="0" w:frame="0"/>
              <w:bottom w:val="single" w:sz="8" w:space="0" w:shadow="0" w:frame="0"/>
              <w:right w:val="single" w:sz="8" w:space="0" w:shadow="0" w:frame="0"/>
            </w:tcBorders>
          </w:tcPr>
          <w:p>
            <w:pPr>
              <w:jc w:val="center"/>
              <w:rPr>
                <w:rFonts w:cs="Arial"/>
              </w:rPr>
            </w:pPr>
            <w:r>
              <w:rPr>
                <w:rFonts w:cs="Arial" w:eastAsia="Calibri"/>
                <w:b w:val="1"/>
                <w:bCs w:val="1"/>
                <w:sz w:val="20"/>
                <w:szCs w:val="20"/>
              </w:rPr>
              <w:t>70 dBA</w:t>
            </w:r>
          </w:p>
        </w:tc>
      </w:tr>
    </w:tbl>
    <w:p>
      <w:pPr>
        <w:spacing w:lineRule="auto" w:line="257" w:beforeAutospacing="0" w:afterAutospacing="0"/>
        <w:rPr>
          <w:rFonts w:cs="Arial"/>
        </w:rPr>
      </w:pPr>
      <w:r>
        <w:rPr>
          <w:rFonts w:cs="Arial" w:eastAsia="Helvetica"/>
          <w:szCs w:val="24"/>
        </w:rPr>
        <w:t xml:space="preserve"> </w:t>
      </w:r>
    </w:p>
    <w:p>
      <w:pPr>
        <w:spacing w:lineRule="auto" w:line="257" w:beforeAutospacing="0" w:afterAutospacing="0"/>
        <w:rPr>
          <w:rFonts w:cs="Arial" w:eastAsia="Calibri"/>
          <w:szCs w:val="24"/>
        </w:rPr>
      </w:pPr>
      <w:r>
        <w:rPr>
          <w:rFonts w:cs="Arial" w:eastAsia="Calibri"/>
          <w:szCs w:val="24"/>
        </w:rPr>
        <w:t>Om bullernivåerna vid en exponerad fasad överskrids, bör en skyddad sida uppnås där bullret uppgår till högst 55 dBA ekvivalent ljudnivå och högst 70 dBA maximal ljudnivå vid fasad mellan kl. 22.00 – 06.00. Som minst ska hälften av bostadsrummen vändas mot den skyddade sidan. Även här gäller högst 50 dBA ekvivalent ljudnivå samt 70 dBA maximal ljudnivå vid en uteplats om en sådan ska anordnas i anslutning till byggnaden. Maximalnivån vid uteplats bör inte överskridas med mer än 10 dBA maximal ljudnivå fem gånger per timme mellan kl. 06.00 – 22.00.</w:t>
      </w:r>
    </w:p>
    <w:p>
      <w:pPr>
        <w:pStyle w:val="P4"/>
        <w:rPr>
          <w:rFonts w:cs="Arial"/>
        </w:rPr>
      </w:pPr>
      <w:bookmarkEnd w:id="173"/>
      <w:r>
        <w:rPr>
          <w:rFonts w:cs="Arial"/>
        </w:rPr>
        <w:t>Konsekvenser</w:t>
      </w:r>
    </w:p>
    <w:p>
      <w:pPr>
        <w:spacing w:lineRule="auto" w:line="257" w:beforeAutospacing="0" w:afterAutospacing="0"/>
        <w:rPr>
          <w:rFonts w:cs="Arial" w:eastAsia="Calibri"/>
        </w:rPr>
      </w:pPr>
      <w:bookmarkStart w:id="174" w:name="ko_beräkningavomgivningsbuller01"/>
      <w:r>
        <w:rPr>
          <w:rFonts w:cs="Arial" w:eastAsia="Calibri"/>
        </w:rPr>
        <w:t xml:space="preserve">Ett genomförande av detaljplanen bedöms inte bidra till någon förändring avseende buller som kräver att bullerdämpande åtgärder behöver vidtas. </w:t>
      </w:r>
      <w:bookmarkEnd w:id="174"/>
    </w:p>
    <w:p>
      <w:pPr>
        <w:spacing w:after="160" w:beforeAutospacing="0" w:afterAutospacing="0"/>
        <w:rPr>
          <w:rFonts w:cs="Arial"/>
        </w:rPr>
      </w:pPr>
      <w:r>
        <w:rPr>
          <w:rFonts w:cs="Arial"/>
        </w:rPr>
        <w:br w:type="page"/>
      </w:r>
    </w:p>
    <w:p>
      <w:pPr>
        <w:pStyle w:val="P2"/>
      </w:pPr>
      <w:bookmarkStart w:id="175" w:name="_Toc214886809"/>
      <w:bookmarkStart w:id="176" w:name="_Toc220311634"/>
      <w:r>
        <w:t>Teknisk försörjning</w:t>
      </w:r>
      <w:bookmarkEnd w:id="175"/>
      <w:bookmarkEnd w:id="176"/>
    </w:p>
    <w:p>
      <w:pPr>
        <w:pStyle w:val="P3"/>
      </w:pPr>
      <w:bookmarkStart w:id="177" w:name="_Toc214886810"/>
      <w:bookmarkStart w:id="178" w:name="_Toc220311635"/>
      <w:r>
        <w:t>Vatten och spillvatten</w:t>
      </w:r>
      <w:bookmarkEnd w:id="177"/>
      <w:bookmarkEnd w:id="178"/>
    </w:p>
    <w:p>
      <w:pPr>
        <w:spacing w:lineRule="auto" w:line="257" w:beforeAutospacing="0" w:afterAutospacing="0"/>
        <w:rPr>
          <w:rFonts w:cs="Arial" w:eastAsia="Calibri"/>
        </w:rPr>
      </w:pPr>
      <w:bookmarkStart w:id="179" w:name="pf_teknik01"/>
      <w:r>
        <w:rPr>
          <w:rFonts w:cs="Arial" w:eastAsia="Calibri"/>
        </w:rPr>
        <w:t>Planområdet</w:t>
      </w:r>
      <w:r>
        <w:rPr>
          <w:rFonts w:cs="Arial" w:eastAsia="Calibri"/>
          <w:color w:val="00B050"/>
        </w:rPr>
        <w:t xml:space="preserve"> </w:t>
      </w:r>
      <w:r>
        <w:rPr>
          <w:rFonts w:cs="Arial" w:eastAsia="Calibri"/>
        </w:rPr>
        <w:t xml:space="preserve">ingår i kommunalt verksamhetsområde för vatten och spillvatten. </w:t>
      </w:r>
      <w:r>
        <w:t>Den befintliga byggnaden inom planområdet är ansluten till det kommunala VA-nätet, där Hemab är huvudman. Ledningarna sträcker sig från det nordöstra till det sydvästra hörnet av planområdet.</w:t>
      </w:r>
    </w:p>
    <w:p>
      <w:r>
        <w:t xml:space="preserve">Strax utanför planområdet finns ett ledningsreservat (2280–2017/44) med en 6 meter bred buffertzon. </w:t>
      </w:r>
    </w:p>
    <w:p>
      <w:pPr>
        <w:pStyle w:val="P4"/>
        <w:rPr>
          <w:rFonts w:cs="Arial" w:eastAsiaTheme="minorHAnsi"/>
        </w:rPr>
      </w:pPr>
      <w:bookmarkEnd w:id="179"/>
      <w:bookmarkStart w:id="180" w:name="_Hlk116914916"/>
      <w:r>
        <w:rPr>
          <w:rFonts w:cs="Arial"/>
        </w:rPr>
        <w:t xml:space="preserve">Konsekvenser </w:t>
      </w:r>
    </w:p>
    <w:p>
      <w:bookmarkEnd w:id="180"/>
      <w:bookmarkStart w:id="181" w:name="ko_annat07"/>
      <w:r>
        <w:t>Ny bostadsbebyggelse kan anslutas till det kommunala vatten- och spillvattennätet.</w:t>
      </w:r>
    </w:p>
    <w:p>
      <w:pPr>
        <w:pStyle w:val="P3"/>
      </w:pPr>
      <w:bookmarkEnd w:id="181"/>
      <w:bookmarkStart w:id="182" w:name="_Toc214886811"/>
      <w:bookmarkStart w:id="183" w:name="_Toc220311636"/>
      <w:r>
        <w:t>Dagvatten</w:t>
      </w:r>
      <w:bookmarkEnd w:id="182"/>
      <w:bookmarkEnd w:id="183"/>
    </w:p>
    <w:p>
      <w:bookmarkStart w:id="184" w:name="pf_teknik02"/>
      <w:r>
        <w:t>Dagvatten är regn- och smältvatten som tillfälligt avrinner på markytan. Under naturliga förhållanden infiltreras större delen av vattnet i marken, innan det når vattendrag. I takt med att staden förtätas och tidigare oexploaterade ytor hårdgörs minskar möjligheterna till naturlig infiltration i marken vilket medför att dagvattnet avleds direkt till närliggande vattendrag. Detta ställer krav på en robust och långsiktigt hållbar dagvattenhantering.</w:t>
      </w:r>
    </w:p>
    <w:p>
      <w:r>
        <w:t xml:space="preserve">Planområdet är bebyggt med en komplementbyggnad och ett bostadshus om cirka 65 m² byggnasarea (ytan byggnaden upptar på marken), vilket motsvarar 3 % av fastighetsytan. Resterande mark fungerar som naturlig infiltrationsyta för dagvatten. Skyfallskarteringen visar att planområdet klassas som ”lägsta nivå” för maxdjup P100 (ett extremt scenario som i genomsnitt inträffar vart hundrade år), se 17 nedan. Avrinningen för ytvatten sker från den östra delen av infartsvägen ned mot Södra sundet, i enlighet med planområdets naturliga lutning mot strandlinjen. </w:t>
      </w:r>
    </w:p>
    <w:p>
      <w:r>
        <w:t>Planområdet ligger inom kommunalt verksamhetsområde. I dagsläget finns ingen problematik med dagvattenhanteringen.</w:t>
      </w:r>
    </w:p>
    <w:p>
      <w:pPr>
        <w:spacing w:lineRule="auto" w:line="240" w:after="0" w:beforeAutospacing="0" w:afterAutospacing="0"/>
        <w:rPr>
          <w:rFonts w:eastAsia="Times New Roman"/>
        </w:rPr>
      </w:pPr>
    </w:p>
    <w:p>
      <w:pPr>
        <w:keepNext w:val="1"/>
        <w:spacing w:lineRule="auto" w:line="240" w:after="0" w:beforeAutospacing="0" w:afterAutospacing="0"/>
      </w:pPr>
      <w:r>
        <w:rPr>
          <w:noProof w:val="1"/>
          <w:color w:val="FF0000"/>
        </w:rPr>
        <mc:AlternateContent>
          <mc:Choice Requires="wps">
            <w:drawing>
              <wp:anchor xmlns:wp="http://schemas.openxmlformats.org/drawingml/2006/wordprocessingDrawing" distT="0" distB="0" distL="114300" distR="114300" simplePos="0" relativeHeight="7" behindDoc="0" locked="0" layoutInCell="1" allowOverlap="1">
                <wp:simplePos x="0" y="0"/>
                <wp:positionH relativeFrom="column">
                  <wp:posOffset>559435</wp:posOffset>
                </wp:positionH>
                <wp:positionV relativeFrom="paragraph">
                  <wp:posOffset>1127125</wp:posOffset>
                </wp:positionV>
                <wp:extent cx="636905" cy="426085"/>
                <wp:effectExtent l="19050" t="19050" r="29845" b="12065"/>
                <wp:wrapNone/>
                <wp:docPr id="45" name="Rektangel 45"/>
                <wp:cNvGraphicFramePr/>
                <a:graphic xmlns:a="http://schemas.openxmlformats.org/drawingml/2006/main">
                  <a:graphicData uri="http://schemas.microsoft.com/office/word/2010/wordprocessingShape">
                    <wps:wsp>
                      <wps:cNvSpPr/>
                      <wps:spPr>
                        <a:xfrm>
                          <a:off x="0" y="0"/>
                          <a:ext cx="637237" cy="426427"/>
                        </a:xfrm>
                        <a:custGeom>
                          <a:gdLst>
                            <a:gd name="connsiteX0" fmla="*/ 0 w 593725"/>
                            <a:gd name="connsiteY0" fmla="*/ 0 h 327660"/>
                            <a:gd name="connsiteX1" fmla="*/ 593725 w 593725"/>
                            <a:gd name="connsiteY1" fmla="*/ 0 h 327660"/>
                            <a:gd name="connsiteX2" fmla="*/ 593725 w 593725"/>
                            <a:gd name="connsiteY2" fmla="*/ 327660 h 327660"/>
                            <a:gd name="connsiteX3" fmla="*/ 0 w 593725"/>
                            <a:gd name="connsiteY3" fmla="*/ 327660 h 327660"/>
                            <a:gd name="connsiteX4" fmla="*/ 0 w 593725"/>
                            <a:gd name="connsiteY4" fmla="*/ 0 h 327660"/>
                            <a:gd name="connsiteX0" fmla="*/ 78154 w 593725"/>
                            <a:gd name="connsiteY0" fmla="*/ 0 h 382367"/>
                            <a:gd name="connsiteX1" fmla="*/ 593725 w 593725"/>
                            <a:gd name="connsiteY1" fmla="*/ 54707 h 382367"/>
                            <a:gd name="connsiteX2" fmla="*/ 593725 w 593725"/>
                            <a:gd name="connsiteY2" fmla="*/ 382367 h 382367"/>
                            <a:gd name="connsiteX3" fmla="*/ 0 w 593725"/>
                            <a:gd name="connsiteY3" fmla="*/ 382367 h 382367"/>
                            <a:gd name="connsiteX4" fmla="*/ 78154 w 593725"/>
                            <a:gd name="connsiteY4" fmla="*/ 0 h 382367"/>
                            <a:gd name="connsiteX0" fmla="*/ 46892 w 562463"/>
                            <a:gd name="connsiteY0" fmla="*/ 0 h 394074"/>
                            <a:gd name="connsiteX1" fmla="*/ 562463 w 562463"/>
                            <a:gd name="connsiteY1" fmla="*/ 54707 h 394074"/>
                            <a:gd name="connsiteX2" fmla="*/ 562463 w 562463"/>
                            <a:gd name="connsiteY2" fmla="*/ 382367 h 394074"/>
                            <a:gd name="connsiteX3" fmla="*/ 0 w 562463"/>
                            <a:gd name="connsiteY3" fmla="*/ 394074 h 394074"/>
                            <a:gd name="connsiteX4" fmla="*/ 46892 w 562463"/>
                            <a:gd name="connsiteY4" fmla="*/ 0 h 394074"/>
                            <a:gd name="connsiteX0" fmla="*/ 46892 w 562463"/>
                            <a:gd name="connsiteY0" fmla="*/ 0 h 394074"/>
                            <a:gd name="connsiteX1" fmla="*/ 562463 w 562463"/>
                            <a:gd name="connsiteY1" fmla="*/ 54707 h 394074"/>
                            <a:gd name="connsiteX2" fmla="*/ 562463 w 562463"/>
                            <a:gd name="connsiteY2" fmla="*/ 382367 h 394074"/>
                            <a:gd name="connsiteX3" fmla="*/ 0 w 562463"/>
                            <a:gd name="connsiteY3" fmla="*/ 394074 h 394074"/>
                            <a:gd name="connsiteX4" fmla="*/ 27831 w 562463"/>
                            <a:gd name="connsiteY4" fmla="*/ 215026 h 394074"/>
                            <a:gd name="connsiteX5" fmla="*/ 46892 w 562463"/>
                            <a:gd name="connsiteY5" fmla="*/ 0 h 394074"/>
                            <a:gd name="connsiteX0" fmla="*/ 54221 w 569792"/>
                            <a:gd name="connsiteY0" fmla="*/ 0 h 394074"/>
                            <a:gd name="connsiteX1" fmla="*/ 569792 w 569792"/>
                            <a:gd name="connsiteY1" fmla="*/ 54707 h 394074"/>
                            <a:gd name="connsiteX2" fmla="*/ 569792 w 569792"/>
                            <a:gd name="connsiteY2" fmla="*/ 382367 h 394074"/>
                            <a:gd name="connsiteX3" fmla="*/ 7329 w 569792"/>
                            <a:gd name="connsiteY3" fmla="*/ 394074 h 394074"/>
                            <a:gd name="connsiteX4" fmla="*/ 0 w 569792"/>
                            <a:gd name="connsiteY4" fmla="*/ 222835 h 394074"/>
                            <a:gd name="connsiteX5" fmla="*/ 54221 w 569792"/>
                            <a:gd name="connsiteY5" fmla="*/ 0 h 394074"/>
                            <a:gd name="connsiteX0" fmla="*/ 54221 w 589337"/>
                            <a:gd name="connsiteY0" fmla="*/ 0 h 394074"/>
                            <a:gd name="connsiteX1" fmla="*/ 569792 w 589337"/>
                            <a:gd name="connsiteY1" fmla="*/ 54707 h 394074"/>
                            <a:gd name="connsiteX2" fmla="*/ 589337 w 589337"/>
                            <a:gd name="connsiteY2" fmla="*/ 394074 h 394074"/>
                            <a:gd name="connsiteX3" fmla="*/ 7329 w 589337"/>
                            <a:gd name="connsiteY3" fmla="*/ 394074 h 394074"/>
                            <a:gd name="connsiteX4" fmla="*/ 0 w 589337"/>
                            <a:gd name="connsiteY4" fmla="*/ 222835 h 394074"/>
                            <a:gd name="connsiteX5" fmla="*/ 54221 w 589337"/>
                            <a:gd name="connsiteY5" fmla="*/ 0 h 394074"/>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89337" h="394074">
                              <a:moveTo>
                                <a:pt x="54221" y="0"/>
                              </a:moveTo>
                              <a:lnTo>
                                <a:pt x="569792" y="54707"/>
                              </a:lnTo>
                              <a:lnTo>
                                <a:pt x="589337" y="394074"/>
                              </a:lnTo>
                              <a:lnTo>
                                <a:pt x="7329" y="394074"/>
                              </a:lnTo>
                              <a:lnTo>
                                <a:pt x="0" y="222835"/>
                              </a:lnTo>
                              <a:lnTo>
                                <a:pt x="54221" y="0"/>
                              </a:lnTo>
                              <a:close/>
                            </a:path>
                          </a:pathLst>
                        </a:custGeom>
                        <a:noFill/>
                        <a:ln w="19050">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Rektangel 45" o:spid="_x0000_s1040" style="position:absolute;width:50.15pt;height:33.55pt;z-index:7;mso-wrap-distance-left:9pt;mso-wrap-distance-top:0pt;mso-wrap-distance-right:9pt;mso-wrap-distance-bottom:0pt;margin-left:44.05pt;margin-top:88.75pt;mso-position-horizontal:absolute;mso-position-horizontal-relative:text;mso-position-vertical:absolute;mso-position-vertical-relative:text;v-text-anchor:middle" o:allowincell="t" filled="f" strokecolor="#000000" strokeweight="1.5pt" stroked="t" coordsize="1003,671" path="m54221,0l569792,54707,589337,394074,7329,394074,,222835,54221,,xe">
                <v:textbox inset="3mm,1mm,3mm,1mm">
                  <w:txbxContent>
                    <w:p/>
                  </w:txbxContent>
                </v:textbox>
                <v:stroke dashstyle="shortdash"/>
              </v:shape>
            </w:pict>
          </mc:Fallback>
        </mc:AlternateContent>
      </w:r>
      <w:r>
        <w:rPr>
          <w:noProof w:val="1"/>
          <w:color w:val="FF0000"/>
        </w:rPr>
        <mc:AlternateContent>
          <mc:Choice Requires="wps">
            <w:drawing>
              <wp:anchor xmlns:wp="http://schemas.openxmlformats.org/drawingml/2006/wordprocessingDrawing" distT="0" distB="0" distL="114300" distR="114300" simplePos="0" relativeHeight="8" behindDoc="0" locked="0" layoutInCell="1" allowOverlap="1">
                <wp:simplePos x="0" y="0"/>
                <wp:positionH relativeFrom="column">
                  <wp:posOffset>3029585</wp:posOffset>
                </wp:positionH>
                <wp:positionV relativeFrom="paragraph">
                  <wp:posOffset>1163955</wp:posOffset>
                </wp:positionV>
                <wp:extent cx="715010" cy="478790"/>
                <wp:effectExtent l="19050" t="19050" r="46990" b="16510"/>
                <wp:wrapNone/>
                <wp:docPr id="46" name="Rektangel 45"/>
                <wp:cNvGraphicFramePr/>
                <a:graphic xmlns:a="http://schemas.openxmlformats.org/drawingml/2006/main">
                  <a:graphicData uri="http://schemas.microsoft.com/office/word/2010/wordprocessingShape">
                    <wps:wsp>
                      <wps:cNvSpPr/>
                      <wps:spPr>
                        <a:xfrm>
                          <a:off x="0" y="0"/>
                          <a:ext cx="715600" cy="478864"/>
                        </a:xfrm>
                        <a:custGeom>
                          <a:gdLst>
                            <a:gd name="connsiteX0" fmla="*/ 0 w 593725"/>
                            <a:gd name="connsiteY0" fmla="*/ 0 h 327660"/>
                            <a:gd name="connsiteX1" fmla="*/ 593725 w 593725"/>
                            <a:gd name="connsiteY1" fmla="*/ 0 h 327660"/>
                            <a:gd name="connsiteX2" fmla="*/ 593725 w 593725"/>
                            <a:gd name="connsiteY2" fmla="*/ 327660 h 327660"/>
                            <a:gd name="connsiteX3" fmla="*/ 0 w 593725"/>
                            <a:gd name="connsiteY3" fmla="*/ 327660 h 327660"/>
                            <a:gd name="connsiteX4" fmla="*/ 0 w 593725"/>
                            <a:gd name="connsiteY4" fmla="*/ 0 h 327660"/>
                            <a:gd name="connsiteX0" fmla="*/ 78154 w 593725"/>
                            <a:gd name="connsiteY0" fmla="*/ 0 h 382367"/>
                            <a:gd name="connsiteX1" fmla="*/ 593725 w 593725"/>
                            <a:gd name="connsiteY1" fmla="*/ 54707 h 382367"/>
                            <a:gd name="connsiteX2" fmla="*/ 593725 w 593725"/>
                            <a:gd name="connsiteY2" fmla="*/ 382367 h 382367"/>
                            <a:gd name="connsiteX3" fmla="*/ 0 w 593725"/>
                            <a:gd name="connsiteY3" fmla="*/ 382367 h 382367"/>
                            <a:gd name="connsiteX4" fmla="*/ 78154 w 593725"/>
                            <a:gd name="connsiteY4" fmla="*/ 0 h 382367"/>
                            <a:gd name="connsiteX0" fmla="*/ 46892 w 562463"/>
                            <a:gd name="connsiteY0" fmla="*/ 0 h 394074"/>
                            <a:gd name="connsiteX1" fmla="*/ 562463 w 562463"/>
                            <a:gd name="connsiteY1" fmla="*/ 54707 h 394074"/>
                            <a:gd name="connsiteX2" fmla="*/ 562463 w 562463"/>
                            <a:gd name="connsiteY2" fmla="*/ 382367 h 394074"/>
                            <a:gd name="connsiteX3" fmla="*/ 0 w 562463"/>
                            <a:gd name="connsiteY3" fmla="*/ 394074 h 394074"/>
                            <a:gd name="connsiteX4" fmla="*/ 46892 w 562463"/>
                            <a:gd name="connsiteY4" fmla="*/ 0 h 394074"/>
                            <a:gd name="connsiteX0" fmla="*/ 46892 w 562463"/>
                            <a:gd name="connsiteY0" fmla="*/ 0 h 394074"/>
                            <a:gd name="connsiteX1" fmla="*/ 562463 w 562463"/>
                            <a:gd name="connsiteY1" fmla="*/ 54707 h 394074"/>
                            <a:gd name="connsiteX2" fmla="*/ 562463 w 562463"/>
                            <a:gd name="connsiteY2" fmla="*/ 382367 h 394074"/>
                            <a:gd name="connsiteX3" fmla="*/ 0 w 562463"/>
                            <a:gd name="connsiteY3" fmla="*/ 394074 h 394074"/>
                            <a:gd name="connsiteX4" fmla="*/ 27831 w 562463"/>
                            <a:gd name="connsiteY4" fmla="*/ 215026 h 394074"/>
                            <a:gd name="connsiteX5" fmla="*/ 46892 w 562463"/>
                            <a:gd name="connsiteY5" fmla="*/ 0 h 394074"/>
                            <a:gd name="connsiteX0" fmla="*/ 54221 w 569792"/>
                            <a:gd name="connsiteY0" fmla="*/ 0 h 394074"/>
                            <a:gd name="connsiteX1" fmla="*/ 569792 w 569792"/>
                            <a:gd name="connsiteY1" fmla="*/ 54707 h 394074"/>
                            <a:gd name="connsiteX2" fmla="*/ 569792 w 569792"/>
                            <a:gd name="connsiteY2" fmla="*/ 382367 h 394074"/>
                            <a:gd name="connsiteX3" fmla="*/ 7329 w 569792"/>
                            <a:gd name="connsiteY3" fmla="*/ 394074 h 394074"/>
                            <a:gd name="connsiteX4" fmla="*/ 0 w 569792"/>
                            <a:gd name="connsiteY4" fmla="*/ 222835 h 394074"/>
                            <a:gd name="connsiteX5" fmla="*/ 54221 w 569792"/>
                            <a:gd name="connsiteY5" fmla="*/ 0 h 394074"/>
                            <a:gd name="connsiteX0" fmla="*/ 54221 w 589337"/>
                            <a:gd name="connsiteY0" fmla="*/ 0 h 394074"/>
                            <a:gd name="connsiteX1" fmla="*/ 569792 w 589337"/>
                            <a:gd name="connsiteY1" fmla="*/ 54707 h 394074"/>
                            <a:gd name="connsiteX2" fmla="*/ 589337 w 589337"/>
                            <a:gd name="connsiteY2" fmla="*/ 394074 h 394074"/>
                            <a:gd name="connsiteX3" fmla="*/ 7329 w 589337"/>
                            <a:gd name="connsiteY3" fmla="*/ 394074 h 394074"/>
                            <a:gd name="connsiteX4" fmla="*/ 0 w 589337"/>
                            <a:gd name="connsiteY4" fmla="*/ 222835 h 394074"/>
                            <a:gd name="connsiteX5" fmla="*/ 54221 w 589337"/>
                            <a:gd name="connsiteY5" fmla="*/ 0 h 394074"/>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89337" h="394074">
                              <a:moveTo>
                                <a:pt x="54221" y="0"/>
                              </a:moveTo>
                              <a:lnTo>
                                <a:pt x="569792" y="54707"/>
                              </a:lnTo>
                              <a:lnTo>
                                <a:pt x="589337" y="394074"/>
                              </a:lnTo>
                              <a:lnTo>
                                <a:pt x="7329" y="394074"/>
                              </a:lnTo>
                              <a:lnTo>
                                <a:pt x="0" y="222835"/>
                              </a:lnTo>
                              <a:lnTo>
                                <a:pt x="54221" y="0"/>
                              </a:lnTo>
                              <a:close/>
                            </a:path>
                          </a:pathLst>
                        </a:custGeom>
                        <a:noFill/>
                        <a:ln w="19050">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Rektangel 45" o:spid="_x0000_s1041" style="position:absolute;width:56.3pt;height:37.7pt;z-index:8;mso-wrap-distance-left:9pt;mso-wrap-distance-top:0pt;mso-wrap-distance-right:9pt;mso-wrap-distance-bottom:0pt;margin-left:238.55pt;margin-top:91.65pt;mso-position-horizontal:absolute;mso-position-horizontal-relative:text;mso-position-vertical:absolute;mso-position-vertical-relative:text;v-text-anchor:middle" o:allowincell="t" filled="f" strokecolor="#000000" strokeweight="1.5pt" stroked="t" coordsize="1126,754" path="m54221,0l569792,54707,589337,394074,7329,394074,,222835,54221,,xe">
                <v:textbox inset="3mm,1mm,3mm,1mm">
                  <w:txbxContent>
                    <w:p/>
                  </w:txbxContent>
                </v:textbox>
                <v:stroke dashstyle="shortdash"/>
              </v:shape>
            </w:pict>
          </mc:Fallback>
        </mc:AlternateContent>
      </w:r>
      <w:r>
        <w:rPr>
          <w:noProof w:val="1"/>
          <w:color w:val="FF0000"/>
        </w:rPr>
        <w:drawing>
          <wp:inline xmlns:wp="http://schemas.openxmlformats.org/drawingml/2006/wordprocessingDrawing" distT="0" distB="0" distL="0" distR="0">
            <wp:extent cx="2359025" cy="2686685"/>
            <wp:effectExtent l="0" t="0" r="3175" b="0"/>
            <wp:docPr id="24" name="Bildobjekt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68"/>
                    <pic:cNvPicPr/>
                  </pic:nvPicPr>
                  <pic:blipFill dpi="0">
                    <a:blip xmlns:r="http://schemas.openxmlformats.org/officeDocument/2006/relationships" r:embed="Relimage25"/>
                    <a:srcRect t="9102" r="7884"/>
                    <a:stretch>
                      <a:fillRect/>
                    </a:stretch>
                  </pic:blipFill>
                  <pic:spPr bwMode="auto">
                    <a:xfrm>
                      <a:off x="0" y="0"/>
                      <a:ext cx="2384035" cy="2715283"/>
                    </a:xfrm>
                    <a:prstGeom prst="rect"/>
                    <a:ln>
                      <a:noFill/>
                    </a:ln>
                  </pic:spPr>
                </pic:pic>
              </a:graphicData>
            </a:graphic>
          </wp:inline>
        </w:drawing>
      </w:r>
      <w:r>
        <w:rPr>
          <w:noProof w:val="1"/>
          <w:color w:val="FF0000"/>
        </w:rPr>
        <w:drawing>
          <wp:inline xmlns:wp="http://schemas.openxmlformats.org/drawingml/2006/wordprocessingDrawing" distT="0" distB="0" distL="0" distR="0">
            <wp:extent cx="2509520" cy="2680970"/>
            <wp:effectExtent l="0" t="0" r="5080" b="5080"/>
            <wp:docPr id="31" name="Bildobjekt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69"/>
                    <pic:cNvPicPr/>
                  </pic:nvPicPr>
                  <pic:blipFill dpi="0">
                    <a:blip xmlns:r="http://schemas.openxmlformats.org/officeDocument/2006/relationships" r:embed="Relimage26"/>
                    <a:srcRect t="8921"/>
                    <a:stretch>
                      <a:fillRect/>
                    </a:stretch>
                  </pic:blipFill>
                  <pic:spPr bwMode="auto">
                    <a:xfrm>
                      <a:off x="0" y="0"/>
                      <a:ext cx="2509965" cy="2681323"/>
                    </a:xfrm>
                    <a:prstGeom prst="rect"/>
                    <a:ln>
                      <a:noFill/>
                    </a:ln>
                  </pic:spPr>
                </pic:pic>
              </a:graphicData>
            </a:graphic>
          </wp:inline>
        </w:drawing>
      </w:r>
    </w:p>
    <w:p>
      <w:pPr>
        <w:pStyle w:val="P26"/>
      </w:pPr>
      <w:r>
        <w:t xml:space="preserve">Figur </w:t>
      </w:r>
      <w:r>
        <w:fldChar w:fldCharType="begin"/>
      </w:r>
      <w:r>
        <w:instrText>SEQ Figur \* ARABIC</w:instrText>
      </w:r>
      <w:r>
        <w:fldChar w:fldCharType="separate"/>
      </w:r>
      <w:r>
        <w:rPr>
          <w:noProof w:val="1"/>
        </w:rPr>
        <w:t>18</w:t>
      </w:r>
      <w:r>
        <w:fldChar w:fldCharType="end"/>
      </w:r>
      <w:r>
        <w:t>. (TV) Madjup P100. (TH) Rinnvägar. Planområdet markeras ungefärligt med svart.</w:t>
      </w:r>
    </w:p>
    <w:p>
      <w:pPr>
        <w:pStyle w:val="P4"/>
        <w:rPr>
          <w:rFonts w:cs="Arial" w:eastAsiaTheme="minorHAnsi"/>
        </w:rPr>
      </w:pPr>
      <w:bookmarkEnd w:id="184"/>
      <w:r>
        <w:rPr>
          <w:rFonts w:cs="Arial"/>
        </w:rPr>
        <w:t xml:space="preserve">Konsekvenser </w:t>
      </w:r>
    </w:p>
    <w:p>
      <w:pPr>
        <w:spacing w:after="0" w:beforeAutospacing="0" w:afterAutospacing="0"/>
      </w:pPr>
      <w:bookmarkStart w:id="185" w:name="ko_annat08"/>
      <w:r>
        <w:t>Ett genomförande av detaljplanen medför ytterligare hårdgjord yta inom fastigheten, motsvarande en</w:t>
      </w:r>
      <w:r>
        <w:rPr>
          <w:rFonts w:cs="Arial" w:eastAsia="Arial"/>
          <w:szCs w:val="24"/>
        </w:rPr>
        <w:t xml:space="preserve"> exploateringsgrad på 18% vilket är lägre än den maximalt tillåtna exploateringsgraden om 21 % i gällande detaljplan.</w:t>
      </w:r>
      <w:r>
        <w:t xml:space="preserve"> Bedömningen är att planförslaget säkerställer att tillräcklig yta för naturlig infiltration förblir, varför ingen ytterligare utredning krävs.  </w:t>
      </w:r>
    </w:p>
    <w:p>
      <w:pPr>
        <w:pStyle w:val="P3"/>
      </w:pPr>
      <w:bookmarkEnd w:id="185"/>
      <w:bookmarkStart w:id="186" w:name="_Toc214886812"/>
      <w:bookmarkStart w:id="187" w:name="_Toc220311637"/>
      <w:r>
        <w:t>El, fiber och tele</w:t>
      </w:r>
      <w:bookmarkEnd w:id="186"/>
      <w:bookmarkEnd w:id="187"/>
    </w:p>
    <w:p>
      <w:pPr>
        <w:rPr>
          <w:rFonts w:ascii="CIDFont+F4" w:hAnsi="CIDFont+F4" w:cs="CIDFont+F4"/>
          <w:szCs w:val="24"/>
        </w:rPr>
      </w:pPr>
      <w:bookmarkStart w:id="188" w:name="pf_teknik03"/>
      <w:r>
        <w:t>Hemab har ledningar som ansluter befintlig bostadsbyggnad, dessa är förlagda intill fastighetsgräns.</w:t>
      </w:r>
    </w:p>
    <w:p>
      <w:pPr>
        <w:pStyle w:val="P4"/>
      </w:pPr>
      <w:bookmarkEnd w:id="188"/>
      <w:r>
        <w:t xml:space="preserve">Konsekvenser </w:t>
      </w:r>
    </w:p>
    <w:p>
      <w:pPr>
        <w:rPr>
          <w:b w:val="1"/>
          <w:i w:val="1"/>
          <w:bCs w:val="1"/>
        </w:rPr>
      </w:pPr>
      <w:bookmarkStart w:id="189" w:name="ko_annat09"/>
      <w:r>
        <w:t>Fastighetsägare ansvarar för att kontakta näthavaren inför byggnation och för att bekosta eventuell ledningsflytt.</w:t>
      </w:r>
    </w:p>
    <w:p>
      <w:pPr>
        <w:pStyle w:val="P3"/>
      </w:pPr>
      <w:bookmarkEnd w:id="189"/>
      <w:bookmarkStart w:id="190" w:name="_Toc214886813"/>
      <w:bookmarkStart w:id="191" w:name="_Toc220311638"/>
      <w:r>
        <w:t>Avfall</w:t>
      </w:r>
      <w:bookmarkEnd w:id="190"/>
      <w:bookmarkEnd w:id="191"/>
    </w:p>
    <w:p>
      <w:pPr>
        <w:spacing w:lineRule="auto" w:line="257" w:beforeAutospacing="0" w:afterAutospacing="0"/>
        <w:rPr>
          <w:rFonts w:cs="Arial" w:eastAsia="Calibri"/>
        </w:rPr>
      </w:pPr>
      <w:bookmarkStart w:id="192" w:name="pf_teknik04"/>
      <w:r>
        <w:rPr>
          <w:rFonts w:cs="Arial" w:eastAsia="Calibri"/>
        </w:rPr>
        <w:t>Ytor för utsortering av samtliga fraktioner av avfall som uppkommer ska finnas. Det innebär att det ska finnas plats för hushållsavfall (restavfall och matavfall), förpackningar och eventuellt verksamhetsavfall. Hemab gällande anvisningar för ny- och ombyggnationer av plats för avfallshämtning ska följas vid bygglovsprövning.</w:t>
      </w:r>
    </w:p>
    <w:p>
      <w:pPr>
        <w:spacing w:lineRule="auto" w:line="257" w:beforeAutospacing="0" w:afterAutospacing="0"/>
        <w:rPr>
          <w:rFonts w:cs="Arial" w:eastAsia="Calibri"/>
        </w:rPr>
      </w:pPr>
      <w:r>
        <w:rPr>
          <w:rFonts w:cs="Arial" w:eastAsia="Calibri"/>
        </w:rPr>
        <w:t xml:space="preserve">Avfallsutrymmet ska placeras så att det är tillgängligt för avfallslämnarna och hämtningspersonal. Vägen ska vara framkomlig och sikten ska vara god. Körning på gång- och cykelväg är inte tillåten. Väghållaren är ansvarig för vägens utformning, skyltning, skötsel och framkomlighet. </w:t>
      </w:r>
    </w:p>
    <w:p>
      <w:pPr>
        <w:pStyle w:val="P4"/>
        <w:rPr>
          <w:rFonts w:eastAsia="Calibri"/>
          <w:szCs w:val="24"/>
        </w:rPr>
      </w:pPr>
      <w:bookmarkEnd w:id="192"/>
      <w:r>
        <w:t xml:space="preserve">Konsekvenser </w:t>
      </w:r>
    </w:p>
    <w:p>
      <w:pPr>
        <w:spacing w:lineRule="auto" w:line="257" w:beforeAutospacing="0" w:afterAutospacing="0"/>
        <w:rPr>
          <w:rFonts w:cs="Arial" w:eastAsia="Calibri"/>
          <w:szCs w:val="24"/>
        </w:rPr>
      </w:pPr>
      <w:bookmarkStart w:id="193" w:name="ko_annat10"/>
      <w:r>
        <w:rPr>
          <w:rFonts w:cs="Arial" w:eastAsia="Calibri"/>
          <w:szCs w:val="24"/>
        </w:rPr>
        <w:t>Ingen förändring.</w:t>
      </w:r>
    </w:p>
    <w:p>
      <w:pPr>
        <w:spacing w:after="160" w:beforeAutospacing="0" w:afterAutospacing="0"/>
        <w:rPr>
          <w:rFonts w:cstheme="majorBidi" w:eastAsiaTheme="majorEastAsia"/>
          <w:b w:val="1"/>
          <w:color w:val="2F5496" w:themeColor="accent1" w:themeShade="BF"/>
          <w:sz w:val="32"/>
          <w:szCs w:val="32"/>
        </w:rPr>
      </w:pPr>
      <w:bookmarkEnd w:id="193"/>
      <w:r>
        <w:br w:type="page"/>
      </w:r>
    </w:p>
    <w:p>
      <w:pPr>
        <w:pStyle w:val="P1"/>
      </w:pPr>
      <w:bookmarkStart w:id="194" w:name="_Toc214886814"/>
      <w:bookmarkStart w:id="195" w:name="_Toc220311639"/>
      <w:r>
        <w:t>Befintliga planeringsunderlag</w:t>
      </w:r>
      <w:bookmarkEnd w:id="194"/>
      <w:bookmarkEnd w:id="195"/>
    </w:p>
    <w:p>
      <w:r>
        <w:t xml:space="preserve">Under rubrikerna nedan går det att utläsa vilka planeringsunderlag samt lagstiftning som både ligger till grund för och påverkar utformningen av detaljplanen. </w:t>
      </w:r>
    </w:p>
    <w:p>
      <w:pPr>
        <w:pStyle w:val="P2"/>
        <w:rPr>
          <w:rFonts w:cs="Arial"/>
        </w:rPr>
      </w:pPr>
      <w:bookmarkStart w:id="196" w:name="_Toc214886815"/>
      <w:bookmarkStart w:id="197" w:name="_Toc220311640"/>
      <w:r>
        <w:rPr>
          <w:rFonts w:cs="Arial"/>
        </w:rPr>
        <w:t>Kommunala underlag</w:t>
      </w:r>
      <w:bookmarkEnd w:id="196"/>
      <w:bookmarkEnd w:id="197"/>
      <w:r>
        <w:rPr>
          <w:rFonts w:cs="Arial"/>
        </w:rPr>
        <w:t xml:space="preserve"> </w:t>
      </w:r>
    </w:p>
    <w:p>
      <w:pPr>
        <w:pStyle w:val="P3"/>
      </w:pPr>
      <w:bookmarkStart w:id="198" w:name="_Toc214886816"/>
      <w:bookmarkStart w:id="199" w:name="_Toc220311641"/>
      <w:r>
        <w:t>Översiktsplan</w:t>
      </w:r>
      <w:bookmarkEnd w:id="198"/>
      <w:bookmarkEnd w:id="199"/>
    </w:p>
    <w:p>
      <w:pPr>
        <w:rPr>
          <w:lang w:eastAsia="zh-CN"/>
        </w:rPr>
      </w:pPr>
      <w:bookmarkStart w:id="200" w:name="pu_översiktsplan01"/>
      <w:r>
        <w:rPr>
          <w:lang w:eastAsia="zh-CN"/>
        </w:rPr>
        <w:t xml:space="preserve">I gällande översiktsplan Mitt Härnösand 2040, antagen av Kommunfullmäktige den </w:t>
      </w:r>
      <w:r>
        <w:t>26</w:t>
      </w:r>
      <w:r>
        <w:rPr>
          <w:lang w:eastAsia="zh-CN"/>
        </w:rPr>
        <w:t xml:space="preserve"> september 2022, redovisas områdets mark- och vattenanvändningen som sammanhängande bostadsbebyggelse, se figur 18 nedan.</w:t>
      </w:r>
    </w:p>
    <w:p>
      <w:pPr>
        <w:rPr>
          <w:lang w:eastAsia="zh-CN"/>
        </w:rPr>
      </w:pPr>
      <w:r>
        <w:rPr>
          <w:noProof w:val="1"/>
        </w:rPr>
        <mc:AlternateContent>
          <mc:Choice Requires="wps">
            <w:drawing>
              <wp:anchor xmlns:wp="http://schemas.openxmlformats.org/drawingml/2006/wordprocessingDrawing" distT="0" distB="0" distL="114300" distR="114300" simplePos="0" relativeHeight="24" behindDoc="0" locked="0" layoutInCell="1" allowOverlap="1">
                <wp:simplePos x="0" y="0"/>
                <wp:positionH relativeFrom="column">
                  <wp:posOffset>0</wp:posOffset>
                </wp:positionH>
                <wp:positionV relativeFrom="paragraph">
                  <wp:posOffset>4602480</wp:posOffset>
                </wp:positionV>
                <wp:extent cx="2909570" cy="635"/>
                <wp:effectExtent l="0" t="0" r="0" b="0"/>
                <wp:wrapTopAndBottom/>
                <wp:docPr id="976932674" name="Textruta 976932674"/>
                <wp:cNvGraphicFramePr/>
                <a:graphic xmlns:a="http://schemas.openxmlformats.org/drawingml/2006/main">
                  <a:graphicData uri="http://schemas.microsoft.com/office/word/2010/wordprocessingShape">
                    <wps:wsp>
                      <wps:cNvSpPr txBox="1"/>
                      <wps:spPr>
                        <a:xfrm>
                          <a:off x="0" y="0"/>
                          <a:ext cx="2909570" cy="635"/>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26"/>
                              <w:rPr>
                                <w:noProof w:val="1"/>
                                <w:color w:val="8497B0" w:themeColor="text2" w:themeTint="99"/>
                                <w:sz w:val="24"/>
                                <w:lang w:eastAsia="zh-CN"/>
                              </w:rPr>
                            </w:pPr>
                            <w:r>
                              <w:t xml:space="preserve">Figur </w:t>
                            </w:r>
                            <w:r>
                              <w:fldChar w:fldCharType="begin"/>
                            </w:r>
                            <w:r>
                              <w:instrText>SEQ Figur \* ARABIC</w:instrText>
                            </w:r>
                            <w:r>
                              <w:fldChar w:fldCharType="separate"/>
                            </w:r>
                            <w:r>
                              <w:rPr>
                                <w:noProof w:val="1"/>
                              </w:rPr>
                              <w:t>19</w:t>
                            </w:r>
                            <w:r>
                              <w:fldChar w:fldCharType="end"/>
                            </w:r>
                            <w:r>
                              <w:t>. Utdrag ur gällande översiktsplan 2040, området för aktuell planansökan markeras med svart stjärna.</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xmlns:o="urn:schemas-microsoft-com:office:office" type="#_x0000_t202" id="Textruta 976932674" o:spid="_x0000_s1042" style="position:absolute;width:229.1pt;height:0.05pt;z-index:24;mso-wrap-distance-left:9pt;mso-wrap-distance-top:0pt;mso-wrap-distance-right:9pt;mso-wrap-distance-bottom:0pt;margin-left:0pt;margin-top:362.4pt;mso-position-horizontal:absolute;mso-position-horizontal-relative:text;mso-position-vertical:absolute;mso-position-vertical-relative:text" o:allowincell="t" fillcolor="#FFFFFF" stroked="f">
                <v:textbox style="mso-fit-shape-to-text:t" inset="0mm,0mm,0mm,0mm">
                  <w:txbxContent>
                    <w:p>
                      <w:pPr>
                        <w:pStyle w:val="P26"/>
                        <w:rPr>
                          <w:noProof w:val="1"/>
                          <w:color w:val="8497B0" w:themeColor="text2" w:themeTint="99"/>
                          <w:sz w:val="24"/>
                          <w:lang w:eastAsia="zh-CN"/>
                        </w:rPr>
                      </w:pPr>
                      <w:r>
                        <w:t xml:space="preserve">Figur </w:t>
                      </w:r>
                      <w:r>
                        <w:fldChar w:fldCharType="begin"/>
                      </w:r>
                      <w:r>
                        <w:instrText>SEQ Figur \* ARABIC</w:instrText>
                      </w:r>
                      <w:r>
                        <w:fldChar w:fldCharType="separate"/>
                      </w:r>
                      <w:r>
                        <w:rPr>
                          <w:noProof w:val="1"/>
                        </w:rPr>
                        <w:t>19</w:t>
                      </w:r>
                      <w:r>
                        <w:fldChar w:fldCharType="end"/>
                      </w:r>
                      <w:r>
                        <w:t>. Utdrag ur gällande översiktsplan 2040, området för aktuell planansökan markeras med svart stjärna.</w:t>
                      </w:r>
                    </w:p>
                  </w:txbxContent>
                </v:textbox>
                <w10:wrap type="topAndBottom"/>
              </v:shape>
            </w:pict>
          </mc:Fallback>
        </mc:AlternateContent>
      </w:r>
      <w:r>
        <w:rPr>
          <w:noProof w:val="1"/>
          <w:color w:val="8497B0" w:themeColor="text2" w:themeTint="99"/>
          <w:lang w:eastAsia="zh-CN"/>
        </w:rPr>
        <mc:AlternateContent>
          <mc:Choice Requires="wpg">
            <w:drawing>
              <wp:anchor xmlns:wp="http://schemas.openxmlformats.org/drawingml/2006/wordprocessingDrawing" distT="0" distB="0" distL="114300" distR="114300" simplePos="0" relativeHeight="2" behindDoc="0" locked="0" layoutInCell="1" allowOverlap="1">
                <wp:simplePos x="0" y="0"/>
                <wp:positionH relativeFrom="margin">
                  <wp:align>left</wp:align>
                </wp:positionH>
                <wp:positionV relativeFrom="paragraph">
                  <wp:posOffset>1237615</wp:posOffset>
                </wp:positionV>
                <wp:extent cx="2909570" cy="3307715"/>
                <wp:effectExtent l="0" t="0" r="5080" b="6985"/>
                <wp:wrapTopAndBottom/>
                <wp:docPr id="14" name="Grupp 14"/>
                <wp:cNvGraphicFramePr/>
                <a:graphic xmlns:a="http://schemas.openxmlformats.org/drawingml/2006/main">
                  <a:graphicData uri="http://schemas.microsoft.com/office/word/2010/wordprocessingGroup">
                    <wpg:wgp>
                      <wpg:cNvGrpSpPr/>
                      <wpg:grpSpPr>
                        <a:xfrm>
                          <a:off x="0" y="0"/>
                          <a:ext cx="2910179" cy="3307742"/>
                          <a:chOff x="0" y="0"/>
                          <a:chExt cx="3138805" cy="3596640"/>
                        </a:xfrm>
                      </wpg:grpSpPr>
                      <pic:pic xmlns:pic="http://schemas.openxmlformats.org/drawingml/2006/picture">
                        <pic:nvPicPr>
                          <pic:cNvPr id="15" name="Bildobjekt 15"/>
                          <pic:cNvPicPr>
                            <a:picLocks noChangeAspect="1"/>
                          </pic:cNvPicPr>
                        </pic:nvPicPr>
                        <pic:blipFill dpi="0">
                          <a:blip xmlns:r="http://schemas.openxmlformats.org/officeDocument/2006/relationships" r:embed="Relimage27"/>
                          <a:srcRect t="12806" b="4916"/>
                          <a:stretch>
                            <a:fillRect/>
                          </a:stretch>
                        </pic:blipFill>
                        <pic:spPr bwMode="auto">
                          <a:xfrm>
                            <a:off x="30480" y="22860"/>
                            <a:ext cx="3108325" cy="3573780"/>
                          </a:xfrm>
                          <a:prstGeom prst="rect"/>
                          <a:ln>
                            <a:noFill/>
                          </a:ln>
                        </pic:spPr>
                      </pic:pic>
                      <pic:pic xmlns:pic="http://schemas.openxmlformats.org/drawingml/2006/picture">
                        <pic:nvPicPr>
                          <pic:cNvPr id="18" name="Bildobjekt 18"/>
                          <pic:cNvPicPr>
                            <a:picLocks noChangeAspect="1"/>
                          </pic:cNvPicPr>
                        </pic:nvPicPr>
                        <pic:blipFill dpi="0">
                          <a:blip xmlns:r="http://schemas.openxmlformats.org/officeDocument/2006/relationships" r:embed="Relimage28"/>
                          <a:srcRect/>
                          <a:stretch>
                            <a:fillRect/>
                          </a:stretch>
                        </pic:blipFill>
                        <pic:spPr>
                          <a:xfrm>
                            <a:off x="0" y="0"/>
                            <a:ext cx="3101340" cy="232410"/>
                          </a:xfrm>
                          <a:prstGeom prst="rect"/>
                        </pic:spPr>
                      </pic:pic>
                    </wpg:wgp>
                  </a:graphicData>
                </a:graphic>
              </wp:anchor>
            </w:drawing>
          </mc:Choice>
          <mc:Fallback>
            <w:pict>
              <v:group xmlns:o="urn:schemas-microsoft-com:office:office" id="Grupp 14" style="position:absolute;width:229.1pt;height:260.45pt;z-index:2;mso-wrap-distance-left:9pt;mso-wrap-distance-top:0pt;mso-wrap-distance-right:9pt;mso-wrap-distance-bottom:0pt;margin-left:0pt;margin-top:97.45pt;mso-position-horizontal:left;mso-position-horizontal-relative:margin;mso-position-vertical:absolute;mso-position-vertical-relative:text" coordorigin="0,0" coordsize="3138805,3596640" o:allowincell="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objekt 15" o:spid="_x0000_s1044" type="#_x0000_t75" style="position:absolute;left:30480;top:22860;width:3108325;height:3573780" o:preferrelative="t" stroked="f" o:allowincell="t">
                  <v:imagedata src="Relimage27" o:title="" croptop="8393f" cropbottom="3222f" cropleft="0f" cropright="0f"/>
                  <w10:wrap type="topAndBottom"/>
                  <o:lock aspectratio="t"/>
                </v:shape>
                <v:shape id="Bildobjekt 18" o:spid="_x0000_s1045" type="#_x0000_t75" style="position:absolute;width:3101340;height:232410" o:preferrelative="t" stroked="f" o:allowincell="t">
                  <v:imagedata src="Relimage28" o:title=""/>
                  <w10:wrap type="topAndBottom"/>
                  <o:lock aspectratio="t"/>
                </v:shape>
              </v:group>
            </w:pict>
          </mc:Fallback>
        </mc:AlternateContent>
      </w:r>
      <w:r>
        <w:rPr>
          <w:noProof w:val="1"/>
        </w:rPr>
        <mc:AlternateContent>
          <mc:Choice Requires="wps">
            <w:drawing>
              <wp:anchor xmlns:wp="http://schemas.openxmlformats.org/drawingml/2006/wordprocessingDrawing" distT="0" distB="0" distL="114300" distR="114300" simplePos="0" relativeHeight="9" behindDoc="0" locked="0" layoutInCell="1" allowOverlap="1">
                <wp:simplePos x="0" y="0"/>
                <wp:positionH relativeFrom="column">
                  <wp:posOffset>1297940</wp:posOffset>
                </wp:positionH>
                <wp:positionV relativeFrom="paragraph">
                  <wp:posOffset>2993390</wp:posOffset>
                </wp:positionV>
                <wp:extent cx="201930" cy="245745"/>
                <wp:effectExtent l="19050" t="19050" r="26670" b="40005"/>
                <wp:wrapNone/>
                <wp:docPr id="47" name="Stjärna: 6 punkter 47"/>
                <wp:cNvGraphicFramePr/>
                <a:graphic xmlns:a="http://schemas.openxmlformats.org/drawingml/2006/main">
                  <a:graphicData uri="http://schemas.microsoft.com/office/word/2010/wordprocessingShape">
                    <wps:wsp>
                      <wps:cNvSpPr/>
                      <wps:spPr>
                        <a:xfrm>
                          <a:off x="0" y="0"/>
                          <a:ext cx="202224" cy="246185"/>
                        </a:xfrm>
                        <a:prstGeom prst="star6"/>
                      </wps:spPr>
                      <wps:style>
                        <a:lnRef idx="2">
                          <a:schemeClr val="dk1">
                            <a:shade val="50000"/>
                          </a:schemeClr>
                        </a:lnRef>
                        <a:fillRef idx="1">
                          <a:schemeClr val="dk1"/>
                        </a:fillRef>
                        <a:effectRef idx="0">
                          <a:schemeClr val="dk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Stjärna: 6 punkter 47" o:spid="_x0000_s1046" style="position:absolute;width:15.9pt;height:19.35pt;z-index:9;mso-wrap-distance-left:9pt;mso-wrap-distance-top:0pt;mso-wrap-distance-right:9pt;mso-wrap-distance-bottom:0pt;margin-left:102.2pt;margin-top:235.7pt;mso-position-horizontal:absolute;mso-position-horizontal-relative:text;mso-position-vertical:absolute;mso-position-vertical-relative:text;v-text-anchor:middle" o:allowincell="t" strokecolor="#000000" strokeweight="1pt" stroked="t">
                <v:textbox inset="3mm,1mm,3mm,1mm">
                  <w:txbxContent>
                    <w:p/>
                  </w:txbxContent>
                </v:textbox>
              </v:shape>
            </w:pict>
          </mc:Fallback>
        </mc:AlternateContent>
      </w:r>
      <w:r>
        <w:rPr>
          <w:lang w:eastAsia="zh-CN"/>
        </w:rPr>
        <w:t>I beskrivningen till sammanhängande bostadsbebyggelse beskrivs dessa områden som: en något tätare bebyggelse, främst permanent bostäder. Viss service kan förekomma. Det finns i regel detaljplaner upprättade i dessa områden. Med ställningstagandet: Områden kan kompletteras med fler bostäder av olika form och storlek. Vid tillkommande bebyggelse kan detaljplaner behöva upprättas/ändras för dessa områden.</w:t>
      </w:r>
    </w:p>
    <w:p>
      <w:pPr>
        <w:spacing w:after="160" w:beforeAutospacing="0" w:afterAutospacing="0"/>
        <w:rPr>
          <w:rFonts w:cs="Arial" w:eastAsia="Times New Roman"/>
          <w:b w:val="1"/>
          <w:i w:val="1"/>
          <w:bCs w:val="1"/>
          <w:szCs w:val="26"/>
        </w:rPr>
      </w:pPr>
      <w:r>
        <w:br w:type="page"/>
      </w:r>
    </w:p>
    <w:p>
      <w:pPr>
        <w:pStyle w:val="P3"/>
      </w:pPr>
      <w:bookmarkEnd w:id="200"/>
      <w:bookmarkStart w:id="201" w:name="_Toc214886817"/>
      <w:bookmarkStart w:id="202" w:name="_Toc220311642"/>
      <w:r>
        <w:t>Detaljplaner och områdesbestämmelser</w:t>
      </w:r>
      <w:bookmarkEnd w:id="201"/>
      <w:bookmarkEnd w:id="202"/>
    </w:p>
    <w:p>
      <w:bookmarkStart w:id="203" w:name="pu_detaljplan01"/>
      <w:r>
        <w:t>Fastigheten ligger inom:</w:t>
      </w:r>
    </w:p>
    <w:p>
      <w:pPr>
        <w:pStyle w:val="P16"/>
        <w:numPr>
          <w:ilvl w:val="0"/>
          <w:numId w:val="32"/>
        </w:numPr>
      </w:pPr>
      <w:r>
        <w:t>Gällande detaljplaneändring, fastställd 2016-07-29 som är en ändring av ursprungliga detaljplanen för området, fastställd 1968-04-25 (</w:t>
      </w:r>
      <w:r>
        <w:rPr>
          <w:i w:val="1"/>
          <w:iCs w:val="1"/>
        </w:rPr>
        <w:t>Södra Sundet, strandområdet mellan stg 257L-321 Härnön</w:t>
      </w:r>
      <w:r>
        <w:t xml:space="preserve">), se figur 19 nedan. </w:t>
      </w:r>
    </w:p>
    <w:p>
      <w:r>
        <w:t>Detaljplanen reglerar en största byggnadsarea om 140 m</w:t>
      </w:r>
      <w:r>
        <w:rPr>
          <w:vertAlign w:val="superscript"/>
        </w:rPr>
        <w:t>2</w:t>
      </w:r>
      <w:r>
        <w:t xml:space="preserve"> för huvudbyggnad och 70 m</w:t>
      </w:r>
      <w:r>
        <w:rPr>
          <w:vertAlign w:val="superscript"/>
        </w:rPr>
        <w:t>2</w:t>
      </w:r>
      <w:r>
        <w:t xml:space="preserve"> för komplementbyggnad tillsammans med bestämmelse för minsta fastighetsstorlek på 1000 m</w:t>
      </w:r>
      <w:r>
        <w:rPr>
          <w:vertAlign w:val="superscript"/>
        </w:rPr>
        <w:t>2</w:t>
      </w:r>
      <w:r>
        <w:t xml:space="preserve">, detta motsvarar en exploateringsgrad om 21% (procent av fastigheten som får bebyggas). Högsta byggnadshöjd för huvudbyggnad är 4 meter. </w:t>
      </w:r>
    </w:p>
    <w:p>
      <w:bookmarkEnd w:id="203"/>
      <w:r>
        <w:rPr>
          <w:noProof w:val="1"/>
        </w:rPr>
        <mc:AlternateContent>
          <mc:Choice Requires="wps">
            <w:drawing>
              <wp:anchor xmlns:wp="http://schemas.openxmlformats.org/drawingml/2006/wordprocessingDrawing" distT="0" distB="0" distL="114300" distR="114300" simplePos="0" relativeHeight="11" behindDoc="0" locked="0" layoutInCell="1" allowOverlap="1">
                <wp:simplePos x="0" y="0"/>
                <wp:positionH relativeFrom="column">
                  <wp:posOffset>3846195</wp:posOffset>
                </wp:positionH>
                <wp:positionV relativeFrom="paragraph">
                  <wp:posOffset>772160</wp:posOffset>
                </wp:positionV>
                <wp:extent cx="619125" cy="477520"/>
                <wp:effectExtent l="19050" t="19050" r="47625" b="36830"/>
                <wp:wrapNone/>
                <wp:docPr id="49" name="Rektangel 49"/>
                <wp:cNvGraphicFramePr/>
                <a:graphic xmlns:a="http://schemas.openxmlformats.org/drawingml/2006/main">
                  <a:graphicData uri="http://schemas.microsoft.com/office/word/2010/wordprocessingShape">
                    <wps:wsp>
                      <wps:cNvSpPr/>
                      <wps:spPr>
                        <a:xfrm>
                          <a:off x="0" y="0"/>
                          <a:ext cx="619280" cy="478133"/>
                        </a:xfrm>
                        <a:custGeom>
                          <a:gdLst>
                            <a:gd name="connsiteX0" fmla="*/ 0 w 250825"/>
                            <a:gd name="connsiteY0" fmla="*/ 0 h 270510"/>
                            <a:gd name="connsiteX1" fmla="*/ 250825 w 250825"/>
                            <a:gd name="connsiteY1" fmla="*/ 0 h 270510"/>
                            <a:gd name="connsiteX2" fmla="*/ 250825 w 250825"/>
                            <a:gd name="connsiteY2" fmla="*/ 270510 h 270510"/>
                            <a:gd name="connsiteX3" fmla="*/ 0 w 250825"/>
                            <a:gd name="connsiteY3" fmla="*/ 270510 h 270510"/>
                            <a:gd name="connsiteX4" fmla="*/ 0 w 250825"/>
                            <a:gd name="connsiteY4" fmla="*/ 0 h 270510"/>
                            <a:gd name="connsiteX0" fmla="*/ 0 w 565754"/>
                            <a:gd name="connsiteY0" fmla="*/ 0 h 270510"/>
                            <a:gd name="connsiteX1" fmla="*/ 565754 w 565754"/>
                            <a:gd name="connsiteY1" fmla="*/ 93927 h 270510"/>
                            <a:gd name="connsiteX2" fmla="*/ 250825 w 565754"/>
                            <a:gd name="connsiteY2" fmla="*/ 270510 h 270510"/>
                            <a:gd name="connsiteX3" fmla="*/ 0 w 565754"/>
                            <a:gd name="connsiteY3" fmla="*/ 270510 h 270510"/>
                            <a:gd name="connsiteX4" fmla="*/ 0 w 565754"/>
                            <a:gd name="connsiteY4" fmla="*/ 0 h 270510"/>
                            <a:gd name="connsiteX0" fmla="*/ 33112 w 565754"/>
                            <a:gd name="connsiteY0" fmla="*/ 0 h 278797"/>
                            <a:gd name="connsiteX1" fmla="*/ 565754 w 565754"/>
                            <a:gd name="connsiteY1" fmla="*/ 102214 h 278797"/>
                            <a:gd name="connsiteX2" fmla="*/ 250825 w 565754"/>
                            <a:gd name="connsiteY2" fmla="*/ 278797 h 278797"/>
                            <a:gd name="connsiteX3" fmla="*/ 0 w 565754"/>
                            <a:gd name="connsiteY3" fmla="*/ 278797 h 278797"/>
                            <a:gd name="connsiteX4" fmla="*/ 33112 w 565754"/>
                            <a:gd name="connsiteY4" fmla="*/ 0 h 278797"/>
                            <a:gd name="connsiteX0" fmla="*/ 66223 w 598865"/>
                            <a:gd name="connsiteY0" fmla="*/ 0 h 474960"/>
                            <a:gd name="connsiteX1" fmla="*/ 598865 w 598865"/>
                            <a:gd name="connsiteY1" fmla="*/ 102214 h 474960"/>
                            <a:gd name="connsiteX2" fmla="*/ 283936 w 598865"/>
                            <a:gd name="connsiteY2" fmla="*/ 278797 h 474960"/>
                            <a:gd name="connsiteX3" fmla="*/ 0 w 598865"/>
                            <a:gd name="connsiteY3" fmla="*/ 474960 h 474960"/>
                            <a:gd name="connsiteX4" fmla="*/ 66223 w 598865"/>
                            <a:gd name="connsiteY4" fmla="*/ 0 h 474960"/>
                            <a:gd name="connsiteX0" fmla="*/ 66223 w 598865"/>
                            <a:gd name="connsiteY0" fmla="*/ 0 h 474960"/>
                            <a:gd name="connsiteX1" fmla="*/ 598865 w 598865"/>
                            <a:gd name="connsiteY1" fmla="*/ 102214 h 474960"/>
                            <a:gd name="connsiteX2" fmla="*/ 283936 w 598865"/>
                            <a:gd name="connsiteY2" fmla="*/ 278797 h 474960"/>
                            <a:gd name="connsiteX3" fmla="*/ 0 w 598865"/>
                            <a:gd name="connsiteY3" fmla="*/ 474960 h 474960"/>
                            <a:gd name="connsiteX4" fmla="*/ 33364 w 598865"/>
                            <a:gd name="connsiteY4" fmla="*/ 234914 h 474960"/>
                            <a:gd name="connsiteX5" fmla="*/ 66223 w 598865"/>
                            <a:gd name="connsiteY5" fmla="*/ 0 h 474960"/>
                            <a:gd name="connsiteX0" fmla="*/ 76970 w 609612"/>
                            <a:gd name="connsiteY0" fmla="*/ 0 h 474960"/>
                            <a:gd name="connsiteX1" fmla="*/ 609612 w 609612"/>
                            <a:gd name="connsiteY1" fmla="*/ 102214 h 474960"/>
                            <a:gd name="connsiteX2" fmla="*/ 294683 w 609612"/>
                            <a:gd name="connsiteY2" fmla="*/ 278797 h 474960"/>
                            <a:gd name="connsiteX3" fmla="*/ 10747 w 609612"/>
                            <a:gd name="connsiteY3" fmla="*/ 474960 h 474960"/>
                            <a:gd name="connsiteX4" fmla="*/ 0 w 609612"/>
                            <a:gd name="connsiteY4" fmla="*/ 262539 h 474960"/>
                            <a:gd name="connsiteX5" fmla="*/ 76970 w 609612"/>
                            <a:gd name="connsiteY5" fmla="*/ 0 h 474960"/>
                            <a:gd name="connsiteX0" fmla="*/ 76970 w 609612"/>
                            <a:gd name="connsiteY0" fmla="*/ 0 h 474960"/>
                            <a:gd name="connsiteX1" fmla="*/ 609612 w 609612"/>
                            <a:gd name="connsiteY1" fmla="*/ 102214 h 474960"/>
                            <a:gd name="connsiteX2" fmla="*/ 609612 w 609612"/>
                            <a:gd name="connsiteY2" fmla="*/ 397581 h 474960"/>
                            <a:gd name="connsiteX3" fmla="*/ 10747 w 609612"/>
                            <a:gd name="connsiteY3" fmla="*/ 474960 h 474960"/>
                            <a:gd name="connsiteX4" fmla="*/ 0 w 609612"/>
                            <a:gd name="connsiteY4" fmla="*/ 262539 h 474960"/>
                            <a:gd name="connsiteX5" fmla="*/ 76970 w 609612"/>
                            <a:gd name="connsiteY5" fmla="*/ 0 h 474960"/>
                            <a:gd name="connsiteX0" fmla="*/ 76970 w 612369"/>
                            <a:gd name="connsiteY0" fmla="*/ 0 h 474960"/>
                            <a:gd name="connsiteX1" fmla="*/ 612369 w 612369"/>
                            <a:gd name="connsiteY1" fmla="*/ 22103 h 474960"/>
                            <a:gd name="connsiteX2" fmla="*/ 609612 w 612369"/>
                            <a:gd name="connsiteY2" fmla="*/ 397581 h 474960"/>
                            <a:gd name="connsiteX3" fmla="*/ 10747 w 612369"/>
                            <a:gd name="connsiteY3" fmla="*/ 474960 h 474960"/>
                            <a:gd name="connsiteX4" fmla="*/ 0 w 612369"/>
                            <a:gd name="connsiteY4" fmla="*/ 262539 h 474960"/>
                            <a:gd name="connsiteX5" fmla="*/ 76970 w 612369"/>
                            <a:gd name="connsiteY5" fmla="*/ 0 h 474960"/>
                            <a:gd name="connsiteX0" fmla="*/ 79727 w 612369"/>
                            <a:gd name="connsiteY0" fmla="*/ 0 h 519159"/>
                            <a:gd name="connsiteX1" fmla="*/ 612369 w 612369"/>
                            <a:gd name="connsiteY1" fmla="*/ 66302 h 519159"/>
                            <a:gd name="connsiteX2" fmla="*/ 609612 w 612369"/>
                            <a:gd name="connsiteY2" fmla="*/ 441780 h 519159"/>
                            <a:gd name="connsiteX3" fmla="*/ 10747 w 612369"/>
                            <a:gd name="connsiteY3" fmla="*/ 519159 h 519159"/>
                            <a:gd name="connsiteX4" fmla="*/ 0 w 612369"/>
                            <a:gd name="connsiteY4" fmla="*/ 306738 h 519159"/>
                            <a:gd name="connsiteX5" fmla="*/ 79727 w 612369"/>
                            <a:gd name="connsiteY5" fmla="*/ 0 h 519159"/>
                            <a:gd name="connsiteX0" fmla="*/ 79727 w 617886"/>
                            <a:gd name="connsiteY0" fmla="*/ 0 h 519159"/>
                            <a:gd name="connsiteX1" fmla="*/ 617886 w 617886"/>
                            <a:gd name="connsiteY1" fmla="*/ 138091 h 519159"/>
                            <a:gd name="connsiteX2" fmla="*/ 609612 w 617886"/>
                            <a:gd name="connsiteY2" fmla="*/ 441780 h 519159"/>
                            <a:gd name="connsiteX3" fmla="*/ 10747 w 617886"/>
                            <a:gd name="connsiteY3" fmla="*/ 519159 h 519159"/>
                            <a:gd name="connsiteX4" fmla="*/ 0 w 617886"/>
                            <a:gd name="connsiteY4" fmla="*/ 306738 h 519159"/>
                            <a:gd name="connsiteX5" fmla="*/ 79727 w 617886"/>
                            <a:gd name="connsiteY5" fmla="*/ 0 h 519159"/>
                            <a:gd name="connsiteX0" fmla="*/ 76971 w 617886"/>
                            <a:gd name="connsiteY0" fmla="*/ 0 h 477743"/>
                            <a:gd name="connsiteX1" fmla="*/ 617886 w 617886"/>
                            <a:gd name="connsiteY1" fmla="*/ 96675 h 477743"/>
                            <a:gd name="connsiteX2" fmla="*/ 609612 w 617886"/>
                            <a:gd name="connsiteY2" fmla="*/ 400364 h 477743"/>
                            <a:gd name="connsiteX3" fmla="*/ 10747 w 617886"/>
                            <a:gd name="connsiteY3" fmla="*/ 477743 h 477743"/>
                            <a:gd name="connsiteX4" fmla="*/ 0 w 617886"/>
                            <a:gd name="connsiteY4" fmla="*/ 265322 h 477743"/>
                            <a:gd name="connsiteX5" fmla="*/ 76971 w 617886"/>
                            <a:gd name="connsiteY5" fmla="*/ 0 h 477743"/>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17886" h="477743">
                              <a:moveTo>
                                <a:pt x="76971" y="0"/>
                              </a:moveTo>
                              <a:lnTo>
                                <a:pt x="617886" y="96675"/>
                              </a:lnTo>
                              <a:lnTo>
                                <a:pt x="609612" y="400364"/>
                              </a:lnTo>
                              <a:lnTo>
                                <a:pt x="10747" y="477743"/>
                              </a:lnTo>
                              <a:lnTo>
                                <a:pt x="0" y="265322"/>
                              </a:lnTo>
                              <a:lnTo>
                                <a:pt x="76971" y="0"/>
                              </a:lnTo>
                              <a:close/>
                            </a:path>
                          </a:pathLst>
                        </a:custGeom>
                        <a:noFill/>
                        <a:ln w="19050">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Rektangel 49" o:spid="_x0000_s1047" style="position:absolute;width:48.75pt;height:37.6pt;z-index:11;mso-wrap-distance-left:9pt;mso-wrap-distance-top:0pt;mso-wrap-distance-right:9pt;mso-wrap-distance-bottom:0pt;margin-left:302.85pt;margin-top:60.8pt;mso-position-horizontal:absolute;mso-position-horizontal-relative:text;mso-position-vertical:absolute;mso-position-vertical-relative:text;v-text-anchor:middle" o:allowincell="t" filled="f" strokecolor="#000000" strokeweight="1.5pt" stroked="t" coordsize="975,752" path="m76971,0l617886,96675,609612,400364,10747,477743,,265322,76971,,xe">
                <v:textbox inset="3mm,1mm,3mm,1mm">
                  <w:txbxContent>
                    <w:p/>
                  </w:txbxContent>
                </v:textbox>
                <v:stroke dashstyle="shortdash"/>
              </v:shape>
            </w:pict>
          </mc:Fallback>
        </mc:AlternateContent>
      </w:r>
      <w:r>
        <w:rPr>
          <w:noProof w:val="1"/>
        </w:rPr>
        <mc:AlternateContent>
          <mc:Choice Requires="wps">
            <w:drawing>
              <wp:anchor xmlns:wp="http://schemas.openxmlformats.org/drawingml/2006/wordprocessingDrawing" distT="0" distB="0" distL="114300" distR="114300" simplePos="0" relativeHeight="25" behindDoc="0" locked="0" layoutInCell="1" allowOverlap="1">
                <wp:simplePos x="0" y="0"/>
                <wp:positionH relativeFrom="column">
                  <wp:posOffset>2929890</wp:posOffset>
                </wp:positionH>
                <wp:positionV relativeFrom="paragraph">
                  <wp:posOffset>6604635</wp:posOffset>
                </wp:positionV>
                <wp:extent cx="2355850" cy="635"/>
                <wp:effectExtent l="0" t="0" r="0" b="0"/>
                <wp:wrapSquare wrapText="bothSides"/>
                <wp:docPr id="976932675" name="Textruta 976932675"/>
                <wp:cNvGraphicFramePr/>
                <a:graphic xmlns:a="http://schemas.openxmlformats.org/drawingml/2006/main">
                  <a:graphicData uri="http://schemas.microsoft.com/office/word/2010/wordprocessingShape">
                    <wps:wsp>
                      <wps:cNvSpPr txBox="1"/>
                      <wps:spPr>
                        <a:xfrm>
                          <a:off x="0" y="0"/>
                          <a:ext cx="2355850" cy="635"/>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26"/>
                              <w:rPr>
                                <w:noProof w:val="1"/>
                                <w:sz w:val="24"/>
                              </w:rPr>
                            </w:pPr>
                            <w:r>
                              <w:t xml:space="preserve">Figur </w:t>
                            </w:r>
                            <w:r>
                              <w:fldChar w:fldCharType="begin"/>
                            </w:r>
                            <w:r>
                              <w:instrText>SEQ Figur \* ARABIC</w:instrText>
                            </w:r>
                            <w:r>
                              <w:fldChar w:fldCharType="separate"/>
                            </w:r>
                            <w:r>
                              <w:rPr>
                                <w:noProof w:val="1"/>
                              </w:rPr>
                              <w:t>20</w:t>
                            </w:r>
                            <w:r>
                              <w:fldChar w:fldCharType="end"/>
                            </w:r>
                            <w:r>
                              <w:t>.Utdrag ur gällande detaljplan 2016, den del som ersätts med ny detaljplan markerad med svart.</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xmlns:o="urn:schemas-microsoft-com:office:office" type="#_x0000_t202" id="Textruta 976932675" o:spid="_x0000_s1048" style="position:absolute;width:185.5pt;height:0.05pt;z-index:25;mso-wrap-distance-left:9pt;mso-wrap-distance-top:0pt;mso-wrap-distance-right:9pt;mso-wrap-distance-bottom:0pt;margin-left:230.7pt;margin-top:520.05pt;mso-position-horizontal:absolute;mso-position-horizontal-relative:text;mso-position-vertical:absolute;mso-position-vertical-relative:text" o:allowincell="t" fillcolor="#FFFFFF" stroked="f">
                <v:textbox style="mso-fit-shape-to-text:t" inset="0mm,0mm,0mm,0mm">
                  <w:txbxContent>
                    <w:p>
                      <w:pPr>
                        <w:pStyle w:val="P26"/>
                        <w:rPr>
                          <w:noProof w:val="1"/>
                          <w:sz w:val="24"/>
                        </w:rPr>
                      </w:pPr>
                      <w:r>
                        <w:t xml:space="preserve">Figur </w:t>
                      </w:r>
                      <w:r>
                        <w:fldChar w:fldCharType="begin"/>
                      </w:r>
                      <w:r>
                        <w:instrText>SEQ Figur \* ARABIC</w:instrText>
                      </w:r>
                      <w:r>
                        <w:fldChar w:fldCharType="separate"/>
                      </w:r>
                      <w:r>
                        <w:rPr>
                          <w:noProof w:val="1"/>
                        </w:rPr>
                        <w:t>20</w:t>
                      </w:r>
                      <w:r>
                        <w:fldChar w:fldCharType="end"/>
                      </w:r>
                      <w:r>
                        <w:t>.Utdrag ur gällande detaljplan 2016, den del som ersätts med ny detaljplan markerad med svart.</w:t>
                      </w:r>
                    </w:p>
                  </w:txbxContent>
                </v:textbox>
                <w10:wrap type="square"/>
              </v:shape>
            </w:pict>
          </mc:Fallback>
        </mc:AlternateContent>
      </w:r>
      <w:r>
        <w:rPr>
          <w:noProof w:val="1"/>
        </w:rPr>
        <w:drawing>
          <wp:anchor xmlns:wp="http://schemas.openxmlformats.org/drawingml/2006/wordprocessingDrawing" distT="0" distB="0" distL="114300" distR="114300" simplePos="0" relativeHeight="10" behindDoc="0" locked="0" layoutInCell="1" allowOverlap="1">
            <wp:simplePos x="0" y="0"/>
            <wp:positionH relativeFrom="margin">
              <wp:align>right</wp:align>
            </wp:positionH>
            <wp:positionV relativeFrom="paragraph">
              <wp:posOffset>6985</wp:posOffset>
            </wp:positionV>
            <wp:extent cx="2355850" cy="6540500"/>
            <wp:effectExtent l="0" t="0" r="6350" b="0"/>
            <wp:wrapSquare wrapText="bothSides"/>
            <wp:docPr id="48" name="Bildobjekt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70"/>
                    <pic:cNvPicPr/>
                  </pic:nvPicPr>
                  <pic:blipFill dpi="0">
                    <a:blip xmlns:r="http://schemas.openxmlformats.org/officeDocument/2006/relationships" r:embed="Relimage29"/>
                    <a:srcRect r="11423"/>
                    <a:stretch>
                      <a:fillRect/>
                    </a:stretch>
                  </pic:blipFill>
                  <pic:spPr bwMode="auto">
                    <a:xfrm>
                      <a:off x="0" y="0"/>
                      <a:ext cx="2355850" cy="6540500"/>
                    </a:xfrm>
                    <a:prstGeom prst="rect"/>
                    <a:ln>
                      <a:noFill/>
                    </a:ln>
                  </pic:spPr>
                </pic:pic>
              </a:graphicData>
            </a:graphic>
          </wp:anchor>
        </w:drawing>
      </w:r>
      <w:r>
        <w:br w:type="textWrapping"/>
        <w:br w:type="textWrapping"/>
      </w:r>
    </w:p>
    <w:p>
      <w:pPr>
        <w:pStyle w:val="P4"/>
        <w:rPr>
          <w:rFonts w:cs="Arial"/>
        </w:rPr>
      </w:pPr>
      <w:r>
        <w:rPr>
          <w:rFonts w:cs="Arial"/>
        </w:rPr>
        <w:t>Konsekvenser</w:t>
      </w:r>
    </w:p>
    <w:p>
      <w:bookmarkStart w:id="204" w:name="ko_annat11"/>
      <w:r>
        <w:t>Den nya detaljplanen ersätter den del av den nu gällande planen som överlappar området, se svart markering i figur 19. Den nya planen medger en total byggrätt på 285 m², utöver detta får 80 m² utgöra öppen area [</w:t>
      </w:r>
      <w:r>
        <w:rPr>
          <w:b w:val="1"/>
          <w:bCs w:val="1"/>
        </w:rPr>
        <w:t>e</w:t>
      </w:r>
      <w:r>
        <w:rPr>
          <w:b w:val="1"/>
          <w:bCs w:val="1"/>
          <w:vertAlign w:val="superscript"/>
        </w:rPr>
        <w:t>1</w:t>
      </w:r>
      <w:r>
        <w:t>] med en minsta fastighetsstorlek om 2000 m² [</w:t>
      </w:r>
      <w:r>
        <w:rPr>
          <w:b w:val="1"/>
          <w:bCs w:val="1"/>
        </w:rPr>
        <w:t>d</w:t>
      </w:r>
      <w:r>
        <w:rPr>
          <w:b w:val="1"/>
          <w:bCs w:val="1"/>
          <w:vertAlign w:val="superscript"/>
        </w:rPr>
        <w:t>1</w:t>
      </w:r>
      <w:r>
        <w:t xml:space="preserve">]. Detta ger en exploateringsgrad på 18% % vilket är lägre än den maximalt tillåtna exploateringsgraden om 21 % i gällande detaljplan, se figur 20 nedan. </w:t>
      </w:r>
    </w:p>
    <w:p>
      <w:pPr>
        <w:pStyle w:val="P26"/>
        <w:keepNext w:val="1"/>
      </w:pPr>
      <w:r>
        <w:rPr>
          <w:noProof w:val="1"/>
        </w:rPr>
        <w:drawing>
          <wp:inline xmlns:wp="http://schemas.openxmlformats.org/drawingml/2006/wordprocessingDrawing" distT="0" distB="0" distL="0" distR="0">
            <wp:extent cx="5287010" cy="2207895"/>
            <wp:effectExtent l="0" t="0" r="8890" b="1905"/>
            <wp:docPr id="976932676" name="Bildobjekt 976932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932676" name="Bildobjekt 976932676"/>
                    <pic:cNvPicPr>
                      <a:picLocks noChangeAspect="1" noChangeArrowheads="1"/>
                    </pic:cNvPicPr>
                  </pic:nvPicPr>
                  <pic:blipFill dpi="0">
                    <a:blip xmlns:r="http://schemas.openxmlformats.org/officeDocument/2006/relationships" r:embed="Relimage16" cstate="print"/>
                    <a:srcRect/>
                    <a:stretch>
                      <a:fillRect/>
                    </a:stretch>
                  </pic:blipFill>
                  <pic:spPr bwMode="auto">
                    <a:xfrm>
                      <a:off x="0" y="0"/>
                      <a:ext cx="5287010" cy="2207967"/>
                    </a:xfrm>
                    <a:prstGeom prst="rect"/>
                    <a:noFill/>
                    <a:ln>
                      <a:noFill/>
                    </a:ln>
                  </pic:spPr>
                </pic:pic>
              </a:graphicData>
            </a:graphic>
          </wp:inline>
        </w:drawing>
      </w:r>
    </w:p>
    <w:p>
      <w:pPr>
        <w:pStyle w:val="P26"/>
      </w:pPr>
      <w:r>
        <w:t xml:space="preserve">Figur </w:t>
      </w:r>
      <w:r>
        <w:fldChar w:fldCharType="begin"/>
      </w:r>
      <w:r>
        <w:instrText>SEQ Figur \* ARABIC</w:instrText>
      </w:r>
      <w:r>
        <w:fldChar w:fldCharType="separate"/>
      </w:r>
      <w:r>
        <w:rPr>
          <w:noProof w:val="1"/>
        </w:rPr>
        <w:t>21</w:t>
      </w:r>
      <w:r>
        <w:fldChar w:fldCharType="end"/>
      </w:r>
      <w:r>
        <w:t>. (TV) Illustration över den största tillåtna byggnadsarean av en fastighet om 1000 m</w:t>
      </w:r>
      <w:r>
        <w:rPr>
          <w:vertAlign w:val="superscript"/>
        </w:rPr>
        <w:t>2</w:t>
      </w:r>
      <w:r>
        <w:t>. (TH) Illustration över den största tillåtna byggnadsarean av en fastighet om 2000m</w:t>
      </w:r>
      <w:r>
        <w:rPr>
          <w:vertAlign w:val="superscript"/>
        </w:rPr>
        <w:t>2</w:t>
      </w:r>
      <w:r>
        <w:t>.</w:t>
      </w:r>
    </w:p>
    <w:p>
      <w:pPr>
        <w:pStyle w:val="P3"/>
      </w:pPr>
      <w:bookmarkEnd w:id="204"/>
      <w:bookmarkStart w:id="205" w:name="_Toc214886818"/>
      <w:bookmarkStart w:id="206" w:name="_Toc220311643"/>
      <w:r>
        <w:t>Planbesked</w:t>
      </w:r>
      <w:bookmarkEnd w:id="205"/>
      <w:bookmarkEnd w:id="206"/>
    </w:p>
    <w:p>
      <w:bookmarkStart w:id="207" w:name="pu_planbesked01"/>
      <w:r>
        <w:t>Planbesked är ett kommunalt beslut som lämnas för att formellt meddela om kommunen tänker inleda eller inte inleda planläggning. Planbeskedet är inte bindande och kan inte överklagas. Kommunen kan också inleda planläggning utan att planbesked lämnats.</w:t>
      </w:r>
    </w:p>
    <w:p>
      <w:pPr>
        <w:rPr>
          <w:szCs w:val="24"/>
        </w:rPr>
      </w:pPr>
      <w:r>
        <w:rPr>
          <w:szCs w:val="24"/>
        </w:rPr>
        <w:t>Byggnadsnämnden beslutade 2025-09-25</w:t>
      </w:r>
      <w:r>
        <w:rPr>
          <w:color w:val="FF0000"/>
          <w:szCs w:val="24"/>
        </w:rPr>
        <w:t xml:space="preserve"> </w:t>
      </w:r>
      <w:r>
        <w:rPr>
          <w:szCs w:val="24"/>
        </w:rPr>
        <w:t xml:space="preserve">§114 att inleda planläggning för fastigheten Härnö-Solum 1:103. </w:t>
      </w:r>
    </w:p>
    <w:p>
      <w:pPr>
        <w:pStyle w:val="P4"/>
        <w:rPr>
          <w:rFonts w:cs="Arial"/>
        </w:rPr>
      </w:pPr>
      <w:bookmarkEnd w:id="207"/>
      <w:r>
        <w:rPr>
          <w:rFonts w:cs="Arial"/>
        </w:rPr>
        <w:t>Konsekvenser</w:t>
      </w:r>
    </w:p>
    <w:p>
      <w:bookmarkStart w:id="208" w:name="ko_annat12"/>
      <w:r>
        <w:t xml:space="preserve">Detaljplanen stämmer överens med planbeskedet om att utveckla delar av rubricerad fastighet för bostadsändamål. </w:t>
      </w:r>
      <w:r>
        <w:rPr>
          <w:rFonts w:ascii="Segoe UI" w:hAnsi="Segoe UI" w:cs="Segoe UI" w:eastAsia="Segoe UI"/>
          <w:sz w:val="18"/>
          <w:szCs w:val="18"/>
        </w:rPr>
        <w:t xml:space="preserve"> </w:t>
      </w:r>
      <w:r>
        <w:rPr>
          <w:rFonts w:cs="Arial" w:eastAsia="Arial"/>
        </w:rPr>
        <w:t xml:space="preserve"> </w:t>
      </w:r>
    </w:p>
    <w:p>
      <w:pPr>
        <w:rPr>
          <w:rFonts w:cs="Arial"/>
          <w:color w:val="0070C0"/>
          <w:szCs w:val="24"/>
        </w:rPr>
      </w:pPr>
      <w:bookmarkEnd w:id="208"/>
    </w:p>
    <w:p>
      <w:pPr>
        <w:spacing w:after="160" w:beforeAutospacing="0" w:afterAutospacing="0"/>
        <w:rPr>
          <w:rFonts w:cs="Arial" w:eastAsia="Times New Roman"/>
          <w:b w:val="1"/>
          <w:i w:val="1"/>
          <w:bCs w:val="1"/>
          <w:color w:val="2F5496" w:themeColor="accent1" w:themeShade="BF"/>
          <w:szCs w:val="26"/>
        </w:rPr>
      </w:pPr>
      <w:r>
        <w:br w:type="page"/>
      </w:r>
    </w:p>
    <w:p>
      <w:pPr>
        <w:pStyle w:val="P3"/>
      </w:pPr>
      <w:bookmarkStart w:id="209" w:name="_Toc214886819"/>
      <w:bookmarkStart w:id="210" w:name="_Toc220311644"/>
      <w:r>
        <w:t>Kommunala beslut i övrigt</w:t>
      </w:r>
      <w:bookmarkEnd w:id="209"/>
      <w:bookmarkEnd w:id="210"/>
    </w:p>
    <w:p>
      <w:pPr>
        <w:rPr>
          <w:color w:val="4472C4" w:themeColor="accent1"/>
        </w:rPr>
      </w:pPr>
    </w:p>
    <w:p>
      <w:pPr>
        <w:rPr>
          <w:i w:val="1"/>
          <w:iCs w:val="1"/>
        </w:rPr>
      </w:pPr>
      <w:bookmarkStart w:id="211" w:name="pu_annat01"/>
      <w:r>
        <w:rPr>
          <w:i w:val="1"/>
          <w:iCs w:val="1"/>
        </w:rPr>
        <w:t xml:space="preserve">Renhållningsordning, 2022–2030 </w:t>
      </w:r>
    </w:p>
    <w:p>
      <w:r>
        <w:t>Kommunens avfallshantering följer miljöbalkens krav och 2020 års föreskrifter som reglerar ansvar, sortering och avfallsutrymmen.</w:t>
      </w:r>
    </w:p>
    <w:p/>
    <w:p>
      <w:pPr>
        <w:rPr>
          <w:i w:val="1"/>
          <w:iCs w:val="1"/>
        </w:rPr>
      </w:pPr>
      <w:r>
        <w:rPr>
          <w:i w:val="1"/>
          <w:iCs w:val="1"/>
        </w:rPr>
        <w:t>VA-policy, 2016</w:t>
      </w:r>
    </w:p>
    <w:p>
      <w:r>
        <w:t>Härnösands kommun ansvarar för säkert dricksvatten och avloppshantering. VA-policyn vägleder beslut för trygg vattenförsörjning och minskad miljöbelastning.</w:t>
      </w:r>
    </w:p>
    <w:p/>
    <w:p>
      <w:pPr>
        <w:rPr>
          <w:i w:val="1"/>
          <w:iCs w:val="1"/>
        </w:rPr>
      </w:pPr>
      <w:r>
        <w:rPr>
          <w:i w:val="1"/>
          <w:iCs w:val="1"/>
        </w:rPr>
        <w:t xml:space="preserve">Klimatanpassningsplan, 2100 </w:t>
      </w:r>
    </w:p>
    <w:p>
      <w:r>
        <w:t>Målet är att klimatanpassning ska vara en naturlig del i kommunens planering, genomförande och uppföljning.</w:t>
      </w:r>
    </w:p>
    <w:p/>
    <w:p>
      <w:pPr>
        <w:rPr>
          <w:i w:val="1"/>
          <w:iCs w:val="1"/>
        </w:rPr>
      </w:pPr>
      <w:r>
        <w:rPr>
          <w:i w:val="1"/>
          <w:iCs w:val="1"/>
        </w:rPr>
        <w:t>Bostadsförsörjningsprogram, 2017–2022</w:t>
      </w:r>
    </w:p>
    <w:p>
      <w:pPr>
        <w:rPr>
          <w:rFonts w:cs="Arial" w:eastAsia="Arial"/>
        </w:rPr>
      </w:pPr>
      <w:r>
        <w:t>Bostadsförsörjningsprogrammet mot 2035 ger riktlinjer för kommunens bostadsfrågor, översiktsplanens inriktning och en helhetsbild för bostadsmarknadens aktörer. Programmet har egentligen löp ut men vi följer detta tills vi har en ny.</w:t>
      </w:r>
    </w:p>
    <w:p/>
    <w:p>
      <w:pPr>
        <w:rPr>
          <w:i w:val="1"/>
          <w:iCs w:val="1"/>
        </w:rPr>
      </w:pPr>
      <w:r>
        <w:rPr>
          <w:i w:val="1"/>
          <w:iCs w:val="1"/>
        </w:rPr>
        <w:t>Trafikprogram, 2015–2050</w:t>
      </w:r>
    </w:p>
    <w:p>
      <w:r>
        <w:t>År 2025 ska 65 % av resorna ske med kollektivtrafik, cykel eller gång. Kollektivtrafikprogrammet visar vägen för en tillgänglig och förbättrad trafik i takt med kommunens tillväxt.</w:t>
      </w:r>
    </w:p>
    <w:p>
      <w:pPr>
        <w:pStyle w:val="P4"/>
        <w:rPr>
          <w:rFonts w:cs="Arial" w:eastAsia="Arial"/>
          <w:szCs w:val="24"/>
        </w:rPr>
      </w:pPr>
      <w:bookmarkEnd w:id="211"/>
      <w:r>
        <w:rPr>
          <w:rFonts w:cs="Arial" w:eastAsia="Arial"/>
          <w:szCs w:val="24"/>
        </w:rPr>
        <w:t>Konsekvenser</w:t>
      </w:r>
    </w:p>
    <w:p>
      <w:bookmarkStart w:id="212" w:name="ko_annat13"/>
      <w:r>
        <w:t>Detaljplanen bedöms vara förenlig med tidigare kommunala ställningstaganden. Planförslaget medger byggrätt för bostad inom ett område som kommunen identifierat som utvecklingsbart för utvidgning av bostadsbebyggelse, vilket i förlängningen kan stärka underlaget för en mer utbyggd kollektivtrafik.</w:t>
      </w:r>
    </w:p>
    <w:p>
      <w:pPr>
        <w:rPr>
          <w:rFonts w:cs="Arial"/>
          <w:color w:val="FF0000"/>
        </w:rPr>
      </w:pPr>
      <w:bookmarkEnd w:id="212"/>
    </w:p>
    <w:p>
      <w:pPr>
        <w:spacing w:after="160" w:beforeAutospacing="0" w:afterAutospacing="0"/>
        <w:rPr>
          <w:rFonts w:cstheme="majorBidi" w:eastAsiaTheme="majorEastAsia"/>
          <w:b w:val="1"/>
          <w:color w:val="2F5496" w:themeColor="accent1" w:themeShade="BF"/>
          <w:sz w:val="32"/>
          <w:szCs w:val="32"/>
        </w:rPr>
      </w:pPr>
      <w:r>
        <w:br w:type="page"/>
      </w:r>
    </w:p>
    <w:p>
      <w:pPr>
        <w:pStyle w:val="P1"/>
      </w:pPr>
      <w:bookmarkStart w:id="213" w:name="_Toc214886820"/>
      <w:bookmarkStart w:id="214" w:name="_Toc220311645"/>
      <w:r>
        <w:t>Förenligt med miljöbalken</w:t>
      </w:r>
      <w:bookmarkEnd w:id="213"/>
      <w:bookmarkEnd w:id="214"/>
    </w:p>
    <w:p>
      <w:pPr>
        <w:pStyle w:val="P2"/>
        <w:rPr>
          <w:rFonts w:cs="Arial"/>
        </w:rPr>
      </w:pPr>
      <w:bookmarkStart w:id="215" w:name="_Toc214886821"/>
      <w:bookmarkStart w:id="216" w:name="_Toc220311646"/>
      <w:r>
        <w:rPr>
          <w:rFonts w:cs="Arial"/>
        </w:rPr>
        <w:t>Undersökning av betydande miljöpåverkan</w:t>
      </w:r>
      <w:bookmarkEnd w:id="215"/>
      <w:bookmarkEnd w:id="216"/>
    </w:p>
    <w:p>
      <w:pPr>
        <w:spacing w:lineRule="auto" w:line="257" w:beforeAutospacing="0" w:afterAutospacing="0"/>
        <w:rPr>
          <w:rFonts w:cs="Arial"/>
        </w:rPr>
      </w:pPr>
      <w:bookmarkStart w:id="217" w:name="pu_undersökningenl6kap6_mb01"/>
      <w:r>
        <w:rPr>
          <w:rFonts w:cs="Arial" w:eastAsia="Calibri"/>
        </w:rPr>
        <w:t xml:space="preserve">När en detaljplan upprättas eller ändras ska kommunen ta ställning till om dess genomförande kan antas medföra en betydande miljöpåverkan. Planförslaget ska genomgå en undersökning enligt 6 kap. miljöbalken och miljöbedömningsförordningen (SFS 2017:966), där omständigheter som talar för eller emot en betydande miljöpåverkan ska identifieras. Om undersökningen resulterar i att en betydande miljöpåverkan kan antas ska planförslaget utredas i en miljökonsekvensbeskrivning (MKB). En MKB ska redovisa kommunens bedömning av den påverkan på miljön som planens genomförande kan få. Det som framkommer i en MKB ska integreras i planarbetet och handlingen ska samrådas i samband med planprocessen. </w:t>
      </w:r>
    </w:p>
    <w:p>
      <w:pPr>
        <w:spacing w:lineRule="auto" w:line="257" w:beforeAutospacing="0" w:afterAutospacing="0"/>
        <w:rPr>
          <w:rFonts w:cs="Arial" w:eastAsia="Calibri"/>
          <w:szCs w:val="24"/>
        </w:rPr>
      </w:pPr>
      <w:r>
        <w:rPr>
          <w:rFonts w:cs="Arial" w:eastAsia="Calibri"/>
          <w:szCs w:val="24"/>
        </w:rPr>
        <w:t>Enligt kommunens bedömning kan detaljplanens genomförande inte antas innebära en betydande miljöpåverkan, varför ingen MKB har upprättats.</w:t>
      </w:r>
    </w:p>
    <w:p>
      <w:pPr>
        <w:spacing w:lineRule="auto" w:line="257" w:beforeAutospacing="0" w:afterAutospacing="0"/>
      </w:pPr>
      <w:r>
        <w:t>Handlingen, tillsammans med kommunens bedömning, kommer att offentliggöras på kommunens anslagstavla i samband med samrådstiden för ärendet. Länsstyrelsen kommer också att ta del av beslutet och lämna en egen bedömning.</w:t>
      </w:r>
    </w:p>
    <w:p>
      <w:pPr>
        <w:pStyle w:val="P2"/>
        <w:rPr>
          <w:rFonts w:cs="Arial"/>
        </w:rPr>
      </w:pPr>
      <w:bookmarkEnd w:id="217"/>
      <w:bookmarkStart w:id="218" w:name="_Toc214886822"/>
      <w:bookmarkStart w:id="219" w:name="_Toc220311647"/>
      <w:r>
        <w:rPr>
          <w:rFonts w:cs="Arial"/>
        </w:rPr>
        <w:t>Miljökonsekvensbeskrivning</w:t>
      </w:r>
      <w:bookmarkEnd w:id="218"/>
      <w:bookmarkEnd w:id="219"/>
    </w:p>
    <w:p>
      <w:bookmarkStart w:id="220" w:name="pu_miljökonsekvensbeskrivning01"/>
      <w:r>
        <w:t>Ingen miljökonsekvensbeskrivning är upprättad för denna detaljplan i enlighet med ovanstående beslut över UBMP (Undersökningen av betydande miljöpåverkan).</w:t>
      </w:r>
    </w:p>
    <w:p>
      <w:pPr>
        <w:pStyle w:val="P2"/>
      </w:pPr>
      <w:bookmarkEnd w:id="220"/>
      <w:bookmarkStart w:id="221" w:name="_Toc214886823"/>
      <w:bookmarkStart w:id="222" w:name="_Toc220311648"/>
      <w:r>
        <w:t>Riksintressen</w:t>
      </w:r>
      <w:bookmarkEnd w:id="221"/>
      <w:bookmarkEnd w:id="222"/>
    </w:p>
    <w:p>
      <w:pPr>
        <w:spacing w:lineRule="auto" w:line="257" w:beforeAutospacing="0" w:afterAutospacing="0"/>
        <w:rPr>
          <w:rFonts w:cs="Arial"/>
        </w:rPr>
      </w:pPr>
      <w:bookmarkStart w:id="223" w:name="pf_riksintressen01"/>
      <w:r>
        <w:rPr>
          <w:rFonts w:cs="Arial" w:eastAsia="Calibri"/>
          <w:szCs w:val="24"/>
        </w:rPr>
        <w:t>Planområdet omfattas inte av riksintresse enligt 3–4 kapitlen miljöbalken (MB).</w:t>
      </w:r>
      <w:bookmarkEnd w:id="223"/>
      <w:r>
        <w:rPr>
          <w:rFonts w:cs="Arial" w:eastAsia="Calibri"/>
          <w:szCs w:val="24"/>
        </w:rPr>
        <w:t xml:space="preserve"> </w:t>
      </w:r>
    </w:p>
    <w:p>
      <w:pPr>
        <w:spacing w:after="160" w:beforeAutospacing="0" w:afterAutospacing="0"/>
        <w:rPr>
          <w:rFonts w:cs="Times New Roman" w:eastAsia="Times New Roman"/>
          <w:b w:val="1"/>
          <w:bCs w:val="1"/>
          <w:iCs w:val="1"/>
          <w:sz w:val="28"/>
          <w:szCs w:val="28"/>
          <w:lang w:eastAsia="sv-SE"/>
        </w:rPr>
      </w:pPr>
      <w:r>
        <w:br w:type="page"/>
      </w:r>
    </w:p>
    <w:p>
      <w:pPr>
        <w:pStyle w:val="P2"/>
      </w:pPr>
      <w:bookmarkStart w:id="224" w:name="_Toc214886824"/>
      <w:bookmarkStart w:id="225" w:name="_Toc220311649"/>
      <w:bookmarkStart w:id="226" w:name="pf_miljökvalitetsnormer01"/>
      <w:bookmarkStart w:id="227" w:name="_Toc214886827"/>
      <w:r>
        <w:t>Miljökvalitetsnormer</w:t>
      </w:r>
      <w:bookmarkEnd w:id="224"/>
      <w:bookmarkEnd w:id="225"/>
    </w:p>
    <w:p>
      <w:pPr>
        <w:spacing w:lineRule="auto" w:line="257" w:beforeAutospacing="0" w:afterAutospacing="0"/>
        <w:rPr>
          <w:rFonts w:cstheme="minorHAnsi" w:eastAsia="Calibri"/>
        </w:rPr>
      </w:pPr>
      <w:r>
        <w:rPr>
          <w:rFonts w:cstheme="minorHAnsi" w:eastAsia="Calibri"/>
        </w:rPr>
        <w:t>Miljökvalitetsnormer (MKN) är ett juridiskt bindande styrmedel, vars syfte är att komma till rätta med miljöpåverkan från mer diffusa utsläppskällor såsom trafik och jordbruk. Normen ska avspegla den lägst godtagbara miljökvaliteten eller det önskade miljötillståndet, men tar vanligtvis sikte på hur mänsklig verksamhet ska utformas. Det finns idag miljökvalitetsnormer för utomhusluft (SFS 2010:277), vattenförekomster (SFS 2004:660), fisk- och musselvatten (SFS 2001:554) samt omgivningsbuller (SFS 2004:675). En MKN kan anges som en halt eller ett värde, men kan även beskrivas i ord. Ett genomförande av en detaljplan får inte medföra att en norm överträds. Endast kommuner med en större befolkning än 100 000 invånare omfattas av MKN för buller.</w:t>
      </w:r>
    </w:p>
    <w:p>
      <w:pPr>
        <w:pStyle w:val="P3"/>
        <w:rPr>
          <w:lang w:eastAsia="sv-SE"/>
        </w:rPr>
      </w:pPr>
      <w:bookmarkStart w:id="228" w:name="_Toc214886825"/>
      <w:bookmarkStart w:id="229" w:name="_Toc220311650"/>
      <w:r>
        <w:rPr>
          <w:lang w:eastAsia="sv-SE"/>
        </w:rPr>
        <w:t>Miljökvalitetsnorm för luft</w:t>
      </w:r>
      <w:bookmarkEnd w:id="228"/>
      <w:bookmarkEnd w:id="229"/>
    </w:p>
    <w:p>
      <w:pPr>
        <w:rPr>
          <w:rFonts w:cs="Arial" w:eastAsia="Calibri"/>
        </w:rPr>
      </w:pPr>
      <w:r>
        <w:rPr>
          <w:rFonts w:cs="Arial" w:eastAsia="Calibri"/>
        </w:rPr>
        <w:t xml:space="preserve">Miljökvalitetsnormerna för utomhusluft syftar till att skydda människors hälsa och miljön genom att ange föroreningsnivåer som inte får överskridas (gränsvärden) och nivåer som inte bör överstigas (riktvärden). Dessa värden regleras i luftkvalitets-förordningen (2010:477). Det finns MKN för den högsta tillåtna halten i utomhusluft av kvävedioxid och kväveoxider, svaveldioxid, kolmonoxid, ozon, bensen, fina partiklar (PM10 och PM2,5), bens(a)pyren, arsenik, kadmium, nickel och bly i utomhusluft. I delar av centrala Härnösand överskrids gränsvärdena för luftföroreningar (kvävedioxid). Kommunen arbetar därför med ett åtgärdsprogram för att uppfylla normen, med syftet att uppfylla miljökvalitetsnormen som anger lägsta godtagbara miljökvalitet. </w:t>
      </w:r>
    </w:p>
    <w:p>
      <w:pPr>
        <w:rPr>
          <w:rFonts w:cs="Arial" w:eastAsia="Calibri"/>
        </w:rPr>
      </w:pPr>
      <w:r>
        <w:rPr>
          <w:rFonts w:cs="Arial" w:eastAsia="Calibri"/>
        </w:rPr>
        <w:t xml:space="preserve">Detaljplanen bedöms inte medföra att MKN för utomhusluft riskerar att överskridas. </w:t>
      </w:r>
    </w:p>
    <w:p>
      <w:pPr>
        <w:rPr>
          <w:rFonts w:cs="Arial" w:eastAsia="Calibri"/>
        </w:rPr>
      </w:pPr>
    </w:p>
    <w:p>
      <w:pPr>
        <w:rPr>
          <w:rFonts w:cs="Arial" w:eastAsia="Times New Roman"/>
          <w:b w:val="1"/>
          <w:i w:val="1"/>
          <w:bCs w:val="1"/>
          <w:szCs w:val="26"/>
          <w:lang w:eastAsia="sv-SE"/>
        </w:rPr>
      </w:pPr>
      <w:r>
        <w:rPr>
          <w:rFonts w:cs="Arial" w:eastAsia="Times New Roman"/>
          <w:b w:val="1"/>
          <w:i w:val="1"/>
          <w:bCs w:val="1"/>
          <w:szCs w:val="26"/>
          <w:lang w:eastAsia="sv-SE"/>
        </w:rPr>
        <w:t>Miljökvalitetsnorm för vatten</w:t>
      </w:r>
    </w:p>
    <w:p>
      <w:pPr>
        <w:rPr>
          <w:rFonts w:cs="Arial"/>
        </w:rPr>
      </w:pPr>
      <w:r>
        <w:rPr>
          <w:rFonts w:cs="Arial"/>
        </w:rPr>
        <w:t>Vattenmyndigheterna har det övergripande ansvaret att se till att EU:s ramdirektiv för vatten (vattendirektivet) genomförs i Sverige. Grundvatten, sjöar, vattendrag och kustvatten har delats in i vattenförekomster för vilka bedömning har skett vilken ekologisk, kemisk eller kvantitativ status som vattnet har och vilka krav som ställs för att kunna upprätthålla och förbättra denna status.</w:t>
      </w:r>
    </w:p>
    <w:p>
      <w:pPr>
        <w:rPr>
          <w:rFonts w:cs="Arial"/>
        </w:rPr>
      </w:pPr>
    </w:p>
    <w:p>
      <w:pPr>
        <w:rPr>
          <w:rFonts w:cs="Arial"/>
          <w:i w:val="1"/>
          <w:iCs w:val="1"/>
        </w:rPr>
      </w:pPr>
      <w:r>
        <w:rPr>
          <w:rFonts w:cs="Arial"/>
          <w:i w:val="1"/>
          <w:iCs w:val="1"/>
        </w:rPr>
        <w:t>Bottenhavets vattendistrikt</w:t>
      </w:r>
    </w:p>
    <w:p>
      <w:r>
        <w:t>Härnösand ingår i Bottenhavets vattendistrikt. Inom vattendistrikten är grundvatten, sjöar, vattendrag och kustvatten indelade i vattenförekomster. Vattenförekomsterna har bedömts utifrån dess ekologiska, kemiska eller kvantitativa status.</w:t>
      </w:r>
    </w:p>
    <w:p>
      <w:r>
        <w:t>Alla ytvattenförekomster ska uppnå eller behålla hög eller god ekologisk status och god kemisk ytvattenstatus. Alla grundvattenförekomster ska uppnå eller behålla god kvantitativ status och god kemisk grundvattenstatus.</w:t>
      </w:r>
    </w:p>
    <w:p>
      <w:r>
        <w:t xml:space="preserve">Ingen vattenförekomst inom Bottenhavets vattendistrikt uppnår god kemisk status till följd av storskalig och långväga spridning av kvicksilver och polybromerade difenyletrar (PBDE). Bortsett från dessa finns cirka 200 vattendrag, sjöar och kustvatten som inte uppnår god kemisk status på grund av påverkan från olika tungmetaller och tributyltenn (TBT). </w:t>
      </w:r>
    </w:p>
    <w:p/>
    <w:p>
      <w:r>
        <w:t>Vissa utmaningar finns att särskilt ta hänsyn till i samband med samhällsutvecklingen:</w:t>
      </w:r>
    </w:p>
    <w:p>
      <w:pPr>
        <w:pStyle w:val="P16"/>
        <w:numPr>
          <w:ilvl w:val="0"/>
          <w:numId w:val="34"/>
        </w:numPr>
      </w:pPr>
      <w:r>
        <w:t>påverkan i form av fysiska förändringar av sjöar och vattendrag.</w:t>
      </w:r>
    </w:p>
    <w:p>
      <w:pPr>
        <w:pStyle w:val="P16"/>
        <w:numPr>
          <w:ilvl w:val="0"/>
          <w:numId w:val="34"/>
        </w:numPr>
      </w:pPr>
      <w:r>
        <w:t xml:space="preserve">storskalig påverkan från areella näringar, inklusive försurningspåverkan. </w:t>
      </w:r>
    </w:p>
    <w:p>
      <w:pPr>
        <w:pStyle w:val="P16"/>
        <w:numPr>
          <w:ilvl w:val="0"/>
          <w:numId w:val="34"/>
        </w:numPr>
      </w:pPr>
      <w:r>
        <w:t>effekterna på vattenmiljön av miljögifter från både pågående och historiska utsläpp.</w:t>
      </w:r>
    </w:p>
    <w:p>
      <w:pPr>
        <w:pStyle w:val="P16"/>
        <w:numPr>
          <w:ilvl w:val="0"/>
          <w:numId w:val="34"/>
        </w:numPr>
      </w:pPr>
      <w:r>
        <w:t xml:space="preserve">dricksvattenförsörjningen behöver säkras. </w:t>
      </w:r>
    </w:p>
    <w:p>
      <w:pPr>
        <w:pStyle w:val="P16"/>
        <w:numPr>
          <w:ilvl w:val="0"/>
          <w:numId w:val="34"/>
        </w:numPr>
      </w:pPr>
      <w:r>
        <w:t xml:space="preserve">påverkan från urbana, bebyggda miljöer och från kommande samhällsutbyggnad. </w:t>
      </w:r>
    </w:p>
    <w:p>
      <w:pPr>
        <w:pStyle w:val="P16"/>
        <w:numPr>
          <w:ilvl w:val="0"/>
          <w:numId w:val="34"/>
        </w:numPr>
      </w:pPr>
      <w:r>
        <w:t>övergödning och näringsutarmning.</w:t>
      </w:r>
    </w:p>
    <w:p>
      <w:pPr>
        <w:rPr>
          <w:rFonts w:cs="Arial"/>
        </w:rPr>
      </w:pPr>
    </w:p>
    <w:p>
      <w:pPr>
        <w:rPr>
          <w:rFonts w:cs="Arial"/>
          <w:i w:val="1"/>
          <w:iCs w:val="1"/>
        </w:rPr>
      </w:pPr>
      <w:r>
        <w:rPr>
          <w:rFonts w:cs="Arial"/>
          <w:i w:val="1"/>
          <w:iCs w:val="1"/>
        </w:rPr>
        <w:t>Nuvarande status för berördvattenförekomst</w:t>
      </w:r>
    </w:p>
    <w:p>
      <w:r>
        <w:t xml:space="preserve">Planområdets ytvattenförekomst är Södra Sundet. Enligt VISS (VISS – Vatten Informations System Sverige) bedöms vattenförekomsten Södra sundet ha en måttlig ekologisk status men uppnår ej god kemisk status Det beror på att gränsvärden för kvicksilver (Hg) och polybromerade difenyletrar (PBDE) överskrids. </w:t>
      </w:r>
    </w:p>
    <w:p>
      <w:r>
        <w:t>I tabell 2 sammanfattas miljökvalitetsnormer samt aktuell status för ytvattenförekomsten Södra Sundet (Källa: Viss.länsstyrelsen.se, 2025).</w:t>
      </w:r>
    </w:p>
    <w:tbl>
      <w:tblPr>
        <w:tblStyle w:val="T3"/>
        <w:tblW w:w="0" w:type="auto"/>
        <w:tblLayout w:type="fixed"/>
        <w:tblLook w:val="04A0"/>
      </w:tblPr>
      <w:tblGrid/>
      <w:tr>
        <w:tc>
          <w:tcPr>
            <w:tcW w:w="1129" w:type="dxa"/>
            <w:shd w:val="clear" w:color="auto" w:fill="DCE4F4" w:themeFill="accent1" w:themeFillTint="30"/>
          </w:tcPr>
          <w:p>
            <w:pPr>
              <w:pStyle w:val="P23"/>
              <w:rPr>
                <w:color w:val="auto"/>
                <w:sz w:val="18"/>
                <w:szCs w:val="18"/>
              </w:rPr>
            </w:pPr>
            <w:r>
              <w:rPr>
                <w:b w:val="1"/>
                <w:bCs w:val="1"/>
                <w:color w:val="auto"/>
                <w:sz w:val="18"/>
                <w:szCs w:val="18"/>
              </w:rPr>
              <w:t xml:space="preserve">Vattenförekomst </w:t>
            </w:r>
          </w:p>
          <w:p>
            <w:pPr>
              <w:rPr>
                <w:rFonts w:eastAsia="Times New Roman"/>
                <w:sz w:val="18"/>
                <w:szCs w:val="18"/>
              </w:rPr>
            </w:pPr>
          </w:p>
        </w:tc>
        <w:tc>
          <w:tcPr>
            <w:tcW w:w="993" w:type="dxa"/>
            <w:shd w:val="clear" w:color="auto" w:fill="DCE4F4" w:themeFill="accent1" w:themeFillTint="30"/>
          </w:tcPr>
          <w:p>
            <w:pPr>
              <w:pStyle w:val="P23"/>
              <w:rPr>
                <w:color w:val="auto"/>
                <w:sz w:val="18"/>
                <w:szCs w:val="18"/>
              </w:rPr>
            </w:pPr>
            <w:r>
              <w:rPr>
                <w:b w:val="1"/>
                <w:bCs w:val="1"/>
                <w:color w:val="auto"/>
                <w:sz w:val="18"/>
                <w:szCs w:val="18"/>
              </w:rPr>
              <w:t xml:space="preserve">EU-CD </w:t>
            </w:r>
          </w:p>
          <w:p>
            <w:pPr>
              <w:rPr>
                <w:rFonts w:eastAsia="Times New Roman"/>
                <w:sz w:val="18"/>
                <w:szCs w:val="18"/>
              </w:rPr>
            </w:pPr>
          </w:p>
        </w:tc>
        <w:tc>
          <w:tcPr>
            <w:tcW w:w="1134" w:type="dxa"/>
            <w:shd w:val="clear" w:color="auto" w:fill="DCE4F4" w:themeFill="accent1" w:themeFillTint="30"/>
          </w:tcPr>
          <w:p>
            <w:pPr>
              <w:pStyle w:val="P23"/>
              <w:rPr>
                <w:color w:val="auto"/>
                <w:sz w:val="18"/>
                <w:szCs w:val="18"/>
              </w:rPr>
            </w:pPr>
            <w:r>
              <w:rPr>
                <w:b w:val="1"/>
                <w:bCs w:val="1"/>
                <w:color w:val="auto"/>
                <w:sz w:val="18"/>
                <w:szCs w:val="18"/>
              </w:rPr>
              <w:t>Ekologisk status</w:t>
            </w:r>
          </w:p>
          <w:p>
            <w:pPr>
              <w:rPr>
                <w:rFonts w:eastAsia="Times New Roman"/>
                <w:sz w:val="18"/>
                <w:szCs w:val="18"/>
              </w:rPr>
            </w:pPr>
          </w:p>
        </w:tc>
        <w:tc>
          <w:tcPr>
            <w:tcW w:w="850" w:type="dxa"/>
            <w:shd w:val="clear" w:color="auto" w:fill="DCE4F4" w:themeFill="accent1" w:themeFillTint="30"/>
          </w:tcPr>
          <w:p>
            <w:pPr>
              <w:pStyle w:val="P23"/>
              <w:rPr>
                <w:color w:val="auto"/>
                <w:sz w:val="18"/>
                <w:szCs w:val="18"/>
              </w:rPr>
            </w:pPr>
            <w:r>
              <w:rPr>
                <w:b w:val="1"/>
                <w:bCs w:val="1"/>
                <w:color w:val="auto"/>
                <w:sz w:val="18"/>
                <w:szCs w:val="18"/>
              </w:rPr>
              <w:t xml:space="preserve">Kemisk status </w:t>
            </w:r>
          </w:p>
          <w:p>
            <w:pPr>
              <w:rPr>
                <w:rFonts w:eastAsia="Times New Roman"/>
                <w:sz w:val="18"/>
                <w:szCs w:val="18"/>
              </w:rPr>
            </w:pPr>
          </w:p>
        </w:tc>
        <w:tc>
          <w:tcPr>
            <w:tcW w:w="1134" w:type="dxa"/>
            <w:shd w:val="clear" w:color="auto" w:fill="DCE4F4" w:themeFill="accent1" w:themeFillTint="30"/>
          </w:tcPr>
          <w:p>
            <w:pPr>
              <w:pStyle w:val="P23"/>
              <w:rPr>
                <w:color w:val="auto"/>
                <w:sz w:val="18"/>
                <w:szCs w:val="18"/>
              </w:rPr>
            </w:pPr>
            <w:r>
              <w:rPr>
                <w:b w:val="1"/>
                <w:bCs w:val="1"/>
                <w:color w:val="auto"/>
                <w:sz w:val="18"/>
                <w:szCs w:val="18"/>
              </w:rPr>
              <w:t xml:space="preserve">MKN Ekologisk status </w:t>
            </w:r>
          </w:p>
          <w:p>
            <w:pPr>
              <w:rPr>
                <w:rFonts w:eastAsia="Times New Roman"/>
                <w:sz w:val="18"/>
                <w:szCs w:val="18"/>
              </w:rPr>
            </w:pPr>
          </w:p>
        </w:tc>
        <w:tc>
          <w:tcPr>
            <w:tcW w:w="1418" w:type="dxa"/>
            <w:shd w:val="clear" w:color="auto" w:fill="DCE4F4" w:themeFill="accent1" w:themeFillTint="30"/>
          </w:tcPr>
          <w:p>
            <w:pPr>
              <w:pStyle w:val="P23"/>
              <w:rPr>
                <w:color w:val="auto"/>
                <w:sz w:val="18"/>
                <w:szCs w:val="18"/>
              </w:rPr>
            </w:pPr>
            <w:r>
              <w:rPr>
                <w:b w:val="1"/>
                <w:bCs w:val="1"/>
                <w:color w:val="auto"/>
                <w:sz w:val="18"/>
                <w:szCs w:val="18"/>
              </w:rPr>
              <w:t xml:space="preserve">MKN Kemisk status </w:t>
            </w:r>
          </w:p>
          <w:p>
            <w:pPr>
              <w:rPr>
                <w:rFonts w:eastAsia="Times New Roman"/>
                <w:sz w:val="18"/>
                <w:szCs w:val="18"/>
              </w:rPr>
            </w:pPr>
          </w:p>
        </w:tc>
        <w:tc>
          <w:tcPr>
            <w:tcW w:w="1666" w:type="dxa"/>
            <w:shd w:val="clear" w:color="auto" w:fill="DCE4F4" w:themeFill="accent1" w:themeFillTint="30"/>
          </w:tcPr>
          <w:p>
            <w:pPr>
              <w:pStyle w:val="P23"/>
              <w:rPr>
                <w:color w:val="auto"/>
                <w:sz w:val="18"/>
                <w:szCs w:val="18"/>
              </w:rPr>
            </w:pPr>
            <w:r>
              <w:rPr>
                <w:b w:val="1"/>
                <w:bCs w:val="1"/>
                <w:color w:val="auto"/>
                <w:sz w:val="18"/>
                <w:szCs w:val="18"/>
              </w:rPr>
              <w:t xml:space="preserve">Miljöproblem </w:t>
            </w:r>
          </w:p>
          <w:p>
            <w:pPr>
              <w:rPr>
                <w:rFonts w:eastAsia="Times New Roman"/>
                <w:sz w:val="18"/>
                <w:szCs w:val="18"/>
              </w:rPr>
            </w:pPr>
          </w:p>
        </w:tc>
      </w:tr>
      <w:tr>
        <w:tc>
          <w:tcPr>
            <w:tcW w:w="1129" w:type="dxa"/>
          </w:tcPr>
          <w:p>
            <w:pPr>
              <w:rPr>
                <w:rFonts w:eastAsia="Times New Roman"/>
                <w:sz w:val="18"/>
                <w:szCs w:val="18"/>
              </w:rPr>
            </w:pPr>
            <w:r>
              <w:rPr>
                <w:rFonts w:eastAsia="Times New Roman"/>
                <w:sz w:val="18"/>
                <w:szCs w:val="18"/>
              </w:rPr>
              <w:t>Ytvattenförekomst:</w:t>
            </w:r>
          </w:p>
          <w:p>
            <w:pPr>
              <w:rPr>
                <w:rFonts w:eastAsia="Times New Roman"/>
                <w:sz w:val="18"/>
                <w:szCs w:val="18"/>
              </w:rPr>
            </w:pPr>
          </w:p>
          <w:p>
            <w:pPr>
              <w:rPr>
                <w:rFonts w:eastAsia="Times New Roman"/>
                <w:sz w:val="18"/>
                <w:szCs w:val="18"/>
              </w:rPr>
            </w:pPr>
            <w:r>
              <w:rPr>
                <w:rFonts w:eastAsia="Times New Roman"/>
                <w:sz w:val="18"/>
                <w:szCs w:val="18"/>
              </w:rPr>
              <w:t xml:space="preserve">Södra Sundet </w:t>
            </w:r>
          </w:p>
          <w:p>
            <w:pPr>
              <w:rPr>
                <w:rFonts w:eastAsia="Times New Roman"/>
                <w:sz w:val="18"/>
                <w:szCs w:val="18"/>
              </w:rPr>
            </w:pPr>
          </w:p>
        </w:tc>
        <w:tc>
          <w:tcPr>
            <w:tcW w:w="993" w:type="dxa"/>
          </w:tcPr>
          <w:p>
            <w:pPr>
              <w:rPr>
                <w:rFonts w:eastAsia="Times New Roman"/>
                <w:color w:val="FF0000"/>
                <w:sz w:val="18"/>
                <w:szCs w:val="18"/>
              </w:rPr>
            </w:pPr>
            <w:r>
              <w:rPr>
                <w:rFonts w:eastAsia="Times New Roman"/>
                <w:sz w:val="18"/>
                <w:szCs w:val="18"/>
              </w:rPr>
              <w:t>SE623340-175556</w:t>
            </w:r>
          </w:p>
        </w:tc>
        <w:tc>
          <w:tcPr>
            <w:tcW w:w="1134" w:type="dxa"/>
          </w:tcPr>
          <w:p>
            <w:pPr>
              <w:rPr>
                <w:rFonts w:eastAsia="Times New Roman"/>
                <w:color w:val="FF0000"/>
                <w:sz w:val="18"/>
                <w:szCs w:val="18"/>
              </w:rPr>
            </w:pPr>
            <w:r>
              <w:rPr>
                <w:rFonts w:eastAsia="Times New Roman"/>
                <w:sz w:val="18"/>
                <w:szCs w:val="18"/>
              </w:rPr>
              <w:t>Måttlig</w:t>
            </w:r>
          </w:p>
        </w:tc>
        <w:tc>
          <w:tcPr>
            <w:tcW w:w="850" w:type="dxa"/>
          </w:tcPr>
          <w:p>
            <w:pPr>
              <w:rPr>
                <w:rFonts w:eastAsia="Times New Roman"/>
                <w:color w:val="FF0000"/>
                <w:sz w:val="18"/>
                <w:szCs w:val="18"/>
              </w:rPr>
            </w:pPr>
            <w:r>
              <w:rPr>
                <w:rFonts w:eastAsia="Times New Roman"/>
                <w:sz w:val="18"/>
                <w:szCs w:val="18"/>
              </w:rPr>
              <w:t>Uppnår ej god</w:t>
            </w:r>
          </w:p>
        </w:tc>
        <w:tc>
          <w:tcPr>
            <w:tcW w:w="1134" w:type="dxa"/>
          </w:tcPr>
          <w:p>
            <w:pPr>
              <w:rPr>
                <w:rFonts w:eastAsia="Times New Roman"/>
                <w:color w:val="FF0000"/>
                <w:sz w:val="18"/>
                <w:szCs w:val="18"/>
              </w:rPr>
            </w:pPr>
            <w:r>
              <w:rPr>
                <w:rFonts w:eastAsia="Times New Roman"/>
                <w:sz w:val="18"/>
                <w:szCs w:val="18"/>
              </w:rPr>
              <w:t xml:space="preserve">God ekologisk status 2027 (VISS 2023) </w:t>
            </w:r>
          </w:p>
        </w:tc>
        <w:tc>
          <w:tcPr>
            <w:tcW w:w="1418" w:type="dxa"/>
          </w:tcPr>
          <w:p>
            <w:pPr>
              <w:rPr>
                <w:rFonts w:eastAsia="Times New Roman"/>
                <w:sz w:val="18"/>
                <w:szCs w:val="18"/>
              </w:rPr>
            </w:pPr>
            <w:r>
              <w:rPr>
                <w:rFonts w:eastAsia="Times New Roman"/>
                <w:sz w:val="18"/>
                <w:szCs w:val="18"/>
              </w:rPr>
              <w:t>God kemisk ytvattenstatus med undantag av kvicksilver, kvicksilverföreningar,</w:t>
            </w:r>
            <w:r>
              <w:rPr>
                <w:rFonts w:cs="Arial"/>
                <w:sz w:val="18"/>
                <w:szCs w:val="18"/>
                <w:shd w:val="clear" w:color="auto" w:fill="FFFFFF"/>
              </w:rPr>
              <w:t xml:space="preserve"> Dioxiner och dioxinlika föreningar</w:t>
            </w:r>
            <w:r>
              <w:rPr>
                <w:rFonts w:eastAsia="Times New Roman"/>
                <w:sz w:val="18"/>
                <w:szCs w:val="18"/>
              </w:rPr>
              <w:t xml:space="preserve"> och bromerad difenyleter.</w:t>
            </w:r>
          </w:p>
        </w:tc>
        <w:tc>
          <w:tcPr>
            <w:tcW w:w="1666" w:type="dxa"/>
          </w:tcPr>
          <w:p>
            <w:pPr>
              <w:keepNext w:val="1"/>
              <w:rPr>
                <w:rFonts w:eastAsia="Times New Roman"/>
                <w:sz w:val="18"/>
                <w:szCs w:val="18"/>
              </w:rPr>
            </w:pPr>
            <w:r>
              <w:rPr>
                <w:rFonts w:eastAsia="Times New Roman"/>
                <w:sz w:val="18"/>
                <w:szCs w:val="18"/>
              </w:rPr>
              <w:t xml:space="preserve">Flödesföreändringar, miljögifter, Myrfologiska förändringar och kontinutet, övergödning p.g.a belastning av näringsämnen. </w:t>
            </w:r>
          </w:p>
        </w:tc>
      </w:tr>
    </w:tbl>
    <w:p>
      <w:pPr>
        <w:pStyle w:val="P26"/>
        <w:rPr>
          <w:rFonts w:cs="Arial" w:eastAsia="Calibri"/>
        </w:rPr>
      </w:pPr>
      <w:r>
        <w:t xml:space="preserve">Tabell </w:t>
      </w:r>
      <w:r>
        <w:fldChar w:fldCharType="begin"/>
      </w:r>
      <w:r>
        <w:instrText>SEQ Tabell \* ARABIC</w:instrText>
      </w:r>
      <w:r>
        <w:fldChar w:fldCharType="separate"/>
      </w:r>
      <w:r>
        <w:rPr>
          <w:noProof w:val="1"/>
        </w:rPr>
        <w:t>1</w:t>
      </w:r>
      <w:r>
        <w:fldChar w:fldCharType="end"/>
      </w:r>
      <w:r>
        <w:t>. Sammanfattning miljökvalitetsnormer.</w:t>
      </w:r>
    </w:p>
    <w:p>
      <w:bookmarkStart w:id="230" w:name="_Toc214627994"/>
      <w:r>
        <w:t>Ett genomförande av detaljplanen bedöms inte påverka vattenförekomsten negativt.</w:t>
      </w:r>
    </w:p>
    <w:p>
      <w:pPr>
        <w:pStyle w:val="P3"/>
        <w:rPr>
          <w:rFonts w:cstheme="minorHAnsi"/>
          <w:lang w:eastAsia="sv-SE"/>
        </w:rPr>
      </w:pPr>
      <w:bookmarkStart w:id="231" w:name="_Toc214886826"/>
      <w:bookmarkStart w:id="232" w:name="_Toc220311651"/>
      <w:r>
        <w:rPr>
          <w:rFonts w:cstheme="minorHAnsi"/>
          <w:lang w:eastAsia="sv-SE"/>
        </w:rPr>
        <w:t>Miljökvalitetsnorm för omgivningsbuller</w:t>
      </w:r>
      <w:bookmarkEnd w:id="230"/>
      <w:bookmarkEnd w:id="231"/>
      <w:bookmarkEnd w:id="232"/>
    </w:p>
    <w:p>
      <w:r>
        <w:t xml:space="preserve">Enligt förordningen om omgivningsbuller ska vägar och järnvägar i kommuner med fler än 100 000 invånare eller vägar med en trafiktäthet på mer än tre miljoner fordon per år kartläggas och åtgärdsprogram upprättas. </w:t>
      </w:r>
    </w:p>
    <w:p>
      <w:r>
        <w:t xml:space="preserve">Härnösands kommun omfattas inte av miljökvalitetsnormerna för buller då kommuninvånarantalet understiger 100 000, men gällande riktvärden för buller och vibrationer ska följas och beaktas i planläggningen. </w:t>
      </w:r>
    </w:p>
    <w:p>
      <w:pPr>
        <w:pStyle w:val="P2"/>
      </w:pPr>
      <w:bookmarkEnd w:id="226"/>
      <w:bookmarkStart w:id="233" w:name="_Toc220311652"/>
      <w:r>
        <w:t>Strandskydd</w:t>
      </w:r>
      <w:bookmarkEnd w:id="227"/>
      <w:bookmarkEnd w:id="233"/>
    </w:p>
    <w:p>
      <w:pPr>
        <w:spacing w:lineRule="auto" w:line="257" w:beforeAutospacing="0" w:afterAutospacing="0"/>
        <w:rPr>
          <w:rFonts w:cs="Arial" w:eastAsia="Calibri"/>
          <w:szCs w:val="24"/>
        </w:rPr>
      </w:pPr>
      <w:bookmarkStart w:id="234" w:name="pf_strandskydd01"/>
      <w:r>
        <w:rPr>
          <w:rFonts w:cs="Arial" w:eastAsia="Calibri"/>
          <w:szCs w:val="24"/>
        </w:rPr>
        <w:t xml:space="preserve">Strandskyddet syftar till att långsiktigt trygga allmänhetens tillgång till strandområden och att bevara goda livsvillkor för djur- och växtlivet. Strandskyddet gäller generellt vid alla kuster, sjöar och vattendrag och omfattar land- och vattenområden 100 meter från strandlinjen vid normalt medelvattenstånd. </w:t>
      </w:r>
    </w:p>
    <w:p>
      <w:r>
        <w:t>Områden som omfattades av generalplan, stadsplan eller byggnadsplan fastställda före den 1 juli 1975 var generellt undantagna från strandskydd. Det aktuella området omfattas därför inte av strandskydd, eftersom den ursprungliga planen fastställdes före detta datum. För fastigheten gäller i dag en detaljplan från 1968, och området är bebyggt med ett bostadshus uppfört under 1960-talet eller senare.</w:t>
      </w:r>
    </w:p>
    <w:p>
      <w:r>
        <w:t>Kommunen kan, med stöd av de strandskyddsregler som infördes 2025 (Lag 2025:514), besluta att planområdet även i den nya detaljplanen ska vara fortsatt undantaget från strandskydd. Den nya detaljplanen anger därför att strandskyddet fortsatt är upphävt utan prövning enligt MB 7 kap. 18 e och 18 g–18 j §§. Den fria passagen säkerställs genom att marken närmast stranden fortsatt planläggs som allmän plats, park, med en buffert på cirka 12 meter från fastigheten, se figur 21 nedan.</w:t>
      </w:r>
    </w:p>
    <w:p>
      <w:pPr>
        <w:keepNext w:val="1"/>
      </w:pPr>
      <w:r>
        <w:rPr>
          <w:noProof w:val="1"/>
        </w:rPr>
        <w:drawing>
          <wp:inline xmlns:wp="http://schemas.openxmlformats.org/drawingml/2006/wordprocessingDrawing" distT="0" distB="0" distL="0" distR="0">
            <wp:extent cx="2400300" cy="2832100"/>
            <wp:effectExtent l="0" t="0" r="0" b="6350"/>
            <wp:docPr id="976932678" name="Bildobjekt 976932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dpi="0">
                    <a:blip xmlns:r="http://schemas.openxmlformats.org/officeDocument/2006/relationships" r:embed="Relimage30" cstate="print"/>
                    <a:srcRect l="26838" t="10522" r="27654" b="13559"/>
                    <a:stretch>
                      <a:fillRect/>
                    </a:stretch>
                  </pic:blipFill>
                  <pic:spPr bwMode="auto">
                    <a:xfrm>
                      <a:off x="0" y="0"/>
                      <a:ext cx="2402861" cy="2835666"/>
                    </a:xfrm>
                    <a:prstGeom prst="rect"/>
                    <a:noFill/>
                    <a:ln>
                      <a:noFill/>
                    </a:ln>
                  </pic:spPr>
                </pic:pic>
              </a:graphicData>
            </a:graphic>
          </wp:inline>
        </w:drawing>
      </w:r>
      <w:r>
        <w:rPr>
          <w:noProof w:val="1"/>
        </w:rPr>
        <w:t xml:space="preserve">     </w:t>
      </w:r>
      <w:r>
        <w:rPr>
          <w:noProof w:val="1"/>
        </w:rPr>
        <w:drawing>
          <wp:inline xmlns:wp="http://schemas.openxmlformats.org/drawingml/2006/wordprocessingDrawing" distT="0" distB="0" distL="0" distR="0">
            <wp:extent cx="2400300" cy="2832735"/>
            <wp:effectExtent l="0" t="0" r="0" b="5715"/>
            <wp:docPr id="976932679" name="Bildobjekt 976932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dpi="0">
                    <a:blip xmlns:r="http://schemas.openxmlformats.org/officeDocument/2006/relationships" r:embed="Relimage31" cstate="print"/>
                    <a:srcRect l="33172" t="8106" r="21332" b="15995"/>
                    <a:stretch>
                      <a:fillRect/>
                    </a:stretch>
                  </pic:blipFill>
                  <pic:spPr bwMode="auto">
                    <a:xfrm>
                      <a:off x="0" y="0"/>
                      <a:ext cx="2402208" cy="2834886"/>
                    </a:xfrm>
                    <a:prstGeom prst="rect"/>
                    <a:noFill/>
                    <a:ln>
                      <a:noFill/>
                    </a:ln>
                  </pic:spPr>
                </pic:pic>
              </a:graphicData>
            </a:graphic>
          </wp:inline>
        </w:drawing>
      </w:r>
    </w:p>
    <w:p>
      <w:pPr>
        <w:pStyle w:val="P26"/>
      </w:pPr>
      <w:r>
        <w:t xml:space="preserve">Figur </w:t>
      </w:r>
      <w:r>
        <w:fldChar w:fldCharType="begin"/>
      </w:r>
      <w:r>
        <w:instrText>SEQ Figur \* ARABIC</w:instrText>
      </w:r>
      <w:r>
        <w:fldChar w:fldCharType="separate"/>
      </w:r>
      <w:r>
        <w:rPr>
          <w:noProof w:val="1"/>
        </w:rPr>
        <w:t>22</w:t>
      </w:r>
      <w:r>
        <w:fldChar w:fldCharType="end"/>
      </w:r>
      <w:r>
        <w:t>. (TV) Ortofoto över planområdet, fri passage ca 12 meter, (TH) Ortofoto 1975 med befintlig bostadsbyggnad, planområdet markeras ungefärligt med vitt.</w:t>
      </w:r>
    </w:p>
    <w:p>
      <w:bookmarkEnd w:id="234"/>
      <w:r>
        <w:rPr>
          <w:noProof w:val="1"/>
        </w:rPr>
        <w:t xml:space="preserve">    </w:t>
      </w:r>
    </w:p>
    <w:p/>
    <w:p>
      <w:pPr>
        <w:rPr>
          <w:rFonts w:cstheme="majorBidi" w:eastAsiaTheme="majorEastAsia"/>
          <w:i w:val="1"/>
          <w:iCs w:val="1"/>
          <w:color w:val="2F5496" w:themeColor="accent1" w:themeShade="BF"/>
        </w:rPr>
      </w:pPr>
      <w:r>
        <w:rPr>
          <w:rFonts w:cstheme="majorBidi" w:eastAsiaTheme="majorEastAsia"/>
          <w:i w:val="1"/>
          <w:iCs w:val="1"/>
          <w:color w:val="2F5496" w:themeColor="accent1" w:themeShade="BF"/>
        </w:rPr>
        <w:t>Konsekvenser</w:t>
      </w:r>
    </w:p>
    <w:p>
      <w:pPr>
        <w:rPr>
          <w:rFonts w:cstheme="minorHAnsi" w:eastAsia="Calibri"/>
          <w:szCs w:val="24"/>
        </w:rPr>
      </w:pPr>
      <w:bookmarkStart w:id="235" w:name="ko_strandskydd01"/>
      <w:r>
        <w:rPr>
          <w:rFonts w:cstheme="minorHAnsi" w:eastAsia="Calibri"/>
          <w:szCs w:val="24"/>
        </w:rPr>
        <w:t xml:space="preserve">Ingen förändring. Enligt de strandskyddsregler som infördes 1 juli 2025 (Lag 2025:514) kan kommunen besluta att detta upphävande ska gälla även i ny detaljplan. Den nya detaljplanen anger därför att strandskyddet fortsatt är upphävt utan prövning enligt MB 7 kap. 18 §. </w:t>
      </w:r>
    </w:p>
    <w:p>
      <w:pPr>
        <w:rPr>
          <w:rFonts w:cs="Arial"/>
          <w:szCs w:val="24"/>
        </w:rPr>
      </w:pPr>
      <w:bookmarkEnd w:id="235"/>
    </w:p>
    <w:p>
      <w:pPr>
        <w:spacing w:lineRule="auto" w:line="257" w:beforeAutospacing="0" w:afterAutospacing="0"/>
        <w:rPr>
          <w:rFonts w:cs="Arial"/>
          <w:szCs w:val="24"/>
        </w:rPr>
      </w:pPr>
    </w:p>
    <w:p>
      <w:pPr>
        <w:spacing w:after="160" w:beforeAutospacing="0" w:afterAutospacing="0"/>
        <w:rPr>
          <w:rStyle w:val="C4"/>
          <w:rFonts w:cs="Arial" w:eastAsiaTheme="minorEastAsia"/>
          <w:i w:val="1"/>
        </w:rPr>
      </w:pPr>
      <w:r>
        <w:rPr>
          <w:rStyle w:val="C4"/>
          <w:rFonts w:cs="Arial" w:eastAsiaTheme="minorEastAsia"/>
          <w:b w:val="0"/>
          <w:bCs w:val="0"/>
        </w:rPr>
        <w:br w:type="page"/>
      </w:r>
    </w:p>
    <w:p>
      <w:pPr>
        <w:pStyle w:val="P1"/>
        <w:rPr>
          <w:rFonts w:cs="Arial"/>
        </w:rPr>
      </w:pPr>
      <w:bookmarkStart w:id="236" w:name="_Toc214886828"/>
      <w:bookmarkStart w:id="237" w:name="_Toc220311653"/>
      <w:r>
        <w:t>Genomförandefrågor</w:t>
      </w:r>
      <w:bookmarkEnd w:id="236"/>
      <w:bookmarkEnd w:id="237"/>
    </w:p>
    <w:p>
      <w:pPr>
        <w:pStyle w:val="P3"/>
        <w:rPr>
          <w:lang w:eastAsia="sv-SE"/>
        </w:rPr>
      </w:pPr>
      <w:bookmarkStart w:id="238" w:name="_Toc214886829"/>
      <w:bookmarkStart w:id="239" w:name="_Toc220311654"/>
      <w:r>
        <w:rPr>
          <w:lang w:eastAsia="sv-SE"/>
        </w:rPr>
        <w:t>Tidplan</w:t>
      </w:r>
      <w:bookmarkEnd w:id="238"/>
      <w:bookmarkEnd w:id="239"/>
    </w:p>
    <w:p>
      <w:pPr>
        <w:spacing w:lineRule="auto" w:line="276" w:beforeAutospacing="0" w:afterAutospacing="0"/>
        <w:rPr>
          <w:rFonts w:cs="Arial" w:eastAsia="Calibri"/>
        </w:rPr>
      </w:pPr>
      <w:bookmarkStart w:id="240" w:name="gf_tidplan01"/>
      <w:r>
        <w:rPr>
          <w:rFonts w:cs="Arial" w:eastAsia="Calibri"/>
        </w:rPr>
        <w:t>Målsättningen är att detaljplanen ska antas Q2 2026. Den preliminära tidplanen baseras på inga större förändringen sker under planprocessen samt under förutsättning att beslutet att anta detaljplanen inte överklagas. Vid ett överklagande kan tidpunkten då detaljplanen får laga kraft förskjutas upp till två år framåt i tiden, vilket medför motsvarande förskjutning av genomförandet.</w:t>
      </w:r>
    </w:p>
    <w:p>
      <w:pPr>
        <w:pStyle w:val="P3"/>
        <w:rPr>
          <w:noProof w:val="1"/>
        </w:rPr>
      </w:pPr>
      <w:bookmarkEnd w:id="240"/>
      <w:bookmarkStart w:id="241" w:name="_Toc214886830"/>
      <w:bookmarkStart w:id="242" w:name="_Toc220311655"/>
      <w:r>
        <w:t>Genomförandetid</w:t>
      </w:r>
      <w:bookmarkEnd w:id="241"/>
      <w:bookmarkEnd w:id="242"/>
      <w:r>
        <w:rPr>
          <w:noProof w:val="1"/>
        </w:rPr>
        <w:t xml:space="preserve"> </w:t>
      </w:r>
    </w:p>
    <w:p>
      <w:pPr>
        <w:rPr>
          <w:rFonts w:cs="Arial" w:eastAsia="Calibri"/>
        </w:rPr>
      </w:pPr>
      <w:bookmarkStart w:id="243" w:name="be_genomförandetid02"/>
      <w:r>
        <w:rPr>
          <w:rFonts w:cs="Arial" w:eastAsia="Calibri"/>
        </w:rPr>
        <w:t>Genomförandetiden är fem år från den dag planen får laga kraft.</w:t>
      </w:r>
    </w:p>
    <w:p>
      <w:pPr>
        <w:rPr>
          <w:rFonts w:cs="Arial" w:eastAsia="Calibri"/>
        </w:rPr>
      </w:pPr>
      <w:r>
        <w:rPr>
          <w:rFonts w:cs="Arial" w:eastAsia="Calibri"/>
        </w:rPr>
        <w:t>Under genomförandetiden har fastighetsägare en garanterad byggrätt i enlighet med detaljplanen. Om planen ersätts, ändras eller upphävs under genomförandetiden kan berörda fastighetsägare ha rätt till ersättning av kommunen. Efter genomförandetidens utgång kan kommunen ändra eller upphäva detaljplanen utan att fastighetsägare får någon ersättning för byggrätt som inte kan utnyttjas. Detaljplanen fortsätter gälla till dess att den ändras eller upphävs.</w:t>
      </w:r>
    </w:p>
    <w:p>
      <w:pPr>
        <w:pStyle w:val="P3"/>
      </w:pPr>
      <w:bookmarkEnd w:id="243"/>
      <w:bookmarkStart w:id="244" w:name="_Toc214886831"/>
      <w:bookmarkStart w:id="245" w:name="_Toc220311656"/>
      <w:r>
        <w:t>Huvudmannaskap för allmän plats</w:t>
      </w:r>
      <w:bookmarkEnd w:id="244"/>
      <w:bookmarkEnd w:id="245"/>
    </w:p>
    <w:p>
      <w:pPr>
        <w:rPr>
          <w:rFonts w:cs="Arial" w:eastAsia="Calibri"/>
          <w:szCs w:val="24"/>
        </w:rPr>
      </w:pPr>
      <w:bookmarkStart w:id="246" w:name="gf_tekniskafrågor01"/>
      <w:r>
        <w:rPr>
          <w:rFonts w:cs="Arial" w:eastAsia="Calibri"/>
          <w:szCs w:val="24"/>
        </w:rPr>
        <w:t>Alla allmänna platser ska ha en huvudman. Huvudmannen för de allmänna platserna är ansvarig för att ställa i ordning och förvalta de allmänna platserna, till exempel för att bygga ut och sköta gator.</w:t>
      </w:r>
      <w:r>
        <w:rPr>
          <w:rFonts w:cs="Arial"/>
          <w:shd w:val="clear" w:color="auto" w:fill="FFFFFF"/>
        </w:rPr>
        <w:t> </w:t>
      </w:r>
      <w:r>
        <w:rPr>
          <w:rFonts w:cs="Arial" w:eastAsia="Calibri"/>
          <w:szCs w:val="24"/>
        </w:rPr>
        <w:t>När kommunen är huvudman för allmänna platserna ska kommunen, efter hand som bebyggelsen färdigställs enligt detaljplanen, ordna de allmänna platserna så att de kan användas för avsett ändamål i enlighet med planen. Om kommunen anser att allmänhetens tillträde till platsen är viktig bör kommunen planlägga med kommunalt huvudmannaskap. Om det finns särskilda skäl kan kommunen med en planbestämmelse reglera att huvudmannaskapet för de allmänna platserna ska vara enskilt. Vid enskilt huvudmannaskap åligger ansvaret för allmän plats på fastighetsägarna gemensamt.</w:t>
      </w:r>
    </w:p>
    <w:p>
      <w:pPr>
        <w:spacing w:lineRule="auto" w:line="276" w:beforeAutospacing="0" w:afterAutospacing="0"/>
        <w:rPr>
          <w:rFonts w:cs="Arial" w:eastAsia="Calibri"/>
          <w:szCs w:val="24"/>
        </w:rPr>
      </w:pPr>
      <w:r>
        <w:rPr>
          <w:rFonts w:cs="Arial" w:eastAsia="Calibri"/>
          <w:szCs w:val="24"/>
        </w:rPr>
        <w:t>Planen omfattar endast kvartersmark, inom vilken fastighetsägaren svarar för alla åtgärder. Kommunen är huvudman för angränsande allmän plats.</w:t>
      </w:r>
    </w:p>
    <w:p>
      <w:pPr>
        <w:spacing w:after="160" w:beforeAutospacing="0" w:afterAutospacing="0"/>
        <w:rPr>
          <w:rFonts w:cs="Arial" w:eastAsia="Times New Roman"/>
          <w:b w:val="1"/>
          <w:i w:val="1"/>
          <w:bCs w:val="1"/>
          <w:color w:val="2F5496" w:themeColor="accent1" w:themeShade="BF"/>
          <w:szCs w:val="26"/>
        </w:rPr>
      </w:pPr>
      <w:bookmarkEnd w:id="246"/>
      <w:r>
        <w:br w:type="page"/>
      </w:r>
    </w:p>
    <w:p>
      <w:pPr>
        <w:pStyle w:val="P3"/>
      </w:pPr>
      <w:bookmarkStart w:id="247" w:name="_Toc214886832"/>
      <w:bookmarkStart w:id="248" w:name="_Toc220311657"/>
      <w:r>
        <w:t>Huvudmannaskap för vatten, spillvatten och dagvatten</w:t>
      </w:r>
      <w:bookmarkEnd w:id="247"/>
      <w:bookmarkEnd w:id="248"/>
    </w:p>
    <w:p>
      <w:pPr>
        <w:spacing w:lineRule="auto" w:line="276" w:beforeAutospacing="0" w:afterAutospacing="0"/>
        <w:rPr>
          <w:rFonts w:cs="Arial" w:eastAsia="Calibri"/>
        </w:rPr>
      </w:pPr>
      <w:bookmarkStart w:id="249" w:name="gf_utbyggnadvattenochavlopp01"/>
      <w:r>
        <w:rPr>
          <w:rFonts w:cs="Arial" w:eastAsia="Calibri"/>
          <w:szCs w:val="24"/>
        </w:rPr>
        <w:t>Planområdet ingår i kommunalt verksamhetsområde för dricks-, spill- och dagvatten.</w:t>
      </w:r>
      <w:r>
        <w:rPr>
          <w:rFonts w:cs="Arial" w:eastAsia="Calibri"/>
        </w:rPr>
        <w:t xml:space="preserve"> </w:t>
      </w:r>
    </w:p>
    <w:p>
      <w:pPr>
        <w:pStyle w:val="P2"/>
        <w:rPr>
          <w:rFonts w:cs="Arial"/>
        </w:rPr>
      </w:pPr>
      <w:bookmarkEnd w:id="249"/>
      <w:bookmarkStart w:id="250" w:name="_Toc214886833"/>
      <w:bookmarkStart w:id="251" w:name="_Toc220311658"/>
      <w:r>
        <w:rPr>
          <w:rFonts w:cs="Arial"/>
        </w:rPr>
        <w:t>Fastighetsrättsliga frågor</w:t>
      </w:r>
      <w:bookmarkEnd w:id="250"/>
      <w:bookmarkEnd w:id="251"/>
    </w:p>
    <w:p>
      <w:pPr>
        <w:pStyle w:val="P3"/>
      </w:pPr>
      <w:bookmarkStart w:id="252" w:name="_Toc214886834"/>
      <w:bookmarkStart w:id="253" w:name="_Toc220311659"/>
      <w:r>
        <w:t>Servitut</w:t>
      </w:r>
      <w:bookmarkEnd w:id="252"/>
      <w:bookmarkEnd w:id="253"/>
    </w:p>
    <w:p>
      <w:pPr>
        <w:rPr>
          <w:rFonts w:cs="Arial" w:eastAsia="Calibri"/>
        </w:rPr>
      </w:pPr>
      <w:bookmarkStart w:id="254" w:name="gf_rättigheter01"/>
      <w:r>
        <w:rPr>
          <w:rFonts w:cs="Arial"/>
        </w:rPr>
        <w:t xml:space="preserve">Servitut är en rätt för ägaren av en fastighet att på ett visst bestämt sätt använda en annan fastighet. Det kan till exempel röra sig om rätten att ta väg eller nyttja en brunn på annans fastighet. </w:t>
      </w:r>
      <w:r>
        <w:rPr>
          <w:rFonts w:cs="Arial" w:eastAsia="Calibri"/>
        </w:rPr>
        <w:t>Det finns två typer av servitut, officialservitut och avtalsservitut. Ett officialservitut bildas genom lantmäteriförrättning, efter ansökan och prövning. Servitutet redovisas i fastighetsregistret och är knutet till fastigheten och gäller oavsett vem som äger den. Bildandet av officialservitut bekostas i huvudregler av sökanden.</w:t>
      </w:r>
    </w:p>
    <w:p>
      <w:pPr>
        <w:rPr>
          <w:rFonts w:cs="Arial"/>
        </w:rPr>
      </w:pPr>
      <w:r>
        <w:rPr>
          <w:rFonts w:cs="Arial" w:eastAsia="Calibri"/>
        </w:rPr>
        <w:t>Ett avtalsservitut bildas genom avtal mellan berörda fastighetsägare. Avtalet måste innehålla vissa moment som framgår av jordabalken. Servitutet gäller tills vidare om inte annat har överenskommits. Ett avtalsservitut kan skrivas in i fastighetsregistret. Inskrivning sker genom en skriftlig ansökan till Fastighetsinskrivningen.</w:t>
      </w:r>
    </w:p>
    <w:p>
      <w:r>
        <w:t>Strax utanför planområdet, vid infartsvägen, finns ett officialservitut för väg med innebörden rätt till utfartsväg över Stamhemmanets ägor (akt 2280K-4/1931). Fastigheten Härnö-Solum 1:103 är förmånsfastighet i servitutet.</w:t>
      </w:r>
    </w:p>
    <w:p>
      <w:pPr>
        <w:pStyle w:val="P4"/>
      </w:pPr>
      <w:bookmarkEnd w:id="254"/>
      <w:r>
        <w:t>Konsekvenser</w:t>
      </w:r>
    </w:p>
    <w:p>
      <w:r>
        <w:rPr>
          <w:rFonts w:cs="Arial"/>
        </w:rPr>
        <w:t>Planförslaget påverkar ej.</w:t>
      </w:r>
    </w:p>
    <w:p>
      <w:pPr>
        <w:rPr>
          <w:rFonts w:cs="Arial"/>
        </w:rPr>
      </w:pPr>
    </w:p>
    <w:p>
      <w:pPr>
        <w:rPr>
          <w:rFonts w:cs="Arial"/>
        </w:rPr>
      </w:pPr>
    </w:p>
    <w:p>
      <w:pPr>
        <w:spacing w:after="160" w:beforeAutospacing="0" w:afterAutospacing="0"/>
        <w:rPr>
          <w:rFonts w:cs="Arial" w:eastAsiaTheme="majorEastAsia"/>
          <w:b w:val="1"/>
          <w:i w:val="1"/>
          <w:bCs w:val="1"/>
          <w:iCs w:val="1"/>
          <w:color w:val="2F5496" w:themeColor="accent1" w:themeShade="BF"/>
        </w:rPr>
      </w:pPr>
      <w:r>
        <w:rPr>
          <w:rFonts w:cs="Arial"/>
          <w:b w:val="1"/>
          <w:bCs w:val="1"/>
        </w:rPr>
        <w:br w:type="page"/>
      </w:r>
    </w:p>
    <w:p>
      <w:pPr>
        <w:pStyle w:val="P3"/>
      </w:pPr>
      <w:bookmarkStart w:id="255" w:name="_Toc214886835"/>
      <w:bookmarkStart w:id="256" w:name="_Toc220311660"/>
      <w:r>
        <w:t>Ledningsrätter</w:t>
      </w:r>
      <w:bookmarkEnd w:id="255"/>
      <w:bookmarkEnd w:id="256"/>
    </w:p>
    <w:p>
      <w:pPr>
        <w:spacing w:lineRule="auto" w:line="276" w:beforeAutospacing="0" w:afterAutospacing="0"/>
        <w:rPr>
          <w:rFonts w:cs="Arial"/>
        </w:rPr>
      </w:pPr>
      <w:bookmarkStart w:id="257" w:name="gf_rättigheter02"/>
      <w:r>
        <w:rPr>
          <w:rFonts w:cs="Arial"/>
        </w:rPr>
        <w:t>Ledningsrätt är en servitutsliknande rättighet att använda någon annans mark för ledningsändamål. Ledningsrätt kan upplåtas för ledningar för allmänna ändamål såsom vatten och avlopp, data och telekommunikationsledningar. Ledningsrätt kan endast inrättas av lantmäterimyndigheten.</w:t>
      </w:r>
    </w:p>
    <w:p>
      <w:pPr>
        <w:rPr>
          <w:rFonts w:cs="Arial"/>
        </w:rPr>
      </w:pPr>
      <w:r>
        <w:rPr>
          <w:rFonts w:cs="Arial"/>
        </w:rPr>
        <w:t xml:space="preserve">Strax utanför planområdet, längs östra fastighetsgränsen, finns en ledningsrätt för elektronisk kommunikation samt vatten och avlopp med en buffertzon på 6 meter (2280-2017/44). </w:t>
      </w:r>
      <w:r>
        <w:t>Hemab är huvudman</w:t>
      </w:r>
    </w:p>
    <w:p>
      <w:r>
        <w:t>Befintlig byggnad är idag ansluten.</w:t>
      </w:r>
    </w:p>
    <w:p>
      <w:pPr>
        <w:spacing w:lineRule="auto" w:line="257" w:beforeAutospacing="0" w:afterAutospacing="0"/>
        <w:rPr>
          <w:rFonts w:cs="Arial"/>
        </w:rPr>
      </w:pPr>
    </w:p>
    <w:tbl>
      <w:tblPr>
        <w:tblStyle w:val="T3"/>
        <w:tblW w:w="0" w:type="auto"/>
        <w:tblBorders>
          <w:insideH w:val="single" w:sz="12" w:space="0" w:shadow="0" w:frame="0" w:color="000000" w:themeColor="text1"/>
          <w:insideV w:val="single" w:sz="12" w:space="0" w:shadow="0" w:frame="0" w:color="000000" w:themeColor="text1"/>
        </w:tblBorders>
        <w:tblLayout w:type="fixed"/>
        <w:tblLook w:val="04A0"/>
      </w:tblPr>
      <w:tblGrid/>
      <w:tr>
        <w:trPr>
          <w:trHeight w:hRule="atLeast" w:val="420"/>
        </w:trPr>
        <w:tc>
          <w:tcPr>
            <w:tcW w:w="2955" w:type="dxa"/>
            <w:tcBorders>
              <w:top w:val="nil"/>
              <w:left w:val="nil"/>
            </w:tcBorders>
          </w:tcPr>
          <w:p>
            <w:pPr>
              <w:spacing w:lineRule="auto" w:line="276" w:beforeAutospacing="0" w:afterAutospacing="0"/>
              <w:rPr>
                <w:rFonts w:cs="Arial"/>
              </w:rPr>
            </w:pPr>
            <w:r>
              <w:rPr>
                <w:rFonts w:cs="Arial" w:eastAsia="Calibri"/>
                <w:b w:val="1"/>
                <w:bCs w:val="1"/>
                <w:szCs w:val="24"/>
              </w:rPr>
              <w:t>Rättighet</w:t>
            </w:r>
          </w:p>
        </w:tc>
        <w:tc>
          <w:tcPr>
            <w:tcW w:w="5070" w:type="dxa"/>
            <w:tcBorders>
              <w:top w:val="nil"/>
              <w:right w:val="nil"/>
            </w:tcBorders>
          </w:tcPr>
          <w:p>
            <w:pPr>
              <w:spacing w:lineRule="auto" w:line="276" w:beforeAutospacing="0" w:afterAutospacing="0"/>
              <w:rPr>
                <w:rFonts w:cs="Arial"/>
              </w:rPr>
            </w:pPr>
            <w:r>
              <w:rPr>
                <w:rFonts w:cs="Arial" w:eastAsia="Calibri"/>
                <w:b w:val="1"/>
                <w:bCs w:val="1"/>
                <w:szCs w:val="24"/>
              </w:rPr>
              <w:t>Konsekvenser och åtgärder</w:t>
            </w:r>
          </w:p>
        </w:tc>
      </w:tr>
      <w:tr>
        <w:tc>
          <w:tcPr>
            <w:tcW w:w="2955" w:type="dxa"/>
            <w:tcBorders>
              <w:left w:val="nil"/>
              <w:bottom w:val="nil"/>
            </w:tcBorders>
          </w:tcPr>
          <w:p>
            <w:pPr>
              <w:spacing w:lineRule="auto" w:line="276" w:beforeAutospacing="0" w:afterAutospacing="0"/>
              <w:rPr>
                <w:rFonts w:cs="Arial"/>
              </w:rPr>
            </w:pPr>
            <w:r>
              <w:rPr>
                <w:rFonts w:cs="Arial"/>
              </w:rPr>
              <w:t>Befintlig ledningsrätt (2280–2017/44).</w:t>
            </w:r>
          </w:p>
        </w:tc>
        <w:tc>
          <w:tcPr>
            <w:tcW w:w="5070" w:type="dxa"/>
            <w:tcBorders>
              <w:bottom w:val="nil"/>
              <w:right w:val="nil"/>
            </w:tcBorders>
          </w:tcPr>
          <w:p>
            <w:pPr>
              <w:spacing w:lineRule="auto" w:line="276" w:beforeAutospacing="0" w:afterAutospacing="0"/>
              <w:rPr>
                <w:rFonts w:cs="Arial"/>
              </w:rPr>
            </w:pPr>
            <w:r>
              <w:rPr>
                <w:rFonts w:cs="Arial" w:eastAsia="Calibri"/>
              </w:rPr>
              <w:t xml:space="preserve">Ingen förändring.  </w:t>
            </w:r>
          </w:p>
        </w:tc>
      </w:tr>
    </w:tbl>
    <w:p>
      <w:pPr>
        <w:pStyle w:val="P2"/>
        <w:rPr>
          <w:rFonts w:cs="Arial" w:eastAsia="Calibri"/>
        </w:rPr>
      </w:pPr>
      <w:bookmarkEnd w:id="257"/>
      <w:bookmarkStart w:id="258" w:name="_Toc214886836"/>
      <w:bookmarkStart w:id="259" w:name="_Toc220311661"/>
      <w:r>
        <w:rPr>
          <w:rFonts w:cs="Arial" w:eastAsia="Calibri"/>
        </w:rPr>
        <w:t>Tekniska frågor</w:t>
      </w:r>
      <w:bookmarkEnd w:id="258"/>
      <w:bookmarkEnd w:id="259"/>
    </w:p>
    <w:p>
      <w:pPr>
        <w:pStyle w:val="P3"/>
        <w:rPr>
          <w:rFonts w:eastAsia="Calibri"/>
          <w:lang w:eastAsia="sv-SE"/>
        </w:rPr>
      </w:pPr>
      <w:bookmarkStart w:id="260" w:name="_Toc214886837"/>
      <w:bookmarkStart w:id="261" w:name="_Toc220311662"/>
      <w:r>
        <w:rPr>
          <w:rFonts w:eastAsia="Calibri"/>
          <w:lang w:eastAsia="sv-SE"/>
        </w:rPr>
        <w:t>Tekniska åtgärder</w:t>
      </w:r>
      <w:bookmarkEnd w:id="260"/>
      <w:bookmarkEnd w:id="261"/>
    </w:p>
    <w:p>
      <w:bookmarkStart w:id="262" w:name="gf_tekniskaåtgärder01"/>
      <w:r>
        <w:t>Detaljplanen kräver inga särskilda tekniska åtgärder i den befintliga infrastrukturen för att kunna genomföras. Inom planområdet finns markförlagda ledningar med anslutning till befintlig bostad där Hemab är huvudman. Vid uppförande av ny byggnad kan ledningarna behöva dras om.</w:t>
      </w:r>
    </w:p>
    <w:p>
      <w:pPr>
        <w:rPr>
          <w:rFonts w:cs="Arial" w:eastAsia="Calibri"/>
          <w:color w:val="007AC8"/>
          <w:szCs w:val="24"/>
        </w:rPr>
      </w:pPr>
      <w:r>
        <w:t>Fastighetsägaren ansvarar för att samordna dessa arbeten med berörda ledningshavare.</w:t>
      </w:r>
    </w:p>
    <w:p>
      <w:pPr>
        <w:spacing w:after="160" w:beforeAutospacing="0" w:afterAutospacing="0"/>
        <w:rPr>
          <w:rStyle w:val="C4"/>
          <w:rFonts w:cs="Arial" w:eastAsiaTheme="minorHAnsi"/>
        </w:rPr>
      </w:pPr>
      <w:bookmarkEnd w:id="262"/>
      <w:r>
        <w:rPr>
          <w:rStyle w:val="C4"/>
          <w:rFonts w:cs="Arial" w:eastAsiaTheme="minorHAnsi"/>
          <w:b w:val="0"/>
          <w:bCs w:val="0"/>
          <w:iCs w:val="0"/>
        </w:rPr>
        <w:br w:type="page"/>
      </w:r>
    </w:p>
    <w:p>
      <w:pPr>
        <w:pStyle w:val="P2"/>
        <w:rPr>
          <w:rFonts w:cs="Arial"/>
        </w:rPr>
      </w:pPr>
      <w:bookmarkStart w:id="263" w:name="_Toc214886838"/>
      <w:bookmarkStart w:id="264" w:name="_Toc220311663"/>
      <w:r>
        <w:rPr>
          <w:rStyle w:val="C4"/>
          <w:rFonts w:cs="Arial" w:eastAsiaTheme="minorHAnsi"/>
          <w:b w:val="1"/>
          <w:bCs w:val="1"/>
          <w:iCs w:val="1"/>
        </w:rPr>
        <w:t>Ekonomiska frågor</w:t>
      </w:r>
      <w:bookmarkEnd w:id="263"/>
      <w:bookmarkEnd w:id="264"/>
      <w:r>
        <w:rPr>
          <w:rFonts w:cs="Arial"/>
        </w:rPr>
        <w:t xml:space="preserve"> </w:t>
      </w:r>
    </w:p>
    <w:p>
      <w:pPr>
        <w:pStyle w:val="P3"/>
      </w:pPr>
      <w:bookmarkStart w:id="265" w:name="_Toc214886839"/>
      <w:bookmarkStart w:id="266" w:name="_Toc220311664"/>
      <w:r>
        <w:t>Ekonomiska konsekvenser för fastighetsägare</w:t>
      </w:r>
      <w:bookmarkEnd w:id="265"/>
      <w:bookmarkEnd w:id="266"/>
    </w:p>
    <w:p>
      <w:pPr>
        <w:rPr>
          <w:rFonts w:cs="Arial" w:eastAsia="Calibri"/>
        </w:rPr>
      </w:pPr>
      <w:bookmarkStart w:id="267" w:name="gf_ekonomiskafrågor01"/>
      <w:r>
        <w:rPr>
          <w:rFonts w:cs="Arial" w:eastAsia="Calibri"/>
        </w:rPr>
        <w:t>Kostnader som belastar lovpliktiga åtgärder:</w:t>
      </w:r>
    </w:p>
    <w:p>
      <w:pPr>
        <w:pStyle w:val="P16"/>
        <w:numPr>
          <w:ilvl w:val="0"/>
          <w:numId w:val="7"/>
        </w:numPr>
        <w:spacing w:lineRule="auto" w:line="254" w:beforeAutospacing="0" w:afterAutospacing="0"/>
        <w:rPr>
          <w:rFonts w:cs="Arial" w:eastAsiaTheme="minorEastAsia"/>
        </w:rPr>
      </w:pPr>
      <w:r>
        <w:rPr>
          <w:rFonts w:cs="Arial" w:eastAsia="Calibri"/>
        </w:rPr>
        <w:t>Rivnings kostnader för de byggnader som rivs.</w:t>
      </w:r>
    </w:p>
    <w:p>
      <w:pPr>
        <w:pStyle w:val="P16"/>
        <w:numPr>
          <w:ilvl w:val="0"/>
          <w:numId w:val="7"/>
        </w:numPr>
        <w:spacing w:lineRule="auto" w:line="254" w:beforeAutospacing="0" w:afterAutospacing="0"/>
        <w:rPr>
          <w:rFonts w:cs="Arial" w:eastAsiaTheme="minorEastAsia"/>
        </w:rPr>
      </w:pPr>
      <w:r>
        <w:rPr>
          <w:rFonts w:cs="Arial" w:eastAsiaTheme="minorEastAsia"/>
        </w:rPr>
        <w:t>Byggkostnader.</w:t>
      </w:r>
    </w:p>
    <w:p>
      <w:pPr>
        <w:pStyle w:val="P16"/>
        <w:numPr>
          <w:ilvl w:val="0"/>
          <w:numId w:val="7"/>
        </w:numPr>
        <w:spacing w:lineRule="auto" w:line="254" w:beforeAutospacing="0" w:afterAutospacing="0"/>
        <w:rPr>
          <w:rFonts w:cs="Arial" w:eastAsiaTheme="minorEastAsia"/>
        </w:rPr>
      </w:pPr>
      <w:r>
        <w:rPr>
          <w:rFonts w:cs="Arial" w:eastAsiaTheme="minorEastAsia"/>
        </w:rPr>
        <w:t>Eventuell ledningsflytt inom kvartersmarken.</w:t>
      </w:r>
    </w:p>
    <w:p>
      <w:pPr>
        <w:pStyle w:val="P3"/>
      </w:pPr>
      <w:bookmarkEnd w:id="267"/>
      <w:bookmarkStart w:id="268" w:name="_Toc214886840"/>
      <w:bookmarkStart w:id="269" w:name="_Toc220311665"/>
      <w:r>
        <w:t>Ekonomiska konsekvenser för kommunen</w:t>
      </w:r>
      <w:bookmarkEnd w:id="268"/>
      <w:bookmarkEnd w:id="269"/>
    </w:p>
    <w:p>
      <w:pPr>
        <w:rPr>
          <w:rFonts w:cs="Arial" w:eastAsia="Times New Roman"/>
          <w:b w:val="1"/>
          <w:i w:val="1"/>
          <w:bCs w:val="1"/>
          <w:color w:val="2F5496" w:themeColor="accent1" w:themeShade="BF"/>
          <w:szCs w:val="26"/>
        </w:rPr>
      </w:pPr>
      <w:bookmarkStart w:id="270" w:name="_Hlk220941429"/>
      <w:bookmarkStart w:id="271" w:name="gf_ekonomiskafrågor02"/>
      <w:r>
        <w:t>Åtgärderna bedöms som ekonomiskt neutrala för kommunen eftersom fastigheten ägs privat, samt redan bebyggd och området har en etablerad infrastruktur.</w:t>
      </w:r>
    </w:p>
    <w:p>
      <w:pPr>
        <w:pStyle w:val="P3"/>
      </w:pPr>
      <w:bookmarkEnd w:id="270"/>
      <w:bookmarkEnd w:id="271"/>
      <w:bookmarkStart w:id="272" w:name="_Toc214886841"/>
      <w:bookmarkStart w:id="273" w:name="_Toc220311666"/>
      <w:r>
        <w:t>Ekonomiska konsekvenser för övriga berörda</w:t>
      </w:r>
      <w:bookmarkEnd w:id="272"/>
      <w:bookmarkEnd w:id="273"/>
      <w:r>
        <w:t xml:space="preserve"> </w:t>
      </w:r>
    </w:p>
    <w:p>
      <w:pPr>
        <w:spacing w:lineRule="auto" w:line="240" w:after="0" w:beforeAutospacing="0" w:afterAutospacing="0"/>
      </w:pPr>
      <w:bookmarkStart w:id="274" w:name="gf_ekonomiskafrågor03"/>
      <w:r>
        <w:t>Eventuella ekonomiska konsekvenserna för övriga berörda regleras i särskilt avtal.</w:t>
      </w:r>
    </w:p>
    <w:p>
      <w:pPr>
        <w:pStyle w:val="P3"/>
      </w:pPr>
      <w:bookmarkEnd w:id="274"/>
      <w:bookmarkStart w:id="275" w:name="_Toc214886842"/>
      <w:bookmarkStart w:id="276" w:name="_Toc220311667"/>
      <w:r>
        <w:t>Planavgift</w:t>
      </w:r>
      <w:bookmarkEnd w:id="275"/>
      <w:bookmarkEnd w:id="276"/>
    </w:p>
    <w:p>
      <w:bookmarkStart w:id="277" w:name="gf_ekonomiskafrågor04"/>
      <w:r>
        <w:t>Planavgiften regleras i ett särskilt avtal med fastighetsägaren.</w:t>
      </w:r>
    </w:p>
    <w:p>
      <w:pPr>
        <w:pStyle w:val="P1"/>
        <w:rPr>
          <w:rFonts w:cs="Arial"/>
        </w:rPr>
      </w:pPr>
      <w:bookmarkEnd w:id="277"/>
      <w:bookmarkStart w:id="278" w:name="_Toc214886843"/>
      <w:bookmarkStart w:id="279" w:name="_Toc220311668"/>
      <w:bookmarkStart w:id="280" w:name="_Hlk25839221"/>
      <w:r>
        <w:rPr>
          <w:rFonts w:cs="Arial"/>
        </w:rPr>
        <w:t>Källor</w:t>
      </w:r>
      <w:bookmarkEnd w:id="278"/>
      <w:bookmarkEnd w:id="279"/>
    </w:p>
    <w:p>
      <w:pPr>
        <w:rPr>
          <w:rFonts w:cs="Arial"/>
        </w:rPr>
      </w:pPr>
      <w:r>
        <w:rPr>
          <w:rFonts w:cs="Arial"/>
        </w:rPr>
        <w:t>Fotografier: Härnösands kommun, om inte annat anges</w:t>
        <w:br w:type="textWrapping"/>
        <w:t>Ortofoton: Lantmäteriet, om inte annat anges</w:t>
        <w:br w:type="textWrapping"/>
        <w:t>Kartor och illustrationer: Härnösands kommun, om inte annat anges</w:t>
      </w:r>
    </w:p>
    <w:p>
      <w:pPr>
        <w:rPr>
          <w:rFonts w:cs="Arial"/>
        </w:rPr>
      </w:pPr>
    </w:p>
    <w:p>
      <w:pPr>
        <w:spacing w:lineRule="auto" w:line="240" w:after="0" w:beforeAutospacing="0" w:afterAutospacing="0"/>
        <w:rPr>
          <w:rFonts w:cs="Arial"/>
          <w:color w:val="000000"/>
          <w:sz w:val="20"/>
          <w:szCs w:val="20"/>
        </w:rPr>
      </w:pPr>
      <w:r>
        <w:rPr>
          <w:rFonts w:cs="Arial"/>
          <w:color w:val="000000"/>
          <w:sz w:val="20"/>
          <w:szCs w:val="20"/>
        </w:rPr>
        <w:t xml:space="preserve">Thomas Jenssen </w:t>
        <w:tab/>
        <w:t>Amme Hedström</w:t>
        <w:tab/>
        <w:t xml:space="preserve"> Thomas Indseth-Nylund </w:t>
      </w:r>
    </w:p>
    <w:p>
      <w:pPr>
        <w:rPr>
          <w:rFonts w:cs="Arial"/>
        </w:rPr>
      </w:pPr>
      <w:r>
        <w:rPr>
          <w:rFonts w:cs="Arial"/>
          <w:color w:val="000000"/>
          <w:sz w:val="20"/>
          <w:szCs w:val="20"/>
        </w:rPr>
        <w:t>Förvaltningschef</w:t>
        <w:tab/>
        <w:t xml:space="preserve">Planarkitekt </w:t>
        <w:tab/>
        <w:tab/>
        <w:t xml:space="preserve"> Stadsarkitekt </w:t>
      </w:r>
    </w:p>
    <w:p>
      <w:pPr>
        <w:rPr>
          <w:rFonts w:cs="Arial"/>
        </w:rPr>
      </w:pPr>
    </w:p>
    <w:p>
      <w:pPr>
        <w:spacing w:after="160" w:beforeAutospacing="0" w:afterAutospacing="0"/>
        <w:rPr>
          <w:rFonts w:cs="Arial"/>
          <w:i w:val="1"/>
          <w:iCs w:val="1"/>
          <w:szCs w:val="24"/>
        </w:rPr>
      </w:pPr>
      <w:bookmarkEnd w:id="280"/>
    </w:p>
    <w:sectPr>
      <w:headerReference xmlns:r="http://schemas.openxmlformats.org/officeDocument/2006/relationships" w:type="default" r:id="RelHdr3"/>
      <w:footnotePr/>
      <w:endnotePr/>
      <w:type w:val="nextPage"/>
      <w:pgSz w:w="11906" w:h="16838" w:code="0"/>
      <w:pgMar w:left="2268" w:right="1304" w:top="1418" w:bottom="1418" w:header="709" w:footer="0" w:gutter="0"/>
      <w:pgNumType w:start="1" w:chapSep="period"/>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pPr>
        <w:spacing w:lineRule="auto" w:line="240" w:after="0" w:beforeAutospacing="0" w:afterAutospacing="0"/>
      </w:pPr>
      <w:r>
        <w:separator/>
      </w:r>
    </w:p>
  </w:endnote>
  <w:endnote w:type="continuationSeparator" w:id="0">
    <w:p>
      <w:pPr>
        <w:spacing w:lineRule="auto" w:line="240" w:after="0" w:beforeAutospacing="0" w:afterAutospacing="0"/>
      </w:pPr>
      <w:r>
        <w:continuationSeparator/>
      </w:r>
    </w:p>
  </w:endnote>
  <w:endnote w:type="continuationNotice" w:id="1">
    <w:p>
      <w:pPr>
        <w:spacing w:lineRule="auto" w:line="240" w:after="0" w:beforeAutospacing="0" w:afterAutospacing="0"/>
      </w:pPr>
    </w:p>
  </w:endnote>
</w:endnotes>
</file>

<file path=word/footer1.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6"/>
      <w:tabs>
        <w:tab w:val="clear" w:pos="4536" w:leader="none"/>
      </w:tabs>
      <w:jc w:val="right"/>
      <w:rPr>
        <w:color w:val="CFCFCF"/>
      </w:rPr>
    </w:pPr>
    <w:r>
      <w:rPr>
        <w:color w:val="CFCFCF"/>
      </w:rPr>
      <w:t>Planbeskrivning för Härnö-Solum 1:103</w:t>
    </w:r>
  </w:p>
  <w:p>
    <w:pPr>
      <w:pStyle w:val="P6"/>
      <w:tabs>
        <w:tab w:val="clear" w:pos="4536" w:leader="none"/>
      </w:tabs>
      <w:jc w:val="right"/>
      <w:rPr>
        <w:color w:val="CFCFCF"/>
      </w:rPr>
    </w:pPr>
    <w:r>
      <w:rPr>
        <w:color w:val="CFCFCF"/>
      </w:rPr>
      <w:t>SAM-2025-2115</w:t>
    </w:r>
  </w:p>
  <w:p>
    <w:pPr>
      <w:pStyle w:val="P7"/>
    </w:pPr>
  </w:p>
</w:ftr>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pPr>
        <w:spacing w:lineRule="auto" w:line="240" w:after="0" w:beforeAutospacing="0" w:afterAutospacing="0"/>
      </w:pPr>
      <w:r>
        <w:separator/>
      </w:r>
    </w:p>
  </w:footnote>
  <w:footnote w:type="continuationSeparator" w:id="0">
    <w:p>
      <w:pPr>
        <w:spacing w:lineRule="auto" w:line="240" w:after="0" w:beforeAutospacing="0" w:afterAutospacing="0"/>
      </w:pPr>
      <w:r>
        <w:continuationSeparator/>
      </w:r>
    </w:p>
  </w:footnote>
  <w:footnote w:type="continuationNotice" w:id="1">
    <w:p>
      <w:pPr>
        <w:spacing w:lineRule="auto" w:line="240" w:after="0" w:beforeAutospacing="0" w:afterAutospacing="0"/>
      </w:pPr>
    </w:p>
  </w:footnote>
</w:footnotes>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6"/>
      <w:jc w:val="right"/>
    </w:pPr>
    <w:r>
      <w:fldChar w:fldCharType="begin"/>
    </w:r>
    <w:r>
      <w:instrText xml:space="preserve">PAGE   \* MERGEFORMAT</w:instrText>
    </w:r>
    <w:r>
      <w:fldChar w:fldCharType="separate"/>
    </w:r>
    <w:r>
      <w:t>#</w:t>
    </w:r>
    <w:r>
      <w:fldChar w:fldCharType="end"/>
    </w:r>
  </w:p>
  <w:p>
    <w:pPr>
      <w:pStyle w:val="P6"/>
    </w:pPr>
  </w:p>
</w:hdr>
</file>

<file path=word/header2.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6"/>
      <w:jc w:val="right"/>
      <w:rPr>
        <w:rFonts w:asciiTheme="minorHAnsi" w:hAnsiTheme="minorHAnsi" w:cstheme="minorHAnsi"/>
        <w:sz w:val="20"/>
        <w:szCs w:val="16"/>
      </w:rPr>
    </w:pPr>
  </w:p>
  <w:p>
    <w:pPr>
      <w:pStyle w:val="P6"/>
    </w:pPr>
  </w:p>
</w:hdr>
</file>

<file path=word/header3.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6"/>
      <w:jc w:val="right"/>
      <w:rPr>
        <w:rFonts w:asciiTheme="minorHAnsi" w:hAnsiTheme="minorHAnsi" w:cstheme="minorHAnsi"/>
        <w:sz w:val="20"/>
      </w:rPr>
    </w:pPr>
    <w:r>
      <w:rPr>
        <w:bCs w:val="1"/>
        <w:noProof w:val="1"/>
        <w:color w:val="00C2FB"/>
        <w:sz w:val="18"/>
      </w:rPr>
      <w:drawing>
        <wp:anchor xmlns:wp="http://schemas.openxmlformats.org/drawingml/2006/wordprocessingDrawing" distT="0" distB="0" distL="114300" distR="114300" simplePos="0" relativeHeight="251659264" behindDoc="1" locked="0" layoutInCell="1" allowOverlap="1">
          <wp:simplePos x="0" y="0"/>
          <wp:positionH relativeFrom="margin">
            <wp:align>left</wp:align>
          </wp:positionH>
          <wp:positionV relativeFrom="paragraph">
            <wp:posOffset>-148590</wp:posOffset>
          </wp:positionV>
          <wp:extent cx="1118870" cy="457200"/>
          <wp:effectExtent l="0" t="0" r="5080" b="0"/>
          <wp:wrapNone/>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71"/>
                  <pic:cNvPicPr/>
                </pic:nvPicPr>
                <pic:blipFill dpi="0">
                  <a:blip xmlns:r="http://schemas.openxmlformats.org/officeDocument/2006/relationships" r:embed="Relimage32" cstate="print"/>
                  <a:srcRect l="6736"/>
                  <a:stretch>
                    <a:fillRect/>
                  </a:stretch>
                </pic:blipFill>
                <pic:spPr bwMode="auto">
                  <a:xfrm>
                    <a:off x="0" y="0"/>
                    <a:ext cx="1119117" cy="457349"/>
                  </a:xfrm>
                  <a:prstGeom prst="rect"/>
                  <a:ln>
                    <a:noFill/>
                  </a:ln>
                </pic:spPr>
              </pic:pic>
            </a:graphicData>
          </a:graphic>
        </wp:anchor>
      </w:drawing>
    </w:r>
    <w:r>
      <w:rPr>
        <w:rFonts w:asciiTheme="minorHAnsi" w:hAnsiTheme="minorHAnsi" w:cstheme="minorHAnsi"/>
        <w:sz w:val="20"/>
        <w:szCs w:val="16"/>
      </w:rPr>
      <w:fldChar w:fldCharType="begin"/>
    </w:r>
    <w:r>
      <w:rPr>
        <w:rFonts w:asciiTheme="minorHAnsi" w:hAnsiTheme="minorHAnsi" w:cstheme="minorHAnsi"/>
        <w:sz w:val="20"/>
        <w:szCs w:val="16"/>
      </w:rPr>
      <w:instrText xml:space="preserve">PAGE   \* MERGEFORMAT</w:instrText>
    </w:r>
    <w:r>
      <w:rPr>
        <w:rFonts w:asciiTheme="minorHAnsi" w:hAnsiTheme="minorHAnsi" w:cstheme="minorHAnsi"/>
        <w:sz w:val="20"/>
        <w:szCs w:val="16"/>
      </w:rPr>
      <w:fldChar w:fldCharType="separate"/>
    </w:r>
    <w:r>
      <w:rPr>
        <w:rFonts w:asciiTheme="minorHAnsi" w:hAnsiTheme="minorHAnsi" w:cstheme="minorHAnsi"/>
        <w:sz w:val="20"/>
        <w:szCs w:val="16"/>
      </w:rPr>
      <w:t>#</w:t>
    </w:r>
    <w:r>
      <w:rPr>
        <w:rFonts w:asciiTheme="minorHAnsi" w:hAnsiTheme="minorHAnsi" w:cstheme="minorHAnsi"/>
        <w:sz w:val="20"/>
        <w:szCs w:val="16"/>
      </w:rPr>
      <w:fldChar w:fldCharType="end"/>
    </w:r>
    <w:r>
      <w:rPr>
        <w:rFonts w:asciiTheme="minorHAnsi" w:hAnsiTheme="minorHAnsi" w:cstheme="minorHAnsi"/>
        <w:sz w:val="20"/>
        <w:highlight w:val="yellow"/>
      </w:rPr>
      <w:t xml:space="preserve"> </w:t>
    </w:r>
    <w:r>
      <w:rPr>
        <w:rFonts w:asciiTheme="minorHAnsi" w:hAnsiTheme="minorHAnsi" w:cstheme="minorHAnsi"/>
        <w:sz w:val="20"/>
        <w:highlight w:val="yellow"/>
      </w:rPr>
      <w:t>(</w:t>
    </w:r>
    <w:r>
      <w:rPr>
        <w:rFonts w:asciiTheme="minorHAnsi" w:hAnsiTheme="minorHAnsi" w:cstheme="minorHAnsi"/>
        <w:b w:val="1"/>
        <w:bCs w:val="1"/>
        <w:sz w:val="20"/>
        <w:highlight w:val="yellow"/>
      </w:rPr>
      <w:fldChar w:fldCharType="begin"/>
    </w:r>
    <w:r>
      <w:rPr>
        <w:rFonts w:asciiTheme="minorHAnsi" w:hAnsiTheme="minorHAnsi" w:cstheme="minorHAnsi"/>
        <w:b w:val="1"/>
        <w:bCs w:val="1"/>
        <w:sz w:val="20"/>
        <w:highlight w:val="yellow"/>
      </w:rPr>
      <w:instrText xml:space="preserve">NUMPAGES  \* Arabic  \* MERGEFORMAT</w:instrText>
    </w:r>
    <w:r>
      <w:rPr>
        <w:rFonts w:asciiTheme="minorHAnsi" w:hAnsiTheme="minorHAnsi" w:cstheme="minorHAnsi"/>
        <w:b w:val="1"/>
        <w:bCs w:val="1"/>
        <w:sz w:val="20"/>
        <w:highlight w:val="yellow"/>
      </w:rPr>
      <w:fldChar w:fldCharType="separate"/>
    </w:r>
    <w:r>
      <w:rPr>
        <w:rFonts w:asciiTheme="minorHAnsi" w:hAnsiTheme="minorHAnsi" w:cstheme="minorHAnsi"/>
        <w:b w:val="1"/>
        <w:bCs w:val="1"/>
        <w:sz w:val="20"/>
        <w:highlight w:val="yellow"/>
      </w:rPr>
      <w:t>#</w:t>
    </w:r>
    <w:r>
      <w:rPr>
        <w:rFonts w:asciiTheme="minorHAnsi" w:hAnsiTheme="minorHAnsi" w:cstheme="minorHAnsi"/>
        <w:b w:val="1"/>
        <w:bCs w:val="1"/>
        <w:sz w:val="20"/>
        <w:highlight w:val="yellow"/>
      </w:rPr>
      <w:fldChar w:fldCharType="end"/>
    </w:r>
    <w:r>
      <w:rPr>
        <w:rFonts w:asciiTheme="minorHAnsi" w:hAnsiTheme="minorHAnsi" w:cstheme="minorHAnsi"/>
        <w:sz w:val="20"/>
        <w:highlight w:val="yellow"/>
      </w:rPr>
      <w:t>)</w:t>
    </w:r>
  </w:p>
  <w:p>
    <w:pPr>
      <w:pStyle w:val="P6"/>
    </w:pPr>
  </w:p>
</w:hdr>
</file>

<file path=word/numbering.xml><?xml version="1.0" encoding="utf-8"?>
<w:numbering xmlns:w="http://schemas.openxmlformats.org/wordprocessingml/2006/main">
  <w:abstractNum w:abstractNumId="0">
    <w:nsid w:val="022454DB"/>
    <w:multiLevelType w:val="hybridMultilevel"/>
    <w:lvl w:ilvl="0" w:tplc="E454F328">
      <w:start w:val="1"/>
      <w:numFmt w:val="bullet"/>
      <w:suff w:val="tab"/>
      <w:lvlText w:val=""/>
      <w:lvlJc w:val="left"/>
      <w:pPr>
        <w:ind w:hanging="360" w:left="360"/>
      </w:pPr>
      <w:rPr>
        <w:rFonts w:ascii="Symbol" w:hAnsi="Symbol" w:hint="default"/>
        <w:sz w:val="24"/>
        <w:szCs w:val="24"/>
      </w:rPr>
    </w:lvl>
    <w:lvl w:ilvl="1" w:tplc="041D0003">
      <w:start w:val="1"/>
      <w:numFmt w:val="bullet"/>
      <w:suff w:val="tab"/>
      <w:lvlText w:val="o"/>
      <w:lvlJc w:val="left"/>
      <w:pPr>
        <w:ind w:hanging="360" w:left="1080"/>
      </w:pPr>
      <w:rPr>
        <w:rFonts w:ascii="Courier New" w:hAnsi="Courier New" w:cs="Courier New" w:hint="default"/>
      </w:rPr>
    </w:lvl>
    <w:lvl w:ilvl="2" w:tplc="041D0005">
      <w:start w:val="1"/>
      <w:numFmt w:val="bullet"/>
      <w:suff w:val="tab"/>
      <w:lvlText w:val=""/>
      <w:lvlJc w:val="left"/>
      <w:pPr>
        <w:ind w:hanging="360" w:left="1800"/>
      </w:pPr>
      <w:rPr>
        <w:rFonts w:ascii="Wingdings" w:hAnsi="Wingdings" w:hint="default"/>
      </w:rPr>
    </w:lvl>
    <w:lvl w:ilvl="3" w:tplc="041D0001">
      <w:start w:val="1"/>
      <w:numFmt w:val="bullet"/>
      <w:suff w:val="tab"/>
      <w:lvlText w:val=""/>
      <w:lvlJc w:val="left"/>
      <w:pPr>
        <w:ind w:hanging="360" w:left="2520"/>
      </w:pPr>
      <w:rPr>
        <w:rFonts w:ascii="Symbol" w:hAnsi="Symbol" w:hint="default"/>
      </w:rPr>
    </w:lvl>
    <w:lvl w:ilvl="4" w:tplc="041D0003">
      <w:start w:val="1"/>
      <w:numFmt w:val="bullet"/>
      <w:suff w:val="tab"/>
      <w:lvlText w:val="o"/>
      <w:lvlJc w:val="left"/>
      <w:pPr>
        <w:ind w:hanging="360" w:left="3240"/>
      </w:pPr>
      <w:rPr>
        <w:rFonts w:ascii="Courier New" w:hAnsi="Courier New" w:cs="Courier New" w:hint="default"/>
      </w:rPr>
    </w:lvl>
    <w:lvl w:ilvl="5" w:tplc="041D0005">
      <w:start w:val="1"/>
      <w:numFmt w:val="bullet"/>
      <w:suff w:val="tab"/>
      <w:lvlText w:val=""/>
      <w:lvlJc w:val="left"/>
      <w:pPr>
        <w:ind w:hanging="360" w:left="3960"/>
      </w:pPr>
      <w:rPr>
        <w:rFonts w:ascii="Wingdings" w:hAnsi="Wingdings" w:hint="default"/>
      </w:rPr>
    </w:lvl>
    <w:lvl w:ilvl="6" w:tplc="041D0001">
      <w:start w:val="1"/>
      <w:numFmt w:val="bullet"/>
      <w:suff w:val="tab"/>
      <w:lvlText w:val=""/>
      <w:lvlJc w:val="left"/>
      <w:pPr>
        <w:ind w:hanging="360" w:left="4680"/>
      </w:pPr>
      <w:rPr>
        <w:rFonts w:ascii="Symbol" w:hAnsi="Symbol" w:hint="default"/>
      </w:rPr>
    </w:lvl>
    <w:lvl w:ilvl="7" w:tplc="041D0003">
      <w:start w:val="1"/>
      <w:numFmt w:val="bullet"/>
      <w:suff w:val="tab"/>
      <w:lvlText w:val="o"/>
      <w:lvlJc w:val="left"/>
      <w:pPr>
        <w:ind w:hanging="360" w:left="5400"/>
      </w:pPr>
      <w:rPr>
        <w:rFonts w:ascii="Courier New" w:hAnsi="Courier New" w:cs="Courier New" w:hint="default"/>
      </w:rPr>
    </w:lvl>
    <w:lvl w:ilvl="8" w:tplc="041D0005">
      <w:start w:val="1"/>
      <w:numFmt w:val="bullet"/>
      <w:suff w:val="tab"/>
      <w:lvlText w:val=""/>
      <w:lvlJc w:val="left"/>
      <w:pPr>
        <w:ind w:hanging="360" w:left="6120"/>
      </w:pPr>
      <w:rPr>
        <w:rFonts w:ascii="Wingdings" w:hAnsi="Wingdings" w:hint="default"/>
      </w:rPr>
    </w:lvl>
  </w:abstractNum>
  <w:abstractNum w:abstractNumId="1">
    <w:nsid w:val="04653C59"/>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2">
    <w:nsid w:val="0B766319"/>
    <w:multiLevelType w:val="multilevel"/>
    <w:lvl w:ilvl="0">
      <w:start w:val="1"/>
      <w:numFmt w:val="bullet"/>
      <w:suff w:val="tab"/>
      <w:lvlText w:val=""/>
      <w:lvlJc w:val="left"/>
      <w:pPr>
        <w:ind w:hanging="360" w:left="720"/>
        <w:tabs>
          <w:tab w:val="num" w:pos="720" w:leader="none"/>
        </w:tabs>
      </w:pPr>
      <w:rPr>
        <w:rFonts w:ascii="Symbol" w:hAnsi="Symbol" w:hint="default"/>
        <w:sz w:val="20"/>
      </w:rPr>
    </w:lvl>
    <w:lvl w:ilvl="1">
      <w:start w:val="1"/>
      <w:numFmt w:val="bullet"/>
      <w:suff w:val="tab"/>
      <w:lvlText w:val="o"/>
      <w:lvlJc w:val="left"/>
      <w:pPr>
        <w:ind w:hanging="360" w:left="1440"/>
        <w:tabs>
          <w:tab w:val="num" w:pos="1440" w:leader="none"/>
        </w:tabs>
      </w:pPr>
      <w:rPr>
        <w:rFonts w:ascii="Courier New" w:hAnsi="Courier New" w:hint="default"/>
        <w:sz w:val="20"/>
      </w:rPr>
    </w:lvl>
    <w:lvl w:ilvl="2">
      <w:start w:val="1"/>
      <w:numFmt w:val="bullet"/>
      <w:suff w:val="tab"/>
      <w:lvlText w:val=""/>
      <w:lvlJc w:val="left"/>
      <w:pPr>
        <w:ind w:hanging="360" w:left="2160"/>
        <w:tabs>
          <w:tab w:val="num" w:pos="2160" w:leader="none"/>
        </w:tabs>
      </w:pPr>
      <w:rPr>
        <w:rFonts w:ascii="Wingdings" w:hAnsi="Wingdings" w:hint="default"/>
        <w:sz w:val="20"/>
      </w:rPr>
    </w:lvl>
    <w:lvl w:ilvl="3">
      <w:start w:val="1"/>
      <w:numFmt w:val="bullet"/>
      <w:suff w:val="tab"/>
      <w:lvlText w:val=""/>
      <w:lvlJc w:val="left"/>
      <w:pPr>
        <w:ind w:hanging="360" w:left="2880"/>
        <w:tabs>
          <w:tab w:val="num" w:pos="2880" w:leader="none"/>
        </w:tabs>
      </w:pPr>
      <w:rPr>
        <w:rFonts w:ascii="Wingdings" w:hAnsi="Wingdings" w:hint="default"/>
        <w:sz w:val="20"/>
      </w:rPr>
    </w:lvl>
    <w:lvl w:ilvl="4">
      <w:start w:val="1"/>
      <w:numFmt w:val="bullet"/>
      <w:suff w:val="tab"/>
      <w:lvlText w:val=""/>
      <w:lvlJc w:val="left"/>
      <w:pPr>
        <w:ind w:hanging="360" w:left="3600"/>
        <w:tabs>
          <w:tab w:val="num" w:pos="3600" w:leader="none"/>
        </w:tabs>
      </w:pPr>
      <w:rPr>
        <w:rFonts w:ascii="Wingdings" w:hAnsi="Wingdings" w:hint="default"/>
        <w:sz w:val="20"/>
      </w:rPr>
    </w:lvl>
    <w:lvl w:ilvl="5">
      <w:start w:val="1"/>
      <w:numFmt w:val="bullet"/>
      <w:suff w:val="tab"/>
      <w:lvlText w:val=""/>
      <w:lvlJc w:val="left"/>
      <w:pPr>
        <w:ind w:hanging="360" w:left="4320"/>
        <w:tabs>
          <w:tab w:val="num" w:pos="4320" w:leader="none"/>
        </w:tabs>
      </w:pPr>
      <w:rPr>
        <w:rFonts w:ascii="Wingdings" w:hAnsi="Wingdings" w:hint="default"/>
        <w:sz w:val="20"/>
      </w:rPr>
    </w:lvl>
    <w:lvl w:ilvl="6">
      <w:start w:val="1"/>
      <w:numFmt w:val="bullet"/>
      <w:suff w:val="tab"/>
      <w:lvlText w:val=""/>
      <w:lvlJc w:val="left"/>
      <w:pPr>
        <w:ind w:hanging="360" w:left="5040"/>
        <w:tabs>
          <w:tab w:val="num" w:pos="5040" w:leader="none"/>
        </w:tabs>
      </w:pPr>
      <w:rPr>
        <w:rFonts w:ascii="Wingdings" w:hAnsi="Wingdings" w:hint="default"/>
        <w:sz w:val="20"/>
      </w:rPr>
    </w:lvl>
    <w:lvl w:ilvl="7">
      <w:start w:val="1"/>
      <w:numFmt w:val="bullet"/>
      <w:suff w:val="tab"/>
      <w:lvlText w:val=""/>
      <w:lvlJc w:val="left"/>
      <w:pPr>
        <w:ind w:hanging="360" w:left="5760"/>
        <w:tabs>
          <w:tab w:val="num" w:pos="5760" w:leader="none"/>
        </w:tabs>
      </w:pPr>
      <w:rPr>
        <w:rFonts w:ascii="Wingdings" w:hAnsi="Wingdings" w:hint="default"/>
        <w:sz w:val="20"/>
      </w:rPr>
    </w:lvl>
    <w:lvl w:ilvl="8">
      <w:start w:val="1"/>
      <w:numFmt w:val="bullet"/>
      <w:suff w:val="tab"/>
      <w:lvlText w:val=""/>
      <w:lvlJc w:val="left"/>
      <w:pPr>
        <w:ind w:hanging="360" w:left="6480"/>
        <w:tabs>
          <w:tab w:val="num" w:pos="6480" w:leader="none"/>
        </w:tabs>
      </w:pPr>
      <w:rPr>
        <w:rFonts w:ascii="Wingdings" w:hAnsi="Wingdings" w:hint="default"/>
        <w:sz w:val="20"/>
      </w:rPr>
    </w:lvl>
  </w:abstractNum>
  <w:abstractNum w:abstractNumId="3">
    <w:nsid w:val="148F6929"/>
    <w:multiLevelType w:val="hybridMultilevel"/>
    <w:lvl w:ilvl="0" w:tplc="40D6AD30">
      <w:start w:val="1"/>
      <w:numFmt w:val="bullet"/>
      <w:suff w:val="tab"/>
      <w:lvlText w:val="·"/>
      <w:lvlJc w:val="left"/>
      <w:pPr>
        <w:ind w:hanging="360" w:left="720"/>
      </w:pPr>
      <w:rPr>
        <w:rFonts w:ascii="Symbol" w:hAnsi="Symbol" w:hint="default"/>
      </w:rPr>
    </w:lvl>
    <w:lvl w:ilvl="1" w:tplc="A9907B90">
      <w:start w:val="1"/>
      <w:numFmt w:val="bullet"/>
      <w:suff w:val="tab"/>
      <w:lvlText w:val="o"/>
      <w:lvlJc w:val="left"/>
      <w:pPr>
        <w:ind w:hanging="360" w:left="1440"/>
      </w:pPr>
      <w:rPr>
        <w:rFonts w:ascii="Courier New" w:hAnsi="Courier New" w:hint="default"/>
      </w:rPr>
    </w:lvl>
    <w:lvl w:ilvl="2" w:tplc="C3CE5856">
      <w:start w:val="1"/>
      <w:numFmt w:val="bullet"/>
      <w:suff w:val="tab"/>
      <w:lvlText w:val=""/>
      <w:lvlJc w:val="left"/>
      <w:pPr>
        <w:ind w:hanging="360" w:left="2160"/>
      </w:pPr>
      <w:rPr>
        <w:rFonts w:ascii="Wingdings" w:hAnsi="Wingdings" w:hint="default"/>
      </w:rPr>
    </w:lvl>
    <w:lvl w:ilvl="3" w:tplc="410E2DBE">
      <w:start w:val="1"/>
      <w:numFmt w:val="bullet"/>
      <w:suff w:val="tab"/>
      <w:lvlText w:val=""/>
      <w:lvlJc w:val="left"/>
      <w:pPr>
        <w:ind w:hanging="360" w:left="2880"/>
      </w:pPr>
      <w:rPr>
        <w:rFonts w:ascii="Symbol" w:hAnsi="Symbol" w:hint="default"/>
      </w:rPr>
    </w:lvl>
    <w:lvl w:ilvl="4" w:tplc="36E69722">
      <w:start w:val="1"/>
      <w:numFmt w:val="bullet"/>
      <w:suff w:val="tab"/>
      <w:lvlText w:val="o"/>
      <w:lvlJc w:val="left"/>
      <w:pPr>
        <w:ind w:hanging="360" w:left="3600"/>
      </w:pPr>
      <w:rPr>
        <w:rFonts w:ascii="Courier New" w:hAnsi="Courier New" w:hint="default"/>
      </w:rPr>
    </w:lvl>
    <w:lvl w:ilvl="5" w:tplc="89CE0852">
      <w:start w:val="1"/>
      <w:numFmt w:val="bullet"/>
      <w:suff w:val="tab"/>
      <w:lvlText w:val=""/>
      <w:lvlJc w:val="left"/>
      <w:pPr>
        <w:ind w:hanging="360" w:left="4320"/>
      </w:pPr>
      <w:rPr>
        <w:rFonts w:ascii="Wingdings" w:hAnsi="Wingdings" w:hint="default"/>
      </w:rPr>
    </w:lvl>
    <w:lvl w:ilvl="6" w:tplc="8DCC6316">
      <w:start w:val="1"/>
      <w:numFmt w:val="bullet"/>
      <w:suff w:val="tab"/>
      <w:lvlText w:val=""/>
      <w:lvlJc w:val="left"/>
      <w:pPr>
        <w:ind w:hanging="360" w:left="5040"/>
      </w:pPr>
      <w:rPr>
        <w:rFonts w:ascii="Symbol" w:hAnsi="Symbol" w:hint="default"/>
      </w:rPr>
    </w:lvl>
    <w:lvl w:ilvl="7" w:tplc="D980BA14">
      <w:start w:val="1"/>
      <w:numFmt w:val="bullet"/>
      <w:suff w:val="tab"/>
      <w:lvlText w:val="o"/>
      <w:lvlJc w:val="left"/>
      <w:pPr>
        <w:ind w:hanging="360" w:left="5760"/>
      </w:pPr>
      <w:rPr>
        <w:rFonts w:ascii="Courier New" w:hAnsi="Courier New" w:hint="default"/>
      </w:rPr>
    </w:lvl>
    <w:lvl w:ilvl="8" w:tplc="191A7FAC">
      <w:start w:val="1"/>
      <w:numFmt w:val="bullet"/>
      <w:suff w:val="tab"/>
      <w:lvlText w:val=""/>
      <w:lvlJc w:val="left"/>
      <w:pPr>
        <w:ind w:hanging="360" w:left="6480"/>
      </w:pPr>
      <w:rPr>
        <w:rFonts w:ascii="Wingdings" w:hAnsi="Wingdings" w:hint="default"/>
      </w:rPr>
    </w:lvl>
  </w:abstractNum>
  <w:abstractNum w:abstractNumId="4">
    <w:nsid w:val="1862171C"/>
    <w:multiLevelType w:val="multilevel"/>
    <w:lvl w:ilvl="0">
      <w:start w:val="1"/>
      <w:numFmt w:val="bullet"/>
      <w:suff w:val="tab"/>
      <w:lvlText w:val=""/>
      <w:lvlJc w:val="left"/>
      <w:pPr>
        <w:ind w:hanging="360" w:left="720"/>
        <w:tabs>
          <w:tab w:val="num" w:pos="720" w:leader="none"/>
        </w:tabs>
      </w:pPr>
      <w:rPr>
        <w:rFonts w:ascii="Symbol" w:hAnsi="Symbol" w:hint="default"/>
        <w:sz w:val="20"/>
      </w:rPr>
    </w:lvl>
    <w:lvl w:ilvl="1">
      <w:start w:val="1"/>
      <w:numFmt w:val="bullet"/>
      <w:suff w:val="tab"/>
      <w:lvlText w:val=""/>
      <w:lvlJc w:val="left"/>
      <w:pPr>
        <w:ind w:hanging="360" w:left="1440"/>
        <w:tabs>
          <w:tab w:val="num" w:pos="1440" w:leader="none"/>
        </w:tabs>
      </w:pPr>
      <w:rPr>
        <w:rFonts w:ascii="Symbol" w:hAnsi="Symbol" w:hint="default"/>
        <w:sz w:val="20"/>
      </w:rPr>
    </w:lvl>
    <w:lvl w:ilvl="2">
      <w:start w:val="1"/>
      <w:numFmt w:val="bullet"/>
      <w:suff w:val="tab"/>
      <w:lvlText w:val=""/>
      <w:lvlJc w:val="left"/>
      <w:pPr>
        <w:ind w:hanging="360" w:left="2160"/>
        <w:tabs>
          <w:tab w:val="num" w:pos="2160" w:leader="none"/>
        </w:tabs>
      </w:pPr>
      <w:rPr>
        <w:rFonts w:ascii="Symbol" w:hAnsi="Symbol" w:hint="default"/>
        <w:sz w:val="20"/>
      </w:rPr>
    </w:lvl>
    <w:lvl w:ilvl="3">
      <w:start w:val="1"/>
      <w:numFmt w:val="bullet"/>
      <w:suff w:val="tab"/>
      <w:lvlText w:val=""/>
      <w:lvlJc w:val="left"/>
      <w:pPr>
        <w:ind w:hanging="360" w:left="2880"/>
        <w:tabs>
          <w:tab w:val="num" w:pos="2880" w:leader="none"/>
        </w:tabs>
      </w:pPr>
      <w:rPr>
        <w:rFonts w:ascii="Symbol" w:hAnsi="Symbol" w:hint="default"/>
        <w:sz w:val="20"/>
      </w:rPr>
    </w:lvl>
    <w:lvl w:ilvl="4">
      <w:start w:val="1"/>
      <w:numFmt w:val="bullet"/>
      <w:suff w:val="tab"/>
      <w:lvlText w:val=""/>
      <w:lvlJc w:val="left"/>
      <w:pPr>
        <w:ind w:hanging="360" w:left="3600"/>
        <w:tabs>
          <w:tab w:val="num" w:pos="3600" w:leader="none"/>
        </w:tabs>
      </w:pPr>
      <w:rPr>
        <w:rFonts w:ascii="Symbol" w:hAnsi="Symbol" w:hint="default"/>
        <w:sz w:val="20"/>
      </w:rPr>
    </w:lvl>
    <w:lvl w:ilvl="5">
      <w:start w:val="1"/>
      <w:numFmt w:val="bullet"/>
      <w:suff w:val="tab"/>
      <w:lvlText w:val=""/>
      <w:lvlJc w:val="left"/>
      <w:pPr>
        <w:ind w:hanging="360" w:left="4320"/>
        <w:tabs>
          <w:tab w:val="num" w:pos="4320" w:leader="none"/>
        </w:tabs>
      </w:pPr>
      <w:rPr>
        <w:rFonts w:ascii="Symbol" w:hAnsi="Symbol" w:hint="default"/>
        <w:sz w:val="20"/>
      </w:rPr>
    </w:lvl>
    <w:lvl w:ilvl="6">
      <w:start w:val="1"/>
      <w:numFmt w:val="bullet"/>
      <w:suff w:val="tab"/>
      <w:lvlText w:val=""/>
      <w:lvlJc w:val="left"/>
      <w:pPr>
        <w:ind w:hanging="360" w:left="5040"/>
        <w:tabs>
          <w:tab w:val="num" w:pos="5040" w:leader="none"/>
        </w:tabs>
      </w:pPr>
      <w:rPr>
        <w:rFonts w:ascii="Symbol" w:hAnsi="Symbol" w:hint="default"/>
        <w:sz w:val="20"/>
      </w:rPr>
    </w:lvl>
    <w:lvl w:ilvl="7">
      <w:start w:val="1"/>
      <w:numFmt w:val="bullet"/>
      <w:suff w:val="tab"/>
      <w:lvlText w:val=""/>
      <w:lvlJc w:val="left"/>
      <w:pPr>
        <w:ind w:hanging="360" w:left="5760"/>
        <w:tabs>
          <w:tab w:val="num" w:pos="5760" w:leader="none"/>
        </w:tabs>
      </w:pPr>
      <w:rPr>
        <w:rFonts w:ascii="Symbol" w:hAnsi="Symbol" w:hint="default"/>
        <w:sz w:val="20"/>
      </w:rPr>
    </w:lvl>
    <w:lvl w:ilvl="8">
      <w:start w:val="1"/>
      <w:numFmt w:val="bullet"/>
      <w:suff w:val="tab"/>
      <w:lvlText w:val=""/>
      <w:lvlJc w:val="left"/>
      <w:pPr>
        <w:ind w:hanging="360" w:left="6480"/>
        <w:tabs>
          <w:tab w:val="num" w:pos="6480" w:leader="none"/>
        </w:tabs>
      </w:pPr>
      <w:rPr>
        <w:rFonts w:ascii="Symbol" w:hAnsi="Symbol" w:hint="default"/>
        <w:sz w:val="20"/>
      </w:rPr>
    </w:lvl>
  </w:abstractNum>
  <w:abstractNum w:abstractNumId="5">
    <w:nsid w:val="2469077C"/>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6">
    <w:nsid w:val="25CF204E"/>
    <w:multiLevelType w:val="hybridMultilevel"/>
    <w:lvl w:ilvl="0" w:tplc="20F6068C">
      <w:start w:val="1"/>
      <w:numFmt w:val="bullet"/>
      <w:suff w:val="tab"/>
      <w:lvlText w:val="·"/>
      <w:lvlJc w:val="left"/>
      <w:pPr>
        <w:ind w:hanging="360" w:left="720"/>
      </w:pPr>
      <w:rPr>
        <w:rFonts w:ascii="Symbol" w:hAnsi="Symbol" w:hint="default"/>
      </w:rPr>
    </w:lvl>
    <w:lvl w:ilvl="1" w:tplc="A740F532">
      <w:start w:val="1"/>
      <w:numFmt w:val="bullet"/>
      <w:suff w:val="tab"/>
      <w:lvlText w:val="o"/>
      <w:lvlJc w:val="left"/>
      <w:pPr>
        <w:ind w:hanging="360" w:left="1440"/>
      </w:pPr>
      <w:rPr>
        <w:rFonts w:ascii="Courier New" w:hAnsi="Courier New" w:hint="default"/>
      </w:rPr>
    </w:lvl>
    <w:lvl w:ilvl="2" w:tplc="0F00EE70">
      <w:start w:val="1"/>
      <w:numFmt w:val="bullet"/>
      <w:suff w:val="tab"/>
      <w:lvlText w:val=""/>
      <w:lvlJc w:val="left"/>
      <w:pPr>
        <w:ind w:hanging="360" w:left="2160"/>
      </w:pPr>
      <w:rPr>
        <w:rFonts w:ascii="Wingdings" w:hAnsi="Wingdings" w:hint="default"/>
      </w:rPr>
    </w:lvl>
    <w:lvl w:ilvl="3" w:tplc="F30C9B18">
      <w:start w:val="1"/>
      <w:numFmt w:val="bullet"/>
      <w:suff w:val="tab"/>
      <w:lvlText w:val=""/>
      <w:lvlJc w:val="left"/>
      <w:pPr>
        <w:ind w:hanging="360" w:left="2880"/>
      </w:pPr>
      <w:rPr>
        <w:rFonts w:ascii="Symbol" w:hAnsi="Symbol" w:hint="default"/>
      </w:rPr>
    </w:lvl>
    <w:lvl w:ilvl="4" w:tplc="719261D2">
      <w:start w:val="1"/>
      <w:numFmt w:val="bullet"/>
      <w:suff w:val="tab"/>
      <w:lvlText w:val="o"/>
      <w:lvlJc w:val="left"/>
      <w:pPr>
        <w:ind w:hanging="360" w:left="3600"/>
      </w:pPr>
      <w:rPr>
        <w:rFonts w:ascii="Courier New" w:hAnsi="Courier New" w:hint="default"/>
      </w:rPr>
    </w:lvl>
    <w:lvl w:ilvl="5" w:tplc="3C5C264E">
      <w:start w:val="1"/>
      <w:numFmt w:val="bullet"/>
      <w:suff w:val="tab"/>
      <w:lvlText w:val=""/>
      <w:lvlJc w:val="left"/>
      <w:pPr>
        <w:ind w:hanging="360" w:left="4320"/>
      </w:pPr>
      <w:rPr>
        <w:rFonts w:ascii="Wingdings" w:hAnsi="Wingdings" w:hint="default"/>
      </w:rPr>
    </w:lvl>
    <w:lvl w:ilvl="6" w:tplc="E2DCB1BA">
      <w:start w:val="1"/>
      <w:numFmt w:val="bullet"/>
      <w:suff w:val="tab"/>
      <w:lvlText w:val=""/>
      <w:lvlJc w:val="left"/>
      <w:pPr>
        <w:ind w:hanging="360" w:left="5040"/>
      </w:pPr>
      <w:rPr>
        <w:rFonts w:ascii="Symbol" w:hAnsi="Symbol" w:hint="default"/>
      </w:rPr>
    </w:lvl>
    <w:lvl w:ilvl="7" w:tplc="CBD412D2">
      <w:start w:val="1"/>
      <w:numFmt w:val="bullet"/>
      <w:suff w:val="tab"/>
      <w:lvlText w:val="o"/>
      <w:lvlJc w:val="left"/>
      <w:pPr>
        <w:ind w:hanging="360" w:left="5760"/>
      </w:pPr>
      <w:rPr>
        <w:rFonts w:ascii="Courier New" w:hAnsi="Courier New" w:hint="default"/>
      </w:rPr>
    </w:lvl>
    <w:lvl w:ilvl="8" w:tplc="494E8A9E">
      <w:start w:val="1"/>
      <w:numFmt w:val="bullet"/>
      <w:suff w:val="tab"/>
      <w:lvlText w:val=""/>
      <w:lvlJc w:val="left"/>
      <w:pPr>
        <w:ind w:hanging="360" w:left="6480"/>
      </w:pPr>
      <w:rPr>
        <w:rFonts w:ascii="Wingdings" w:hAnsi="Wingdings" w:hint="default"/>
      </w:rPr>
    </w:lvl>
  </w:abstractNum>
  <w:abstractNum w:abstractNumId="7">
    <w:nsid w:val="2B8967C6"/>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8">
    <w:nsid w:val="2D610BB1"/>
    <w:multiLevelType w:val="hybridMultilevel"/>
    <w:lvl w:ilvl="0" w:tplc="9496ED8A">
      <w:start w:val="0"/>
      <w:numFmt w:val="bullet"/>
      <w:suff w:val="tab"/>
      <w:lvlText w:val="•"/>
      <w:lvlJc w:val="left"/>
      <w:pPr>
        <w:ind w:hanging="207" w:left="567"/>
      </w:pPr>
      <w:rPr>
        <w:rFonts w:ascii="Garamond" w:hAnsi="Garamond" w:cs="Times New Roman" w:eastAsia="Times New Roman"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9">
    <w:nsid w:val="2F312AA2"/>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0">
    <w:nsid w:val="30E62DD8"/>
    <w:multiLevelType w:val="hybridMultilevel"/>
    <w:lvl w:ilvl="0" w:tplc="F876921A">
      <w:start w:val="1"/>
      <w:numFmt w:val="bullet"/>
      <w:suff w:val="tab"/>
      <w:lvlText w:val="·"/>
      <w:lvlJc w:val="left"/>
      <w:pPr>
        <w:ind w:hanging="360" w:left="720"/>
      </w:pPr>
      <w:rPr>
        <w:rFonts w:ascii="Symbol" w:hAnsi="Symbol" w:hint="default"/>
      </w:rPr>
    </w:lvl>
    <w:lvl w:ilvl="1" w:tplc="6ED07972">
      <w:start w:val="1"/>
      <w:numFmt w:val="bullet"/>
      <w:suff w:val="tab"/>
      <w:lvlText w:val="o"/>
      <w:lvlJc w:val="left"/>
      <w:pPr>
        <w:ind w:hanging="360" w:left="1440"/>
      </w:pPr>
      <w:rPr>
        <w:rFonts w:ascii="Courier New" w:hAnsi="Courier New" w:hint="default"/>
      </w:rPr>
    </w:lvl>
    <w:lvl w:ilvl="2" w:tplc="8AD6ABFC">
      <w:start w:val="1"/>
      <w:numFmt w:val="bullet"/>
      <w:suff w:val="tab"/>
      <w:lvlText w:val=""/>
      <w:lvlJc w:val="left"/>
      <w:pPr>
        <w:ind w:hanging="360" w:left="2160"/>
      </w:pPr>
      <w:rPr>
        <w:rFonts w:ascii="Wingdings" w:hAnsi="Wingdings" w:hint="default"/>
      </w:rPr>
    </w:lvl>
    <w:lvl w:ilvl="3" w:tplc="63F298B8">
      <w:start w:val="1"/>
      <w:numFmt w:val="bullet"/>
      <w:suff w:val="tab"/>
      <w:lvlText w:val=""/>
      <w:lvlJc w:val="left"/>
      <w:pPr>
        <w:ind w:hanging="360" w:left="2880"/>
      </w:pPr>
      <w:rPr>
        <w:rFonts w:ascii="Symbol" w:hAnsi="Symbol" w:hint="default"/>
      </w:rPr>
    </w:lvl>
    <w:lvl w:ilvl="4" w:tplc="79E83CC0">
      <w:start w:val="1"/>
      <w:numFmt w:val="bullet"/>
      <w:suff w:val="tab"/>
      <w:lvlText w:val="o"/>
      <w:lvlJc w:val="left"/>
      <w:pPr>
        <w:ind w:hanging="360" w:left="3600"/>
      </w:pPr>
      <w:rPr>
        <w:rFonts w:ascii="Courier New" w:hAnsi="Courier New" w:hint="default"/>
      </w:rPr>
    </w:lvl>
    <w:lvl w:ilvl="5" w:tplc="17660D4E">
      <w:start w:val="1"/>
      <w:numFmt w:val="bullet"/>
      <w:suff w:val="tab"/>
      <w:lvlText w:val=""/>
      <w:lvlJc w:val="left"/>
      <w:pPr>
        <w:ind w:hanging="360" w:left="4320"/>
      </w:pPr>
      <w:rPr>
        <w:rFonts w:ascii="Wingdings" w:hAnsi="Wingdings" w:hint="default"/>
      </w:rPr>
    </w:lvl>
    <w:lvl w:ilvl="6" w:tplc="E2C89F90">
      <w:start w:val="1"/>
      <w:numFmt w:val="bullet"/>
      <w:suff w:val="tab"/>
      <w:lvlText w:val=""/>
      <w:lvlJc w:val="left"/>
      <w:pPr>
        <w:ind w:hanging="360" w:left="5040"/>
      </w:pPr>
      <w:rPr>
        <w:rFonts w:ascii="Symbol" w:hAnsi="Symbol" w:hint="default"/>
      </w:rPr>
    </w:lvl>
    <w:lvl w:ilvl="7" w:tplc="CD1EA2AA">
      <w:start w:val="1"/>
      <w:numFmt w:val="bullet"/>
      <w:suff w:val="tab"/>
      <w:lvlText w:val="o"/>
      <w:lvlJc w:val="left"/>
      <w:pPr>
        <w:ind w:hanging="360" w:left="5760"/>
      </w:pPr>
      <w:rPr>
        <w:rFonts w:ascii="Courier New" w:hAnsi="Courier New" w:hint="default"/>
      </w:rPr>
    </w:lvl>
    <w:lvl w:ilvl="8" w:tplc="E7A441D8">
      <w:start w:val="1"/>
      <w:numFmt w:val="bullet"/>
      <w:suff w:val="tab"/>
      <w:lvlText w:val=""/>
      <w:lvlJc w:val="left"/>
      <w:pPr>
        <w:ind w:hanging="360" w:left="6480"/>
      </w:pPr>
      <w:rPr>
        <w:rFonts w:ascii="Wingdings" w:hAnsi="Wingdings" w:hint="default"/>
      </w:rPr>
    </w:lvl>
  </w:abstractNum>
  <w:abstractNum w:abstractNumId="11">
    <w:nsid w:val="3182127B"/>
    <w:multiLevelType w:val="multilevel"/>
    <w:lvl w:ilvl="0">
      <w:start w:val="1"/>
      <w:numFmt w:val="bullet"/>
      <w:suff w:val="tab"/>
      <w:lvlText w:val=""/>
      <w:lvlJc w:val="left"/>
      <w:pPr>
        <w:ind w:hanging="360" w:left="720"/>
        <w:tabs>
          <w:tab w:val="num" w:pos="720" w:leader="none"/>
        </w:tabs>
      </w:pPr>
      <w:rPr>
        <w:rFonts w:ascii="Symbol" w:hAnsi="Symbol" w:hint="default"/>
        <w:sz w:val="20"/>
      </w:rPr>
    </w:lvl>
    <w:lvl w:ilvl="1">
      <w:start w:val="1"/>
      <w:numFmt w:val="bullet"/>
      <w:suff w:val="tab"/>
      <w:lvlText w:val=""/>
      <w:lvlJc w:val="left"/>
      <w:pPr>
        <w:ind w:hanging="360" w:left="1440"/>
        <w:tabs>
          <w:tab w:val="num" w:pos="1440" w:leader="none"/>
        </w:tabs>
      </w:pPr>
      <w:rPr>
        <w:rFonts w:ascii="Symbol" w:hAnsi="Symbol" w:hint="default"/>
        <w:sz w:val="20"/>
      </w:rPr>
    </w:lvl>
    <w:lvl w:ilvl="2">
      <w:start w:val="1"/>
      <w:numFmt w:val="bullet"/>
      <w:suff w:val="tab"/>
      <w:lvlText w:val=""/>
      <w:lvlJc w:val="left"/>
      <w:pPr>
        <w:ind w:hanging="360" w:left="2160"/>
        <w:tabs>
          <w:tab w:val="num" w:pos="2160" w:leader="none"/>
        </w:tabs>
      </w:pPr>
      <w:rPr>
        <w:rFonts w:ascii="Symbol" w:hAnsi="Symbol" w:hint="default"/>
        <w:sz w:val="20"/>
      </w:rPr>
    </w:lvl>
    <w:lvl w:ilvl="3">
      <w:start w:val="1"/>
      <w:numFmt w:val="bullet"/>
      <w:suff w:val="tab"/>
      <w:lvlText w:val=""/>
      <w:lvlJc w:val="left"/>
      <w:pPr>
        <w:ind w:hanging="360" w:left="2880"/>
        <w:tabs>
          <w:tab w:val="num" w:pos="2880" w:leader="none"/>
        </w:tabs>
      </w:pPr>
      <w:rPr>
        <w:rFonts w:ascii="Symbol" w:hAnsi="Symbol" w:hint="default"/>
        <w:sz w:val="20"/>
      </w:rPr>
    </w:lvl>
    <w:lvl w:ilvl="4">
      <w:start w:val="1"/>
      <w:numFmt w:val="bullet"/>
      <w:suff w:val="tab"/>
      <w:lvlText w:val=""/>
      <w:lvlJc w:val="left"/>
      <w:pPr>
        <w:ind w:hanging="360" w:left="3600"/>
        <w:tabs>
          <w:tab w:val="num" w:pos="3600" w:leader="none"/>
        </w:tabs>
      </w:pPr>
      <w:rPr>
        <w:rFonts w:ascii="Symbol" w:hAnsi="Symbol" w:hint="default"/>
        <w:sz w:val="20"/>
      </w:rPr>
    </w:lvl>
    <w:lvl w:ilvl="5">
      <w:start w:val="1"/>
      <w:numFmt w:val="bullet"/>
      <w:suff w:val="tab"/>
      <w:lvlText w:val=""/>
      <w:lvlJc w:val="left"/>
      <w:pPr>
        <w:ind w:hanging="360" w:left="4320"/>
        <w:tabs>
          <w:tab w:val="num" w:pos="4320" w:leader="none"/>
        </w:tabs>
      </w:pPr>
      <w:rPr>
        <w:rFonts w:ascii="Symbol" w:hAnsi="Symbol" w:hint="default"/>
        <w:sz w:val="20"/>
      </w:rPr>
    </w:lvl>
    <w:lvl w:ilvl="6">
      <w:start w:val="1"/>
      <w:numFmt w:val="bullet"/>
      <w:suff w:val="tab"/>
      <w:lvlText w:val=""/>
      <w:lvlJc w:val="left"/>
      <w:pPr>
        <w:ind w:hanging="360" w:left="5040"/>
        <w:tabs>
          <w:tab w:val="num" w:pos="5040" w:leader="none"/>
        </w:tabs>
      </w:pPr>
      <w:rPr>
        <w:rFonts w:ascii="Symbol" w:hAnsi="Symbol" w:hint="default"/>
        <w:sz w:val="20"/>
      </w:rPr>
    </w:lvl>
    <w:lvl w:ilvl="7">
      <w:start w:val="1"/>
      <w:numFmt w:val="bullet"/>
      <w:suff w:val="tab"/>
      <w:lvlText w:val=""/>
      <w:lvlJc w:val="left"/>
      <w:pPr>
        <w:ind w:hanging="360" w:left="5760"/>
        <w:tabs>
          <w:tab w:val="num" w:pos="5760" w:leader="none"/>
        </w:tabs>
      </w:pPr>
      <w:rPr>
        <w:rFonts w:ascii="Symbol" w:hAnsi="Symbol" w:hint="default"/>
        <w:sz w:val="20"/>
      </w:rPr>
    </w:lvl>
    <w:lvl w:ilvl="8">
      <w:start w:val="1"/>
      <w:numFmt w:val="bullet"/>
      <w:suff w:val="tab"/>
      <w:lvlText w:val=""/>
      <w:lvlJc w:val="left"/>
      <w:pPr>
        <w:ind w:hanging="360" w:left="6480"/>
        <w:tabs>
          <w:tab w:val="num" w:pos="6480" w:leader="none"/>
        </w:tabs>
      </w:pPr>
      <w:rPr>
        <w:rFonts w:ascii="Symbol" w:hAnsi="Symbol" w:hint="default"/>
        <w:sz w:val="20"/>
      </w:rPr>
    </w:lvl>
  </w:abstractNum>
  <w:abstractNum w:abstractNumId="12">
    <w:nsid w:val="31AA7DBA"/>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3">
    <w:nsid w:val="31E31D13"/>
    <w:multiLevelType w:val="hybridMultilevel"/>
    <w:lvl w:ilvl="0" w:tplc="30A0BF9C">
      <w:start w:val="1"/>
      <w:numFmt w:val="bullet"/>
      <w:suff w:val="tab"/>
      <w:lvlText w:val="·"/>
      <w:lvlJc w:val="left"/>
      <w:pPr>
        <w:ind w:hanging="360" w:left="720"/>
      </w:pPr>
      <w:rPr>
        <w:rFonts w:ascii="Symbol" w:hAnsi="Symbol" w:hint="default"/>
      </w:rPr>
    </w:lvl>
    <w:lvl w:ilvl="1" w:tplc="493875F0">
      <w:start w:val="1"/>
      <w:numFmt w:val="bullet"/>
      <w:suff w:val="tab"/>
      <w:lvlText w:val="o"/>
      <w:lvlJc w:val="left"/>
      <w:pPr>
        <w:ind w:hanging="360" w:left="1440"/>
      </w:pPr>
      <w:rPr>
        <w:rFonts w:ascii="Courier New" w:hAnsi="Courier New" w:hint="default"/>
      </w:rPr>
    </w:lvl>
    <w:lvl w:ilvl="2" w:tplc="E96A16E0">
      <w:start w:val="1"/>
      <w:numFmt w:val="bullet"/>
      <w:suff w:val="tab"/>
      <w:lvlText w:val=""/>
      <w:lvlJc w:val="left"/>
      <w:pPr>
        <w:ind w:hanging="360" w:left="2160"/>
      </w:pPr>
      <w:rPr>
        <w:rFonts w:ascii="Wingdings" w:hAnsi="Wingdings" w:hint="default"/>
      </w:rPr>
    </w:lvl>
    <w:lvl w:ilvl="3" w:tplc="00B8D700">
      <w:start w:val="1"/>
      <w:numFmt w:val="bullet"/>
      <w:suff w:val="tab"/>
      <w:lvlText w:val=""/>
      <w:lvlJc w:val="left"/>
      <w:pPr>
        <w:ind w:hanging="360" w:left="2880"/>
      </w:pPr>
      <w:rPr>
        <w:rFonts w:ascii="Symbol" w:hAnsi="Symbol" w:hint="default"/>
      </w:rPr>
    </w:lvl>
    <w:lvl w:ilvl="4" w:tplc="A38000C4">
      <w:start w:val="1"/>
      <w:numFmt w:val="bullet"/>
      <w:suff w:val="tab"/>
      <w:lvlText w:val="o"/>
      <w:lvlJc w:val="left"/>
      <w:pPr>
        <w:ind w:hanging="360" w:left="3600"/>
      </w:pPr>
      <w:rPr>
        <w:rFonts w:ascii="Courier New" w:hAnsi="Courier New" w:hint="default"/>
      </w:rPr>
    </w:lvl>
    <w:lvl w:ilvl="5" w:tplc="9AC02D4A">
      <w:start w:val="1"/>
      <w:numFmt w:val="bullet"/>
      <w:suff w:val="tab"/>
      <w:lvlText w:val=""/>
      <w:lvlJc w:val="left"/>
      <w:pPr>
        <w:ind w:hanging="360" w:left="4320"/>
      </w:pPr>
      <w:rPr>
        <w:rFonts w:ascii="Wingdings" w:hAnsi="Wingdings" w:hint="default"/>
      </w:rPr>
    </w:lvl>
    <w:lvl w:ilvl="6" w:tplc="F5EAD158">
      <w:start w:val="1"/>
      <w:numFmt w:val="bullet"/>
      <w:suff w:val="tab"/>
      <w:lvlText w:val=""/>
      <w:lvlJc w:val="left"/>
      <w:pPr>
        <w:ind w:hanging="360" w:left="5040"/>
      </w:pPr>
      <w:rPr>
        <w:rFonts w:ascii="Symbol" w:hAnsi="Symbol" w:hint="default"/>
      </w:rPr>
    </w:lvl>
    <w:lvl w:ilvl="7" w:tplc="C592F14C">
      <w:start w:val="1"/>
      <w:numFmt w:val="bullet"/>
      <w:suff w:val="tab"/>
      <w:lvlText w:val="o"/>
      <w:lvlJc w:val="left"/>
      <w:pPr>
        <w:ind w:hanging="360" w:left="5760"/>
      </w:pPr>
      <w:rPr>
        <w:rFonts w:ascii="Courier New" w:hAnsi="Courier New" w:hint="default"/>
      </w:rPr>
    </w:lvl>
    <w:lvl w:ilvl="8" w:tplc="75B622DA">
      <w:start w:val="1"/>
      <w:numFmt w:val="bullet"/>
      <w:suff w:val="tab"/>
      <w:lvlText w:val=""/>
      <w:lvlJc w:val="left"/>
      <w:pPr>
        <w:ind w:hanging="360" w:left="6480"/>
      </w:pPr>
      <w:rPr>
        <w:rFonts w:ascii="Wingdings" w:hAnsi="Wingdings" w:hint="default"/>
      </w:rPr>
    </w:lvl>
  </w:abstractNum>
  <w:abstractNum w:abstractNumId="14">
    <w:nsid w:val="31FE2BB8"/>
    <w:multiLevelType w:val="hybridMultilevel"/>
    <w:lvl w:ilvl="0" w:tplc="F430779E">
      <w:start w:val="1"/>
      <w:numFmt w:val="bullet"/>
      <w:suff w:val="tab"/>
      <w:lvlText w:val=""/>
      <w:lvlJc w:val="left"/>
      <w:pPr>
        <w:ind w:hanging="360" w:left="720"/>
      </w:pPr>
      <w:rPr>
        <w:rFonts w:ascii="Symbol" w:hAnsi="Symbol" w:hint="default"/>
      </w:rPr>
    </w:lvl>
    <w:lvl w:ilvl="1" w:tplc="702E0C84">
      <w:start w:val="1"/>
      <w:numFmt w:val="bullet"/>
      <w:suff w:val="tab"/>
      <w:lvlText w:val="o"/>
      <w:lvlJc w:val="left"/>
      <w:pPr>
        <w:ind w:hanging="360" w:left="1440"/>
      </w:pPr>
      <w:rPr>
        <w:rFonts w:ascii="Courier New" w:hAnsi="Courier New" w:hint="default"/>
      </w:rPr>
    </w:lvl>
    <w:lvl w:ilvl="2" w:tplc="9B8CD7B6">
      <w:start w:val="1"/>
      <w:numFmt w:val="bullet"/>
      <w:suff w:val="tab"/>
      <w:lvlText w:val=""/>
      <w:lvlJc w:val="left"/>
      <w:pPr>
        <w:ind w:hanging="360" w:left="2160"/>
      </w:pPr>
      <w:rPr>
        <w:rFonts w:ascii="Wingdings" w:hAnsi="Wingdings" w:hint="default"/>
      </w:rPr>
    </w:lvl>
    <w:lvl w:ilvl="3" w:tplc="0054DF54">
      <w:start w:val="1"/>
      <w:numFmt w:val="bullet"/>
      <w:suff w:val="tab"/>
      <w:lvlText w:val=""/>
      <w:lvlJc w:val="left"/>
      <w:pPr>
        <w:ind w:hanging="360" w:left="2880"/>
      </w:pPr>
      <w:rPr>
        <w:rFonts w:ascii="Symbol" w:hAnsi="Symbol" w:hint="default"/>
      </w:rPr>
    </w:lvl>
    <w:lvl w:ilvl="4" w:tplc="27EE4E1A">
      <w:start w:val="1"/>
      <w:numFmt w:val="bullet"/>
      <w:suff w:val="tab"/>
      <w:lvlText w:val="o"/>
      <w:lvlJc w:val="left"/>
      <w:pPr>
        <w:ind w:hanging="360" w:left="3600"/>
      </w:pPr>
      <w:rPr>
        <w:rFonts w:ascii="Courier New" w:hAnsi="Courier New" w:hint="default"/>
      </w:rPr>
    </w:lvl>
    <w:lvl w:ilvl="5" w:tplc="C97889C4">
      <w:start w:val="1"/>
      <w:numFmt w:val="bullet"/>
      <w:suff w:val="tab"/>
      <w:lvlText w:val=""/>
      <w:lvlJc w:val="left"/>
      <w:pPr>
        <w:ind w:hanging="360" w:left="4320"/>
      </w:pPr>
      <w:rPr>
        <w:rFonts w:ascii="Wingdings" w:hAnsi="Wingdings" w:hint="default"/>
      </w:rPr>
    </w:lvl>
    <w:lvl w:ilvl="6" w:tplc="95348428">
      <w:start w:val="1"/>
      <w:numFmt w:val="bullet"/>
      <w:suff w:val="tab"/>
      <w:lvlText w:val=""/>
      <w:lvlJc w:val="left"/>
      <w:pPr>
        <w:ind w:hanging="360" w:left="5040"/>
      </w:pPr>
      <w:rPr>
        <w:rFonts w:ascii="Symbol" w:hAnsi="Symbol" w:hint="default"/>
      </w:rPr>
    </w:lvl>
    <w:lvl w:ilvl="7" w:tplc="88989146">
      <w:start w:val="1"/>
      <w:numFmt w:val="bullet"/>
      <w:suff w:val="tab"/>
      <w:lvlText w:val="o"/>
      <w:lvlJc w:val="left"/>
      <w:pPr>
        <w:ind w:hanging="360" w:left="5760"/>
      </w:pPr>
      <w:rPr>
        <w:rFonts w:ascii="Courier New" w:hAnsi="Courier New" w:hint="default"/>
      </w:rPr>
    </w:lvl>
    <w:lvl w:ilvl="8" w:tplc="B4CEDA28">
      <w:start w:val="1"/>
      <w:numFmt w:val="bullet"/>
      <w:suff w:val="tab"/>
      <w:lvlText w:val=""/>
      <w:lvlJc w:val="left"/>
      <w:pPr>
        <w:ind w:hanging="360" w:left="6480"/>
      </w:pPr>
      <w:rPr>
        <w:rFonts w:ascii="Wingdings" w:hAnsi="Wingdings" w:hint="default"/>
      </w:rPr>
    </w:lvl>
  </w:abstractNum>
  <w:abstractNum w:abstractNumId="15">
    <w:nsid w:val="3A550519"/>
    <w:multiLevelType w:val="hybridMultilevel"/>
    <w:lvl w:ilvl="0" w:tplc="9816FA20">
      <w:start w:val="1"/>
      <w:numFmt w:val="bullet"/>
      <w:suff w:val="tab"/>
      <w:lvlText w:val=""/>
      <w:lvlJc w:val="left"/>
      <w:pPr>
        <w:ind w:hanging="360" w:left="720"/>
      </w:pPr>
      <w:rPr>
        <w:rFonts w:ascii="Symbol" w:hAnsi="Symbol" w:hint="default"/>
      </w:rPr>
    </w:lvl>
    <w:lvl w:ilvl="1" w:tplc="36722D5E">
      <w:start w:val="1"/>
      <w:numFmt w:val="bullet"/>
      <w:suff w:val="tab"/>
      <w:lvlText w:val="o"/>
      <w:lvlJc w:val="left"/>
      <w:pPr>
        <w:ind w:hanging="360" w:left="1440"/>
      </w:pPr>
      <w:rPr>
        <w:rFonts w:ascii="Courier New" w:hAnsi="Courier New" w:hint="default"/>
      </w:rPr>
    </w:lvl>
    <w:lvl w:ilvl="2" w:tplc="E1702E0E">
      <w:start w:val="1"/>
      <w:numFmt w:val="bullet"/>
      <w:suff w:val="tab"/>
      <w:lvlText w:val=""/>
      <w:lvlJc w:val="left"/>
      <w:pPr>
        <w:ind w:hanging="360" w:left="2160"/>
      </w:pPr>
      <w:rPr>
        <w:rFonts w:ascii="Wingdings" w:hAnsi="Wingdings" w:hint="default"/>
      </w:rPr>
    </w:lvl>
    <w:lvl w:ilvl="3" w:tplc="59881756">
      <w:start w:val="1"/>
      <w:numFmt w:val="bullet"/>
      <w:suff w:val="tab"/>
      <w:lvlText w:val=""/>
      <w:lvlJc w:val="left"/>
      <w:pPr>
        <w:ind w:hanging="360" w:left="2880"/>
      </w:pPr>
      <w:rPr>
        <w:rFonts w:ascii="Symbol" w:hAnsi="Symbol" w:hint="default"/>
      </w:rPr>
    </w:lvl>
    <w:lvl w:ilvl="4" w:tplc="9ED60432">
      <w:start w:val="1"/>
      <w:numFmt w:val="bullet"/>
      <w:suff w:val="tab"/>
      <w:lvlText w:val="o"/>
      <w:lvlJc w:val="left"/>
      <w:pPr>
        <w:ind w:hanging="360" w:left="3600"/>
      </w:pPr>
      <w:rPr>
        <w:rFonts w:ascii="Courier New" w:hAnsi="Courier New" w:hint="default"/>
      </w:rPr>
    </w:lvl>
    <w:lvl w:ilvl="5" w:tplc="4D3A0502">
      <w:start w:val="1"/>
      <w:numFmt w:val="bullet"/>
      <w:suff w:val="tab"/>
      <w:lvlText w:val=""/>
      <w:lvlJc w:val="left"/>
      <w:pPr>
        <w:ind w:hanging="360" w:left="4320"/>
      </w:pPr>
      <w:rPr>
        <w:rFonts w:ascii="Wingdings" w:hAnsi="Wingdings" w:hint="default"/>
      </w:rPr>
    </w:lvl>
    <w:lvl w:ilvl="6" w:tplc="6EB46AEE">
      <w:start w:val="1"/>
      <w:numFmt w:val="bullet"/>
      <w:suff w:val="tab"/>
      <w:lvlText w:val=""/>
      <w:lvlJc w:val="left"/>
      <w:pPr>
        <w:ind w:hanging="360" w:left="5040"/>
      </w:pPr>
      <w:rPr>
        <w:rFonts w:ascii="Symbol" w:hAnsi="Symbol" w:hint="default"/>
      </w:rPr>
    </w:lvl>
    <w:lvl w:ilvl="7" w:tplc="C298F596">
      <w:start w:val="1"/>
      <w:numFmt w:val="bullet"/>
      <w:suff w:val="tab"/>
      <w:lvlText w:val="o"/>
      <w:lvlJc w:val="left"/>
      <w:pPr>
        <w:ind w:hanging="360" w:left="5760"/>
      </w:pPr>
      <w:rPr>
        <w:rFonts w:ascii="Courier New" w:hAnsi="Courier New" w:hint="default"/>
      </w:rPr>
    </w:lvl>
    <w:lvl w:ilvl="8" w:tplc="3E98ABF4">
      <w:start w:val="1"/>
      <w:numFmt w:val="bullet"/>
      <w:suff w:val="tab"/>
      <w:lvlText w:val=""/>
      <w:lvlJc w:val="left"/>
      <w:pPr>
        <w:ind w:hanging="360" w:left="6480"/>
      </w:pPr>
      <w:rPr>
        <w:rFonts w:ascii="Wingdings" w:hAnsi="Wingdings" w:hint="default"/>
      </w:rPr>
    </w:lvl>
  </w:abstractNum>
  <w:abstractNum w:abstractNumId="16">
    <w:nsid w:val="3A5F7D88"/>
    <w:multiLevelType w:val="multilevel"/>
    <w:lvl w:ilvl="0">
      <w:start w:val="1"/>
      <w:numFmt w:val="bullet"/>
      <w:suff w:val="tab"/>
      <w:lvlText w:val=""/>
      <w:lvlJc w:val="left"/>
      <w:pPr>
        <w:ind w:hanging="360" w:left="720"/>
        <w:tabs>
          <w:tab w:val="num" w:pos="720" w:leader="none"/>
        </w:tabs>
      </w:pPr>
      <w:rPr>
        <w:rFonts w:ascii="Symbol" w:hAnsi="Symbol" w:hint="default"/>
        <w:sz w:val="20"/>
      </w:rPr>
    </w:lvl>
    <w:lvl w:ilvl="1">
      <w:start w:val="1"/>
      <w:numFmt w:val="bullet"/>
      <w:suff w:val="tab"/>
      <w:lvlText w:val=""/>
      <w:lvlJc w:val="left"/>
      <w:pPr>
        <w:ind w:hanging="360" w:left="1440"/>
        <w:tabs>
          <w:tab w:val="num" w:pos="1440" w:leader="none"/>
        </w:tabs>
      </w:pPr>
      <w:rPr>
        <w:rFonts w:ascii="Symbol" w:hAnsi="Symbol" w:hint="default"/>
        <w:sz w:val="20"/>
      </w:rPr>
    </w:lvl>
    <w:lvl w:ilvl="2">
      <w:start w:val="1"/>
      <w:numFmt w:val="bullet"/>
      <w:suff w:val="tab"/>
      <w:lvlText w:val=""/>
      <w:lvlJc w:val="left"/>
      <w:pPr>
        <w:ind w:hanging="360" w:left="2160"/>
        <w:tabs>
          <w:tab w:val="num" w:pos="2160" w:leader="none"/>
        </w:tabs>
      </w:pPr>
      <w:rPr>
        <w:rFonts w:ascii="Symbol" w:hAnsi="Symbol" w:hint="default"/>
        <w:sz w:val="20"/>
      </w:rPr>
    </w:lvl>
    <w:lvl w:ilvl="3">
      <w:start w:val="1"/>
      <w:numFmt w:val="bullet"/>
      <w:suff w:val="tab"/>
      <w:lvlText w:val=""/>
      <w:lvlJc w:val="left"/>
      <w:pPr>
        <w:ind w:hanging="360" w:left="2880"/>
        <w:tabs>
          <w:tab w:val="num" w:pos="2880" w:leader="none"/>
        </w:tabs>
      </w:pPr>
      <w:rPr>
        <w:rFonts w:ascii="Symbol" w:hAnsi="Symbol" w:hint="default"/>
        <w:sz w:val="20"/>
      </w:rPr>
    </w:lvl>
    <w:lvl w:ilvl="4">
      <w:start w:val="1"/>
      <w:numFmt w:val="bullet"/>
      <w:suff w:val="tab"/>
      <w:lvlText w:val=""/>
      <w:lvlJc w:val="left"/>
      <w:pPr>
        <w:ind w:hanging="360" w:left="3600"/>
        <w:tabs>
          <w:tab w:val="num" w:pos="3600" w:leader="none"/>
        </w:tabs>
      </w:pPr>
      <w:rPr>
        <w:rFonts w:ascii="Symbol" w:hAnsi="Symbol" w:hint="default"/>
        <w:sz w:val="20"/>
      </w:rPr>
    </w:lvl>
    <w:lvl w:ilvl="5">
      <w:start w:val="1"/>
      <w:numFmt w:val="bullet"/>
      <w:suff w:val="tab"/>
      <w:lvlText w:val=""/>
      <w:lvlJc w:val="left"/>
      <w:pPr>
        <w:ind w:hanging="360" w:left="4320"/>
        <w:tabs>
          <w:tab w:val="num" w:pos="4320" w:leader="none"/>
        </w:tabs>
      </w:pPr>
      <w:rPr>
        <w:rFonts w:ascii="Symbol" w:hAnsi="Symbol" w:hint="default"/>
        <w:sz w:val="20"/>
      </w:rPr>
    </w:lvl>
    <w:lvl w:ilvl="6">
      <w:start w:val="1"/>
      <w:numFmt w:val="bullet"/>
      <w:suff w:val="tab"/>
      <w:lvlText w:val=""/>
      <w:lvlJc w:val="left"/>
      <w:pPr>
        <w:ind w:hanging="360" w:left="5040"/>
        <w:tabs>
          <w:tab w:val="num" w:pos="5040" w:leader="none"/>
        </w:tabs>
      </w:pPr>
      <w:rPr>
        <w:rFonts w:ascii="Symbol" w:hAnsi="Symbol" w:hint="default"/>
        <w:sz w:val="20"/>
      </w:rPr>
    </w:lvl>
    <w:lvl w:ilvl="7">
      <w:start w:val="1"/>
      <w:numFmt w:val="bullet"/>
      <w:suff w:val="tab"/>
      <w:lvlText w:val=""/>
      <w:lvlJc w:val="left"/>
      <w:pPr>
        <w:ind w:hanging="360" w:left="5760"/>
        <w:tabs>
          <w:tab w:val="num" w:pos="5760" w:leader="none"/>
        </w:tabs>
      </w:pPr>
      <w:rPr>
        <w:rFonts w:ascii="Symbol" w:hAnsi="Symbol" w:hint="default"/>
        <w:sz w:val="20"/>
      </w:rPr>
    </w:lvl>
    <w:lvl w:ilvl="8">
      <w:start w:val="1"/>
      <w:numFmt w:val="bullet"/>
      <w:suff w:val="tab"/>
      <w:lvlText w:val=""/>
      <w:lvlJc w:val="left"/>
      <w:pPr>
        <w:ind w:hanging="360" w:left="6480"/>
        <w:tabs>
          <w:tab w:val="num" w:pos="6480" w:leader="none"/>
        </w:tabs>
      </w:pPr>
      <w:rPr>
        <w:rFonts w:ascii="Symbol" w:hAnsi="Symbol" w:hint="default"/>
        <w:sz w:val="20"/>
      </w:rPr>
    </w:lvl>
  </w:abstractNum>
  <w:abstractNum w:abstractNumId="17">
    <w:nsid w:val="3E951B9F"/>
    <w:multiLevelType w:val="hybridMultilevel"/>
    <w:lvl w:ilvl="0" w:tplc="9B2EDD80">
      <w:start w:val="1"/>
      <w:numFmt w:val="bullet"/>
      <w:suff w:val="tab"/>
      <w:lvlText w:val="·"/>
      <w:lvlJc w:val="left"/>
      <w:pPr>
        <w:ind w:hanging="360" w:left="720"/>
      </w:pPr>
      <w:rPr>
        <w:rFonts w:ascii="Symbol" w:hAnsi="Symbol" w:hint="default"/>
      </w:rPr>
    </w:lvl>
    <w:lvl w:ilvl="1" w:tplc="F7A633DE">
      <w:start w:val="1"/>
      <w:numFmt w:val="bullet"/>
      <w:suff w:val="tab"/>
      <w:lvlText w:val="o"/>
      <w:lvlJc w:val="left"/>
      <w:pPr>
        <w:ind w:hanging="360" w:left="1440"/>
      </w:pPr>
      <w:rPr>
        <w:rFonts w:ascii="Courier New" w:hAnsi="Courier New" w:hint="default"/>
      </w:rPr>
    </w:lvl>
    <w:lvl w:ilvl="2" w:tplc="218EAEC0">
      <w:start w:val="1"/>
      <w:numFmt w:val="bullet"/>
      <w:suff w:val="tab"/>
      <w:lvlText w:val=""/>
      <w:lvlJc w:val="left"/>
      <w:pPr>
        <w:ind w:hanging="360" w:left="2160"/>
      </w:pPr>
      <w:rPr>
        <w:rFonts w:ascii="Wingdings" w:hAnsi="Wingdings" w:hint="default"/>
      </w:rPr>
    </w:lvl>
    <w:lvl w:ilvl="3" w:tplc="7806E456">
      <w:start w:val="1"/>
      <w:numFmt w:val="bullet"/>
      <w:suff w:val="tab"/>
      <w:lvlText w:val=""/>
      <w:lvlJc w:val="left"/>
      <w:pPr>
        <w:ind w:hanging="360" w:left="2880"/>
      </w:pPr>
      <w:rPr>
        <w:rFonts w:ascii="Symbol" w:hAnsi="Symbol" w:hint="default"/>
      </w:rPr>
    </w:lvl>
    <w:lvl w:ilvl="4" w:tplc="581EF8D8">
      <w:start w:val="1"/>
      <w:numFmt w:val="bullet"/>
      <w:suff w:val="tab"/>
      <w:lvlText w:val="o"/>
      <w:lvlJc w:val="left"/>
      <w:pPr>
        <w:ind w:hanging="360" w:left="3600"/>
      </w:pPr>
      <w:rPr>
        <w:rFonts w:ascii="Courier New" w:hAnsi="Courier New" w:hint="default"/>
      </w:rPr>
    </w:lvl>
    <w:lvl w:ilvl="5" w:tplc="0ADAABE8">
      <w:start w:val="1"/>
      <w:numFmt w:val="bullet"/>
      <w:suff w:val="tab"/>
      <w:lvlText w:val=""/>
      <w:lvlJc w:val="left"/>
      <w:pPr>
        <w:ind w:hanging="360" w:left="4320"/>
      </w:pPr>
      <w:rPr>
        <w:rFonts w:ascii="Wingdings" w:hAnsi="Wingdings" w:hint="default"/>
      </w:rPr>
    </w:lvl>
    <w:lvl w:ilvl="6" w:tplc="67209DD8">
      <w:start w:val="1"/>
      <w:numFmt w:val="bullet"/>
      <w:suff w:val="tab"/>
      <w:lvlText w:val=""/>
      <w:lvlJc w:val="left"/>
      <w:pPr>
        <w:ind w:hanging="360" w:left="5040"/>
      </w:pPr>
      <w:rPr>
        <w:rFonts w:ascii="Symbol" w:hAnsi="Symbol" w:hint="default"/>
      </w:rPr>
    </w:lvl>
    <w:lvl w:ilvl="7" w:tplc="FDBA678E">
      <w:start w:val="1"/>
      <w:numFmt w:val="bullet"/>
      <w:suff w:val="tab"/>
      <w:lvlText w:val="o"/>
      <w:lvlJc w:val="left"/>
      <w:pPr>
        <w:ind w:hanging="360" w:left="5760"/>
      </w:pPr>
      <w:rPr>
        <w:rFonts w:ascii="Courier New" w:hAnsi="Courier New" w:hint="default"/>
      </w:rPr>
    </w:lvl>
    <w:lvl w:ilvl="8" w:tplc="150A6094">
      <w:start w:val="1"/>
      <w:numFmt w:val="bullet"/>
      <w:suff w:val="tab"/>
      <w:lvlText w:val=""/>
      <w:lvlJc w:val="left"/>
      <w:pPr>
        <w:ind w:hanging="360" w:left="6480"/>
      </w:pPr>
      <w:rPr>
        <w:rFonts w:ascii="Wingdings" w:hAnsi="Wingdings" w:hint="default"/>
      </w:rPr>
    </w:lvl>
  </w:abstractNum>
  <w:abstractNum w:abstractNumId="18">
    <w:nsid w:val="477B73C8"/>
    <w:multiLevelType w:val="hybridMultilevel"/>
    <w:lvl w:ilvl="0" w:tplc="2A80EB1C">
      <w:start w:val="1"/>
      <w:numFmt w:val="bullet"/>
      <w:suff w:val="tab"/>
      <w:lvlText w:val=""/>
      <w:lvlJc w:val="left"/>
      <w:pPr>
        <w:ind w:hanging="360" w:left="720"/>
      </w:pPr>
      <w:rPr>
        <w:rFonts w:ascii="Symbol" w:hAnsi="Symbol" w:hint="default"/>
      </w:rPr>
    </w:lvl>
    <w:lvl w:ilvl="1" w:tplc="53AC6C96">
      <w:start w:val="1"/>
      <w:numFmt w:val="bullet"/>
      <w:suff w:val="tab"/>
      <w:lvlText w:val="o"/>
      <w:lvlJc w:val="left"/>
      <w:pPr>
        <w:ind w:hanging="360" w:left="1440"/>
      </w:pPr>
      <w:rPr>
        <w:rFonts w:ascii="Courier New" w:hAnsi="Courier New" w:hint="default"/>
      </w:rPr>
    </w:lvl>
    <w:lvl w:ilvl="2" w:tplc="11B6D586">
      <w:start w:val="1"/>
      <w:numFmt w:val="bullet"/>
      <w:suff w:val="tab"/>
      <w:lvlText w:val=""/>
      <w:lvlJc w:val="left"/>
      <w:pPr>
        <w:ind w:hanging="360" w:left="2160"/>
      </w:pPr>
      <w:rPr>
        <w:rFonts w:ascii="Wingdings" w:hAnsi="Wingdings" w:hint="default"/>
      </w:rPr>
    </w:lvl>
    <w:lvl w:ilvl="3" w:tplc="21B81996">
      <w:start w:val="1"/>
      <w:numFmt w:val="bullet"/>
      <w:suff w:val="tab"/>
      <w:lvlText w:val=""/>
      <w:lvlJc w:val="left"/>
      <w:pPr>
        <w:ind w:hanging="360" w:left="2880"/>
      </w:pPr>
      <w:rPr>
        <w:rFonts w:ascii="Symbol" w:hAnsi="Symbol" w:hint="default"/>
      </w:rPr>
    </w:lvl>
    <w:lvl w:ilvl="4" w:tplc="10DAD10E">
      <w:start w:val="1"/>
      <w:numFmt w:val="bullet"/>
      <w:suff w:val="tab"/>
      <w:lvlText w:val="o"/>
      <w:lvlJc w:val="left"/>
      <w:pPr>
        <w:ind w:hanging="360" w:left="3600"/>
      </w:pPr>
      <w:rPr>
        <w:rFonts w:ascii="Courier New" w:hAnsi="Courier New" w:hint="default"/>
      </w:rPr>
    </w:lvl>
    <w:lvl w:ilvl="5" w:tplc="89B46394">
      <w:start w:val="1"/>
      <w:numFmt w:val="bullet"/>
      <w:suff w:val="tab"/>
      <w:lvlText w:val=""/>
      <w:lvlJc w:val="left"/>
      <w:pPr>
        <w:ind w:hanging="360" w:left="4320"/>
      </w:pPr>
      <w:rPr>
        <w:rFonts w:ascii="Wingdings" w:hAnsi="Wingdings" w:hint="default"/>
      </w:rPr>
    </w:lvl>
    <w:lvl w:ilvl="6" w:tplc="B41C26A2">
      <w:start w:val="1"/>
      <w:numFmt w:val="bullet"/>
      <w:suff w:val="tab"/>
      <w:lvlText w:val=""/>
      <w:lvlJc w:val="left"/>
      <w:pPr>
        <w:ind w:hanging="360" w:left="5040"/>
      </w:pPr>
      <w:rPr>
        <w:rFonts w:ascii="Symbol" w:hAnsi="Symbol" w:hint="default"/>
      </w:rPr>
    </w:lvl>
    <w:lvl w:ilvl="7" w:tplc="7DA22800">
      <w:start w:val="1"/>
      <w:numFmt w:val="bullet"/>
      <w:suff w:val="tab"/>
      <w:lvlText w:val="o"/>
      <w:lvlJc w:val="left"/>
      <w:pPr>
        <w:ind w:hanging="360" w:left="5760"/>
      </w:pPr>
      <w:rPr>
        <w:rFonts w:ascii="Courier New" w:hAnsi="Courier New" w:hint="default"/>
      </w:rPr>
    </w:lvl>
    <w:lvl w:ilvl="8" w:tplc="E230E066">
      <w:start w:val="1"/>
      <w:numFmt w:val="bullet"/>
      <w:suff w:val="tab"/>
      <w:lvlText w:val=""/>
      <w:lvlJc w:val="left"/>
      <w:pPr>
        <w:ind w:hanging="360" w:left="6480"/>
      </w:pPr>
      <w:rPr>
        <w:rFonts w:ascii="Wingdings" w:hAnsi="Wingdings" w:hint="default"/>
      </w:rPr>
    </w:lvl>
  </w:abstractNum>
  <w:abstractNum w:abstractNumId="19">
    <w:nsid w:val="4BB05FF5"/>
    <w:multiLevelType w:val="hybridMultilevel"/>
    <w:lvl w:ilvl="0" w:tplc="5ABE8BDE">
      <w:start w:val="1"/>
      <w:numFmt w:val="bullet"/>
      <w:suff w:val="tab"/>
      <w:lvlText w:val=""/>
      <w:lvlJc w:val="left"/>
      <w:pPr>
        <w:ind w:hanging="360" w:left="720"/>
      </w:pPr>
      <w:rPr>
        <w:rFonts w:ascii="Symbol" w:hAnsi="Symbol" w:hint="default"/>
        <w:color w:val="000000" w:themeColor="text1"/>
      </w:rPr>
    </w:lvl>
    <w:lvl w:ilvl="1" w:tplc="C2083DDC">
      <w:start w:val="1"/>
      <w:numFmt w:val="bullet"/>
      <w:suff w:val="tab"/>
      <w:lvlText w:val="o"/>
      <w:lvlJc w:val="left"/>
      <w:pPr>
        <w:ind w:hanging="360" w:left="1440"/>
      </w:pPr>
      <w:rPr>
        <w:rFonts w:ascii="Courier New" w:hAnsi="Courier New" w:hint="default"/>
      </w:rPr>
    </w:lvl>
    <w:lvl w:ilvl="2" w:tplc="B52E46D8">
      <w:start w:val="1"/>
      <w:numFmt w:val="bullet"/>
      <w:suff w:val="tab"/>
      <w:lvlText w:val=""/>
      <w:lvlJc w:val="left"/>
      <w:pPr>
        <w:ind w:hanging="360" w:left="2160"/>
      </w:pPr>
      <w:rPr>
        <w:rFonts w:ascii="Wingdings" w:hAnsi="Wingdings" w:hint="default"/>
      </w:rPr>
    </w:lvl>
    <w:lvl w:ilvl="3" w:tplc="334084D4">
      <w:start w:val="1"/>
      <w:numFmt w:val="bullet"/>
      <w:suff w:val="tab"/>
      <w:lvlText w:val=""/>
      <w:lvlJc w:val="left"/>
      <w:pPr>
        <w:ind w:hanging="360" w:left="2880"/>
      </w:pPr>
      <w:rPr>
        <w:rFonts w:ascii="Symbol" w:hAnsi="Symbol" w:hint="default"/>
      </w:rPr>
    </w:lvl>
    <w:lvl w:ilvl="4" w:tplc="26642C0A">
      <w:start w:val="1"/>
      <w:numFmt w:val="bullet"/>
      <w:suff w:val="tab"/>
      <w:lvlText w:val="o"/>
      <w:lvlJc w:val="left"/>
      <w:pPr>
        <w:ind w:hanging="360" w:left="3600"/>
      </w:pPr>
      <w:rPr>
        <w:rFonts w:ascii="Courier New" w:hAnsi="Courier New" w:hint="default"/>
      </w:rPr>
    </w:lvl>
    <w:lvl w:ilvl="5" w:tplc="F22AD756">
      <w:start w:val="1"/>
      <w:numFmt w:val="bullet"/>
      <w:suff w:val="tab"/>
      <w:lvlText w:val=""/>
      <w:lvlJc w:val="left"/>
      <w:pPr>
        <w:ind w:hanging="360" w:left="4320"/>
      </w:pPr>
      <w:rPr>
        <w:rFonts w:ascii="Wingdings" w:hAnsi="Wingdings" w:hint="default"/>
      </w:rPr>
    </w:lvl>
    <w:lvl w:ilvl="6" w:tplc="96302CF2">
      <w:start w:val="1"/>
      <w:numFmt w:val="bullet"/>
      <w:suff w:val="tab"/>
      <w:lvlText w:val=""/>
      <w:lvlJc w:val="left"/>
      <w:pPr>
        <w:ind w:hanging="360" w:left="5040"/>
      </w:pPr>
      <w:rPr>
        <w:rFonts w:ascii="Symbol" w:hAnsi="Symbol" w:hint="default"/>
      </w:rPr>
    </w:lvl>
    <w:lvl w:ilvl="7" w:tplc="A738B184">
      <w:start w:val="1"/>
      <w:numFmt w:val="bullet"/>
      <w:suff w:val="tab"/>
      <w:lvlText w:val="o"/>
      <w:lvlJc w:val="left"/>
      <w:pPr>
        <w:ind w:hanging="360" w:left="5760"/>
      </w:pPr>
      <w:rPr>
        <w:rFonts w:ascii="Courier New" w:hAnsi="Courier New" w:hint="default"/>
      </w:rPr>
    </w:lvl>
    <w:lvl w:ilvl="8" w:tplc="96DC1C5C">
      <w:start w:val="1"/>
      <w:numFmt w:val="bullet"/>
      <w:suff w:val="tab"/>
      <w:lvlText w:val=""/>
      <w:lvlJc w:val="left"/>
      <w:pPr>
        <w:ind w:hanging="360" w:left="6480"/>
      </w:pPr>
      <w:rPr>
        <w:rFonts w:ascii="Wingdings" w:hAnsi="Wingdings" w:hint="default"/>
      </w:rPr>
    </w:lvl>
  </w:abstractNum>
  <w:abstractNum w:abstractNumId="20">
    <w:nsid w:val="4F7577E0"/>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21">
    <w:nsid w:val="5B5210B5"/>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22">
    <w:nsid w:val="6529326D"/>
    <w:multiLevelType w:val="hybridMultilevel"/>
    <w:lvl w:ilvl="0" w:tplc="05E8067E">
      <w:start w:val="1"/>
      <w:numFmt w:val="bullet"/>
      <w:suff w:val="tab"/>
      <w:lvlText w:val=""/>
      <w:lvlJc w:val="left"/>
      <w:pPr>
        <w:ind w:hanging="360" w:left="720"/>
      </w:pPr>
      <w:rPr>
        <w:rFonts w:ascii="Symbol" w:hAnsi="Symbol" w:hint="default"/>
      </w:rPr>
    </w:lvl>
    <w:lvl w:ilvl="1" w:tplc="7BB06D10">
      <w:start w:val="1"/>
      <w:numFmt w:val="bullet"/>
      <w:suff w:val="tab"/>
      <w:lvlText w:val="o"/>
      <w:lvlJc w:val="left"/>
      <w:pPr>
        <w:ind w:hanging="360" w:left="1440"/>
      </w:pPr>
      <w:rPr>
        <w:rFonts w:ascii="Courier New" w:hAnsi="Courier New" w:hint="default"/>
      </w:rPr>
    </w:lvl>
    <w:lvl w:ilvl="2" w:tplc="701A27CE">
      <w:start w:val="1"/>
      <w:numFmt w:val="bullet"/>
      <w:suff w:val="tab"/>
      <w:lvlText w:val=""/>
      <w:lvlJc w:val="left"/>
      <w:pPr>
        <w:ind w:hanging="360" w:left="2160"/>
      </w:pPr>
      <w:rPr>
        <w:rFonts w:ascii="Wingdings" w:hAnsi="Wingdings" w:hint="default"/>
      </w:rPr>
    </w:lvl>
    <w:lvl w:ilvl="3" w:tplc="71902B40">
      <w:start w:val="1"/>
      <w:numFmt w:val="bullet"/>
      <w:suff w:val="tab"/>
      <w:lvlText w:val=""/>
      <w:lvlJc w:val="left"/>
      <w:pPr>
        <w:ind w:hanging="360" w:left="2880"/>
      </w:pPr>
      <w:rPr>
        <w:rFonts w:ascii="Symbol" w:hAnsi="Symbol" w:hint="default"/>
      </w:rPr>
    </w:lvl>
    <w:lvl w:ilvl="4" w:tplc="7C0C6CBE">
      <w:start w:val="1"/>
      <w:numFmt w:val="bullet"/>
      <w:suff w:val="tab"/>
      <w:lvlText w:val="o"/>
      <w:lvlJc w:val="left"/>
      <w:pPr>
        <w:ind w:hanging="360" w:left="3600"/>
      </w:pPr>
      <w:rPr>
        <w:rFonts w:ascii="Courier New" w:hAnsi="Courier New" w:hint="default"/>
      </w:rPr>
    </w:lvl>
    <w:lvl w:ilvl="5" w:tplc="2228B042">
      <w:start w:val="1"/>
      <w:numFmt w:val="bullet"/>
      <w:suff w:val="tab"/>
      <w:lvlText w:val=""/>
      <w:lvlJc w:val="left"/>
      <w:pPr>
        <w:ind w:hanging="360" w:left="4320"/>
      </w:pPr>
      <w:rPr>
        <w:rFonts w:ascii="Wingdings" w:hAnsi="Wingdings" w:hint="default"/>
      </w:rPr>
    </w:lvl>
    <w:lvl w:ilvl="6" w:tplc="78F6D666">
      <w:start w:val="1"/>
      <w:numFmt w:val="bullet"/>
      <w:suff w:val="tab"/>
      <w:lvlText w:val=""/>
      <w:lvlJc w:val="left"/>
      <w:pPr>
        <w:ind w:hanging="360" w:left="5040"/>
      </w:pPr>
      <w:rPr>
        <w:rFonts w:ascii="Symbol" w:hAnsi="Symbol" w:hint="default"/>
      </w:rPr>
    </w:lvl>
    <w:lvl w:ilvl="7" w:tplc="7E0616C8">
      <w:start w:val="1"/>
      <w:numFmt w:val="bullet"/>
      <w:suff w:val="tab"/>
      <w:lvlText w:val="o"/>
      <w:lvlJc w:val="left"/>
      <w:pPr>
        <w:ind w:hanging="360" w:left="5760"/>
      </w:pPr>
      <w:rPr>
        <w:rFonts w:ascii="Courier New" w:hAnsi="Courier New" w:hint="default"/>
      </w:rPr>
    </w:lvl>
    <w:lvl w:ilvl="8" w:tplc="529459DC">
      <w:start w:val="1"/>
      <w:numFmt w:val="bullet"/>
      <w:suff w:val="tab"/>
      <w:lvlText w:val=""/>
      <w:lvlJc w:val="left"/>
      <w:pPr>
        <w:ind w:hanging="360" w:left="6480"/>
      </w:pPr>
      <w:rPr>
        <w:rFonts w:ascii="Wingdings" w:hAnsi="Wingdings" w:hint="default"/>
      </w:rPr>
    </w:lvl>
  </w:abstractNum>
  <w:abstractNum w:abstractNumId="23">
    <w:nsid w:val="66906F10"/>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24">
    <w:nsid w:val="6E13120E"/>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25">
    <w:nsid w:val="6FB9689F"/>
    <w:multiLevelType w:val="hybridMultilevel"/>
    <w:lvl w:ilvl="0" w:tplc="9132CB10">
      <w:start w:val="1"/>
      <w:numFmt w:val="bullet"/>
      <w:suff w:val="tab"/>
      <w:lvlText w:val=""/>
      <w:lvlJc w:val="left"/>
      <w:pPr>
        <w:ind w:hanging="360" w:left="720"/>
      </w:pPr>
      <w:rPr>
        <w:rFonts w:ascii="Symbol" w:hAnsi="Symbol" w:hint="default"/>
      </w:rPr>
    </w:lvl>
    <w:lvl w:ilvl="1" w:tplc="C15809B6">
      <w:start w:val="1"/>
      <w:numFmt w:val="bullet"/>
      <w:suff w:val="tab"/>
      <w:lvlText w:val="o"/>
      <w:lvlJc w:val="left"/>
      <w:pPr>
        <w:ind w:hanging="360" w:left="1440"/>
      </w:pPr>
      <w:rPr>
        <w:rFonts w:ascii="Courier New" w:hAnsi="Courier New" w:hint="default"/>
      </w:rPr>
    </w:lvl>
    <w:lvl w:ilvl="2" w:tplc="C5C6D936">
      <w:start w:val="1"/>
      <w:numFmt w:val="bullet"/>
      <w:suff w:val="tab"/>
      <w:lvlText w:val=""/>
      <w:lvlJc w:val="left"/>
      <w:pPr>
        <w:ind w:hanging="360" w:left="2160"/>
      </w:pPr>
      <w:rPr>
        <w:rFonts w:ascii="Wingdings" w:hAnsi="Wingdings" w:hint="default"/>
      </w:rPr>
    </w:lvl>
    <w:lvl w:ilvl="3" w:tplc="AD7C1CDC">
      <w:start w:val="1"/>
      <w:numFmt w:val="bullet"/>
      <w:suff w:val="tab"/>
      <w:lvlText w:val=""/>
      <w:lvlJc w:val="left"/>
      <w:pPr>
        <w:ind w:hanging="360" w:left="2880"/>
      </w:pPr>
      <w:rPr>
        <w:rFonts w:ascii="Symbol" w:hAnsi="Symbol" w:hint="default"/>
      </w:rPr>
    </w:lvl>
    <w:lvl w:ilvl="4" w:tplc="6EA64968">
      <w:start w:val="1"/>
      <w:numFmt w:val="bullet"/>
      <w:suff w:val="tab"/>
      <w:lvlText w:val="o"/>
      <w:lvlJc w:val="left"/>
      <w:pPr>
        <w:ind w:hanging="360" w:left="3600"/>
      </w:pPr>
      <w:rPr>
        <w:rFonts w:ascii="Courier New" w:hAnsi="Courier New" w:hint="default"/>
      </w:rPr>
    </w:lvl>
    <w:lvl w:ilvl="5" w:tplc="AFD8A68C">
      <w:start w:val="1"/>
      <w:numFmt w:val="bullet"/>
      <w:suff w:val="tab"/>
      <w:lvlText w:val=""/>
      <w:lvlJc w:val="left"/>
      <w:pPr>
        <w:ind w:hanging="360" w:left="4320"/>
      </w:pPr>
      <w:rPr>
        <w:rFonts w:ascii="Wingdings" w:hAnsi="Wingdings" w:hint="default"/>
      </w:rPr>
    </w:lvl>
    <w:lvl w:ilvl="6" w:tplc="B1769B70">
      <w:start w:val="1"/>
      <w:numFmt w:val="bullet"/>
      <w:suff w:val="tab"/>
      <w:lvlText w:val=""/>
      <w:lvlJc w:val="left"/>
      <w:pPr>
        <w:ind w:hanging="360" w:left="5040"/>
      </w:pPr>
      <w:rPr>
        <w:rFonts w:ascii="Symbol" w:hAnsi="Symbol" w:hint="default"/>
      </w:rPr>
    </w:lvl>
    <w:lvl w:ilvl="7" w:tplc="C346ECF6">
      <w:start w:val="1"/>
      <w:numFmt w:val="bullet"/>
      <w:suff w:val="tab"/>
      <w:lvlText w:val="o"/>
      <w:lvlJc w:val="left"/>
      <w:pPr>
        <w:ind w:hanging="360" w:left="5760"/>
      </w:pPr>
      <w:rPr>
        <w:rFonts w:ascii="Courier New" w:hAnsi="Courier New" w:hint="default"/>
      </w:rPr>
    </w:lvl>
    <w:lvl w:ilvl="8" w:tplc="562E93AE">
      <w:start w:val="1"/>
      <w:numFmt w:val="bullet"/>
      <w:suff w:val="tab"/>
      <w:lvlText w:val=""/>
      <w:lvlJc w:val="left"/>
      <w:pPr>
        <w:ind w:hanging="360" w:left="6480"/>
      </w:pPr>
      <w:rPr>
        <w:rFonts w:ascii="Wingdings" w:hAnsi="Wingdings" w:hint="default"/>
      </w:rPr>
    </w:lvl>
  </w:abstractNum>
  <w:abstractNum w:abstractNumId="26">
    <w:nsid w:val="71923DD5"/>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27">
    <w:nsid w:val="725D3CEB"/>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28">
    <w:nsid w:val="726E3997"/>
    <w:multiLevelType w:val="hybridMultilevel"/>
    <w:lvl w:ilvl="0" w:tplc="E454F328">
      <w:start w:val="1"/>
      <w:numFmt w:val="bullet"/>
      <w:suff w:val="tab"/>
      <w:lvlText w:val=""/>
      <w:lvlJc w:val="left"/>
      <w:pPr>
        <w:ind w:hanging="360" w:left="420"/>
      </w:pPr>
      <w:rPr>
        <w:rFonts w:ascii="Symbol" w:hAnsi="Symbol" w:hint="default"/>
        <w:sz w:val="24"/>
        <w:szCs w:val="24"/>
      </w:rPr>
    </w:lvl>
    <w:lvl w:ilvl="1" w:tplc="041D0003">
      <w:start w:val="1"/>
      <w:numFmt w:val="bullet"/>
      <w:suff w:val="tab"/>
      <w:lvlText w:val="o"/>
      <w:lvlJc w:val="left"/>
      <w:pPr>
        <w:ind w:hanging="360" w:left="1500"/>
      </w:pPr>
      <w:rPr>
        <w:rFonts w:ascii="Courier New" w:hAnsi="Courier New" w:cs="Courier New" w:hint="default"/>
      </w:rPr>
    </w:lvl>
    <w:lvl w:ilvl="2" w:tplc="041D0005">
      <w:start w:val="1"/>
      <w:numFmt w:val="bullet"/>
      <w:suff w:val="tab"/>
      <w:lvlText w:val=""/>
      <w:lvlJc w:val="left"/>
      <w:pPr>
        <w:ind w:hanging="360" w:left="2220"/>
      </w:pPr>
      <w:rPr>
        <w:rFonts w:ascii="Wingdings" w:hAnsi="Wingdings" w:hint="default"/>
      </w:rPr>
    </w:lvl>
    <w:lvl w:ilvl="3" w:tplc="041D0001">
      <w:start w:val="1"/>
      <w:numFmt w:val="bullet"/>
      <w:suff w:val="tab"/>
      <w:lvlText w:val=""/>
      <w:lvlJc w:val="left"/>
      <w:pPr>
        <w:ind w:hanging="360" w:left="2940"/>
      </w:pPr>
      <w:rPr>
        <w:rFonts w:ascii="Symbol" w:hAnsi="Symbol" w:hint="default"/>
      </w:rPr>
    </w:lvl>
    <w:lvl w:ilvl="4" w:tplc="041D0003">
      <w:start w:val="1"/>
      <w:numFmt w:val="bullet"/>
      <w:suff w:val="tab"/>
      <w:lvlText w:val="o"/>
      <w:lvlJc w:val="left"/>
      <w:pPr>
        <w:ind w:hanging="360" w:left="3660"/>
      </w:pPr>
      <w:rPr>
        <w:rFonts w:ascii="Courier New" w:hAnsi="Courier New" w:cs="Courier New" w:hint="default"/>
      </w:rPr>
    </w:lvl>
    <w:lvl w:ilvl="5" w:tplc="041D0005">
      <w:start w:val="1"/>
      <w:numFmt w:val="bullet"/>
      <w:suff w:val="tab"/>
      <w:lvlText w:val=""/>
      <w:lvlJc w:val="left"/>
      <w:pPr>
        <w:ind w:hanging="360" w:left="4380"/>
      </w:pPr>
      <w:rPr>
        <w:rFonts w:ascii="Wingdings" w:hAnsi="Wingdings" w:hint="default"/>
      </w:rPr>
    </w:lvl>
    <w:lvl w:ilvl="6" w:tplc="041D0001">
      <w:start w:val="1"/>
      <w:numFmt w:val="bullet"/>
      <w:suff w:val="tab"/>
      <w:lvlText w:val=""/>
      <w:lvlJc w:val="left"/>
      <w:pPr>
        <w:ind w:hanging="360" w:left="5100"/>
      </w:pPr>
      <w:rPr>
        <w:rFonts w:ascii="Symbol" w:hAnsi="Symbol" w:hint="default"/>
      </w:rPr>
    </w:lvl>
    <w:lvl w:ilvl="7" w:tplc="041D0003">
      <w:start w:val="1"/>
      <w:numFmt w:val="bullet"/>
      <w:suff w:val="tab"/>
      <w:lvlText w:val="o"/>
      <w:lvlJc w:val="left"/>
      <w:pPr>
        <w:ind w:hanging="360" w:left="5820"/>
      </w:pPr>
      <w:rPr>
        <w:rFonts w:ascii="Courier New" w:hAnsi="Courier New" w:cs="Courier New" w:hint="default"/>
      </w:rPr>
    </w:lvl>
    <w:lvl w:ilvl="8" w:tplc="041D0005">
      <w:start w:val="1"/>
      <w:numFmt w:val="bullet"/>
      <w:suff w:val="tab"/>
      <w:lvlText w:val=""/>
      <w:lvlJc w:val="left"/>
      <w:pPr>
        <w:ind w:hanging="360" w:left="6540"/>
      </w:pPr>
      <w:rPr>
        <w:rFonts w:ascii="Wingdings" w:hAnsi="Wingdings" w:hint="default"/>
      </w:rPr>
    </w:lvl>
  </w:abstractNum>
  <w:abstractNum w:abstractNumId="29">
    <w:nsid w:val="74AE0ABD"/>
    <w:multiLevelType w:val="hybridMultilevel"/>
    <w:lvl w:ilvl="0" w:tplc="041D0001">
      <w:start w:val="1"/>
      <w:numFmt w:val="bullet"/>
      <w:suff w:val="tab"/>
      <w:lvlText w:val=""/>
      <w:lvlJc w:val="left"/>
      <w:pPr>
        <w:ind w:hanging="360" w:left="1800"/>
      </w:pPr>
      <w:rPr>
        <w:rFonts w:ascii="Symbol" w:hAnsi="Symbol" w:hint="default"/>
      </w:rPr>
    </w:lvl>
    <w:lvl w:ilvl="1" w:tplc="041D0003">
      <w:start w:val="1"/>
      <w:numFmt w:val="bullet"/>
      <w:suff w:val="tab"/>
      <w:lvlText w:val="o"/>
      <w:lvlJc w:val="left"/>
      <w:pPr>
        <w:ind w:hanging="360" w:left="2520"/>
      </w:pPr>
      <w:rPr>
        <w:rFonts w:ascii="Courier New" w:hAnsi="Courier New" w:cs="Courier New" w:hint="default"/>
      </w:rPr>
    </w:lvl>
    <w:lvl w:ilvl="2" w:tplc="041D0005">
      <w:start w:val="1"/>
      <w:numFmt w:val="bullet"/>
      <w:suff w:val="tab"/>
      <w:lvlText w:val=""/>
      <w:lvlJc w:val="left"/>
      <w:pPr>
        <w:ind w:hanging="360" w:left="3240"/>
      </w:pPr>
      <w:rPr>
        <w:rFonts w:ascii="Wingdings" w:hAnsi="Wingdings" w:hint="default"/>
      </w:rPr>
    </w:lvl>
    <w:lvl w:ilvl="3" w:tplc="041D0001">
      <w:start w:val="1"/>
      <w:numFmt w:val="bullet"/>
      <w:suff w:val="tab"/>
      <w:lvlText w:val=""/>
      <w:lvlJc w:val="left"/>
      <w:pPr>
        <w:ind w:hanging="360" w:left="3960"/>
      </w:pPr>
      <w:rPr>
        <w:rFonts w:ascii="Symbol" w:hAnsi="Symbol" w:hint="default"/>
      </w:rPr>
    </w:lvl>
    <w:lvl w:ilvl="4" w:tplc="041D0003">
      <w:start w:val="1"/>
      <w:numFmt w:val="bullet"/>
      <w:suff w:val="tab"/>
      <w:lvlText w:val="o"/>
      <w:lvlJc w:val="left"/>
      <w:pPr>
        <w:ind w:hanging="360" w:left="4680"/>
      </w:pPr>
      <w:rPr>
        <w:rFonts w:ascii="Courier New" w:hAnsi="Courier New" w:cs="Courier New" w:hint="default"/>
      </w:rPr>
    </w:lvl>
    <w:lvl w:ilvl="5" w:tplc="041D0005">
      <w:start w:val="1"/>
      <w:numFmt w:val="bullet"/>
      <w:suff w:val="tab"/>
      <w:lvlText w:val=""/>
      <w:lvlJc w:val="left"/>
      <w:pPr>
        <w:ind w:hanging="360" w:left="5400"/>
      </w:pPr>
      <w:rPr>
        <w:rFonts w:ascii="Wingdings" w:hAnsi="Wingdings" w:hint="default"/>
      </w:rPr>
    </w:lvl>
    <w:lvl w:ilvl="6" w:tplc="041D0001">
      <w:start w:val="1"/>
      <w:numFmt w:val="bullet"/>
      <w:suff w:val="tab"/>
      <w:lvlText w:val=""/>
      <w:lvlJc w:val="left"/>
      <w:pPr>
        <w:ind w:hanging="360" w:left="6120"/>
      </w:pPr>
      <w:rPr>
        <w:rFonts w:ascii="Symbol" w:hAnsi="Symbol" w:hint="default"/>
      </w:rPr>
    </w:lvl>
    <w:lvl w:ilvl="7" w:tplc="041D0003">
      <w:start w:val="1"/>
      <w:numFmt w:val="bullet"/>
      <w:suff w:val="tab"/>
      <w:lvlText w:val="o"/>
      <w:lvlJc w:val="left"/>
      <w:pPr>
        <w:ind w:hanging="360" w:left="6840"/>
      </w:pPr>
      <w:rPr>
        <w:rFonts w:ascii="Courier New" w:hAnsi="Courier New" w:cs="Courier New" w:hint="default"/>
      </w:rPr>
    </w:lvl>
    <w:lvl w:ilvl="8" w:tplc="041D0005">
      <w:start w:val="1"/>
      <w:numFmt w:val="bullet"/>
      <w:suff w:val="tab"/>
      <w:lvlText w:val=""/>
      <w:lvlJc w:val="left"/>
      <w:pPr>
        <w:ind w:hanging="360" w:left="7560"/>
      </w:pPr>
      <w:rPr>
        <w:rFonts w:ascii="Wingdings" w:hAnsi="Wingdings" w:hint="default"/>
      </w:rPr>
    </w:lvl>
  </w:abstractNum>
  <w:abstractNum w:abstractNumId="30">
    <w:nsid w:val="77C45D76"/>
    <w:multiLevelType w:val="multilevel"/>
    <w:lvl w:ilvl="0">
      <w:start w:val="1"/>
      <w:numFmt w:val="bullet"/>
      <w:suff w:val="tab"/>
      <w:lvlText w:val=""/>
      <w:lvlJc w:val="left"/>
      <w:pPr>
        <w:ind w:hanging="360" w:left="720"/>
        <w:tabs>
          <w:tab w:val="num" w:pos="720" w:leader="none"/>
        </w:tabs>
      </w:pPr>
      <w:rPr>
        <w:rFonts w:ascii="Symbol" w:hAnsi="Symbol" w:hint="default"/>
        <w:sz w:val="20"/>
      </w:rPr>
    </w:lvl>
    <w:lvl w:ilvl="1">
      <w:start w:val="1"/>
      <w:numFmt w:val="bullet"/>
      <w:suff w:val="tab"/>
      <w:lvlText w:val=""/>
      <w:lvlJc w:val="left"/>
      <w:pPr>
        <w:ind w:hanging="360" w:left="1440"/>
        <w:tabs>
          <w:tab w:val="num" w:pos="1440" w:leader="none"/>
        </w:tabs>
      </w:pPr>
      <w:rPr>
        <w:rFonts w:ascii="Symbol" w:hAnsi="Symbol" w:hint="default"/>
        <w:sz w:val="20"/>
      </w:rPr>
    </w:lvl>
    <w:lvl w:ilvl="2">
      <w:start w:val="1"/>
      <w:numFmt w:val="bullet"/>
      <w:suff w:val="tab"/>
      <w:lvlText w:val=""/>
      <w:lvlJc w:val="left"/>
      <w:pPr>
        <w:ind w:hanging="360" w:left="2160"/>
        <w:tabs>
          <w:tab w:val="num" w:pos="2160" w:leader="none"/>
        </w:tabs>
      </w:pPr>
      <w:rPr>
        <w:rFonts w:ascii="Symbol" w:hAnsi="Symbol" w:hint="default"/>
        <w:sz w:val="20"/>
      </w:rPr>
    </w:lvl>
    <w:lvl w:ilvl="3">
      <w:start w:val="1"/>
      <w:numFmt w:val="bullet"/>
      <w:suff w:val="tab"/>
      <w:lvlText w:val=""/>
      <w:lvlJc w:val="left"/>
      <w:pPr>
        <w:ind w:hanging="360" w:left="2880"/>
        <w:tabs>
          <w:tab w:val="num" w:pos="2880" w:leader="none"/>
        </w:tabs>
      </w:pPr>
      <w:rPr>
        <w:rFonts w:ascii="Symbol" w:hAnsi="Symbol" w:hint="default"/>
        <w:sz w:val="20"/>
      </w:rPr>
    </w:lvl>
    <w:lvl w:ilvl="4">
      <w:start w:val="1"/>
      <w:numFmt w:val="bullet"/>
      <w:suff w:val="tab"/>
      <w:lvlText w:val=""/>
      <w:lvlJc w:val="left"/>
      <w:pPr>
        <w:ind w:hanging="360" w:left="3600"/>
        <w:tabs>
          <w:tab w:val="num" w:pos="3600" w:leader="none"/>
        </w:tabs>
      </w:pPr>
      <w:rPr>
        <w:rFonts w:ascii="Symbol" w:hAnsi="Symbol" w:hint="default"/>
        <w:sz w:val="20"/>
      </w:rPr>
    </w:lvl>
    <w:lvl w:ilvl="5">
      <w:start w:val="1"/>
      <w:numFmt w:val="bullet"/>
      <w:suff w:val="tab"/>
      <w:lvlText w:val=""/>
      <w:lvlJc w:val="left"/>
      <w:pPr>
        <w:ind w:hanging="360" w:left="4320"/>
        <w:tabs>
          <w:tab w:val="num" w:pos="4320" w:leader="none"/>
        </w:tabs>
      </w:pPr>
      <w:rPr>
        <w:rFonts w:ascii="Symbol" w:hAnsi="Symbol" w:hint="default"/>
        <w:sz w:val="20"/>
      </w:rPr>
    </w:lvl>
    <w:lvl w:ilvl="6">
      <w:start w:val="1"/>
      <w:numFmt w:val="bullet"/>
      <w:suff w:val="tab"/>
      <w:lvlText w:val=""/>
      <w:lvlJc w:val="left"/>
      <w:pPr>
        <w:ind w:hanging="360" w:left="5040"/>
        <w:tabs>
          <w:tab w:val="num" w:pos="5040" w:leader="none"/>
        </w:tabs>
      </w:pPr>
      <w:rPr>
        <w:rFonts w:ascii="Symbol" w:hAnsi="Symbol" w:hint="default"/>
        <w:sz w:val="20"/>
      </w:rPr>
    </w:lvl>
    <w:lvl w:ilvl="7">
      <w:start w:val="1"/>
      <w:numFmt w:val="bullet"/>
      <w:suff w:val="tab"/>
      <w:lvlText w:val=""/>
      <w:lvlJc w:val="left"/>
      <w:pPr>
        <w:ind w:hanging="360" w:left="5760"/>
        <w:tabs>
          <w:tab w:val="num" w:pos="5760" w:leader="none"/>
        </w:tabs>
      </w:pPr>
      <w:rPr>
        <w:rFonts w:ascii="Symbol" w:hAnsi="Symbol" w:hint="default"/>
        <w:sz w:val="20"/>
      </w:rPr>
    </w:lvl>
    <w:lvl w:ilvl="8">
      <w:start w:val="1"/>
      <w:numFmt w:val="bullet"/>
      <w:suff w:val="tab"/>
      <w:lvlText w:val=""/>
      <w:lvlJc w:val="left"/>
      <w:pPr>
        <w:ind w:hanging="360" w:left="6480"/>
        <w:tabs>
          <w:tab w:val="num" w:pos="6480" w:leader="none"/>
        </w:tabs>
      </w:pPr>
      <w:rPr>
        <w:rFonts w:ascii="Symbol" w:hAnsi="Symbol" w:hint="default"/>
        <w:sz w:val="20"/>
      </w:rPr>
    </w:lvl>
  </w:abstractNum>
  <w:abstractNum w:abstractNumId="31">
    <w:nsid w:val="7B5127C5"/>
    <w:multiLevelType w:val="hybridMultilevel"/>
    <w:lvl w:ilvl="0" w:tplc="BC7A0D5C">
      <w:start w:val="1"/>
      <w:numFmt w:val="bullet"/>
      <w:suff w:val="tab"/>
      <w:lvlText w:val=""/>
      <w:lvlJc w:val="left"/>
      <w:pPr>
        <w:ind w:hanging="360" w:left="720"/>
      </w:pPr>
      <w:rPr>
        <w:rFonts w:ascii="Symbol" w:hAnsi="Symbol" w:hint="default"/>
      </w:rPr>
    </w:lvl>
    <w:lvl w:ilvl="1" w:tplc="CE900CE6">
      <w:start w:val="1"/>
      <w:numFmt w:val="bullet"/>
      <w:suff w:val="tab"/>
      <w:lvlText w:val="o"/>
      <w:lvlJc w:val="left"/>
      <w:pPr>
        <w:ind w:hanging="360" w:left="1440"/>
      </w:pPr>
      <w:rPr>
        <w:rFonts w:ascii="Courier New" w:hAnsi="Courier New" w:hint="default"/>
      </w:rPr>
    </w:lvl>
    <w:lvl w:ilvl="2" w:tplc="4DE608FC">
      <w:start w:val="1"/>
      <w:numFmt w:val="bullet"/>
      <w:suff w:val="tab"/>
      <w:lvlText w:val=""/>
      <w:lvlJc w:val="left"/>
      <w:pPr>
        <w:ind w:hanging="360" w:left="2160"/>
      </w:pPr>
      <w:rPr>
        <w:rFonts w:ascii="Wingdings" w:hAnsi="Wingdings" w:hint="default"/>
      </w:rPr>
    </w:lvl>
    <w:lvl w:ilvl="3" w:tplc="FB188702">
      <w:start w:val="1"/>
      <w:numFmt w:val="bullet"/>
      <w:suff w:val="tab"/>
      <w:lvlText w:val=""/>
      <w:lvlJc w:val="left"/>
      <w:pPr>
        <w:ind w:hanging="360" w:left="2880"/>
      </w:pPr>
      <w:rPr>
        <w:rFonts w:ascii="Symbol" w:hAnsi="Symbol" w:hint="default"/>
      </w:rPr>
    </w:lvl>
    <w:lvl w:ilvl="4" w:tplc="EAA65F24">
      <w:start w:val="1"/>
      <w:numFmt w:val="bullet"/>
      <w:suff w:val="tab"/>
      <w:lvlText w:val="o"/>
      <w:lvlJc w:val="left"/>
      <w:pPr>
        <w:ind w:hanging="360" w:left="3600"/>
      </w:pPr>
      <w:rPr>
        <w:rFonts w:ascii="Courier New" w:hAnsi="Courier New" w:hint="default"/>
      </w:rPr>
    </w:lvl>
    <w:lvl w:ilvl="5" w:tplc="4256278E">
      <w:start w:val="1"/>
      <w:numFmt w:val="bullet"/>
      <w:suff w:val="tab"/>
      <w:lvlText w:val=""/>
      <w:lvlJc w:val="left"/>
      <w:pPr>
        <w:ind w:hanging="360" w:left="4320"/>
      </w:pPr>
      <w:rPr>
        <w:rFonts w:ascii="Wingdings" w:hAnsi="Wingdings" w:hint="default"/>
      </w:rPr>
    </w:lvl>
    <w:lvl w:ilvl="6" w:tplc="E25C7C86">
      <w:start w:val="1"/>
      <w:numFmt w:val="bullet"/>
      <w:suff w:val="tab"/>
      <w:lvlText w:val=""/>
      <w:lvlJc w:val="left"/>
      <w:pPr>
        <w:ind w:hanging="360" w:left="5040"/>
      </w:pPr>
      <w:rPr>
        <w:rFonts w:ascii="Symbol" w:hAnsi="Symbol" w:hint="default"/>
      </w:rPr>
    </w:lvl>
    <w:lvl w:ilvl="7" w:tplc="BD725D48">
      <w:start w:val="1"/>
      <w:numFmt w:val="bullet"/>
      <w:suff w:val="tab"/>
      <w:lvlText w:val="o"/>
      <w:lvlJc w:val="left"/>
      <w:pPr>
        <w:ind w:hanging="360" w:left="5760"/>
      </w:pPr>
      <w:rPr>
        <w:rFonts w:ascii="Courier New" w:hAnsi="Courier New" w:hint="default"/>
      </w:rPr>
    </w:lvl>
    <w:lvl w:ilvl="8" w:tplc="1242F0AA">
      <w:start w:val="1"/>
      <w:numFmt w:val="bullet"/>
      <w:suff w:val="tab"/>
      <w:lvlText w:val=""/>
      <w:lvlJc w:val="left"/>
      <w:pPr>
        <w:ind w:hanging="360" w:left="6480"/>
      </w:pPr>
      <w:rPr>
        <w:rFonts w:ascii="Wingdings" w:hAnsi="Wingdings" w:hint="default"/>
      </w:rPr>
    </w:lvl>
  </w:abstractNum>
  <w:abstractNum w:abstractNumId="32">
    <w:nsid w:val="7C0D5592"/>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33">
    <w:nsid w:val="7C4B1E58"/>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num w:numId="1">
    <w:abstractNumId w:val="22"/>
  </w:num>
  <w:num w:numId="2">
    <w:abstractNumId w:val="25"/>
  </w:num>
  <w:num w:numId="3">
    <w:abstractNumId w:val="3"/>
  </w:num>
  <w:num w:numId="4">
    <w:abstractNumId w:val="17"/>
  </w:num>
  <w:num w:numId="5">
    <w:abstractNumId w:val="13"/>
  </w:num>
  <w:num w:numId="6">
    <w:abstractNumId w:val="10"/>
  </w:num>
  <w:num w:numId="7">
    <w:abstractNumId w:val="6"/>
  </w:num>
  <w:num w:numId="8">
    <w:abstractNumId w:val="19"/>
  </w:num>
  <w:num w:numId="9">
    <w:abstractNumId w:val="33"/>
  </w:num>
  <w:num w:numId="10">
    <w:abstractNumId w:val="21"/>
  </w:num>
  <w:num w:numId="11">
    <w:abstractNumId w:val="26"/>
  </w:num>
  <w:num w:numId="12">
    <w:abstractNumId w:val="5"/>
  </w:num>
  <w:num w:numId="13">
    <w:abstractNumId w:val="30"/>
  </w:num>
  <w:num w:numId="14">
    <w:abstractNumId w:val="32"/>
  </w:num>
  <w:num w:numId="15">
    <w:abstractNumId w:val="4"/>
  </w:num>
  <w:num w:numId="16">
    <w:abstractNumId w:val="11"/>
  </w:num>
  <w:num w:numId="17">
    <w:abstractNumId w:val="29"/>
  </w:num>
  <w:num w:numId="18">
    <w:abstractNumId w:val="7"/>
  </w:num>
  <w:num w:numId="19">
    <w:abstractNumId w:val="24"/>
  </w:num>
  <w:num w:numId="20">
    <w:abstractNumId w:val="16"/>
  </w:num>
  <w:num w:numId="21">
    <w:abstractNumId w:val="20"/>
  </w:num>
  <w:num w:numId="22">
    <w:abstractNumId w:val="18"/>
  </w:num>
  <w:num w:numId="23">
    <w:abstractNumId w:val="14"/>
  </w:num>
  <w:num w:numId="24">
    <w:abstractNumId w:val="31"/>
  </w:num>
  <w:num w:numId="25">
    <w:abstractNumId w:val="15"/>
  </w:num>
  <w:num w:numId="26">
    <w:abstractNumId w:val="9"/>
  </w:num>
  <w:num w:numId="27">
    <w:abstractNumId w:val="8"/>
  </w:num>
  <w:num w:numId="28">
    <w:abstractNumId w:val="12"/>
  </w:num>
  <w:num w:numId="29">
    <w:abstractNumId w:val="27"/>
  </w:num>
  <w:num w:numId="30">
    <w:abstractNumId w:val="0"/>
  </w:num>
  <w:num w:numId="31">
    <w:abstractNumId w:val="28"/>
  </w:num>
  <w:num w:numId="32">
    <w:abstractNumId w:val="23"/>
  </w:num>
  <w:num w:numId="33">
    <w:abstractNumId w:val="2"/>
  </w:num>
  <w:num w:numId="34">
    <w:abstractNumId w:val="1"/>
  </w:num>
</w:numbering>
</file>

<file path=word/settings.xml><?xml version="1.0" encoding="utf-8"?>
<w:settings xmlns:w="http://schemas.openxmlformats.org/wordprocessingml/2006/main">
  <w:displayBackgroundShape w:val="0"/>
  <w:defaultTabStop w:val="1304"/>
  <w:autoHyphenation w:val="0"/>
  <w:hyphenationZone w:val="425"/>
  <w:evenAndOddHeaders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clrSchemeMapping w:bg1="light1" w:t1="dark1" w:bg2="light2" w:t2="dark2" w:accent1="accent1" w:accent2="accent2" w:accent3="accent3" w:accent4="accent4" w:accent5="accent5" w:accent6="accent6" w:hyperlink="hyperlink" w:followedHyperlink="followedHyperlink"/>
  <w:footnotePr>
    <w:footnote w:id="-1"/>
    <w:footnote w:id="0"/>
    <w:footnote w:id="1"/>
  </w:footnotePr>
  <w:endnotePr>
    <w:endnote w:id="-1"/>
    <w:endnote w:id="0"/>
    <w:endnote w:id="1"/>
  </w:endnotePr>
</w:settings>
</file>

<file path=word/styles.xml><?xml version="1.0" encoding="utf-8"?>
<w:styles xmlns:w="http://schemas.openxmlformats.org/wordprocessingml/2006/main">
  <w:docDefaults>
    <w:rPrDefault>
      <w:rPr>
        <w:rFonts w:asciiTheme="minorHAnsi" w:hAnsiTheme="minorHAnsi" w:cstheme="minorBidi" w:eastAsiaTheme="minorHAnsi"/>
        <w:sz w:val="22"/>
        <w:szCs w:val="22"/>
        <w:lang w:val="sv-SE" w:bidi="ar-SA" w:eastAsia="en-US"/>
      </w:rPr>
    </w:rPrDefault>
    <w:pPrDefault>
      <w:pPr>
        <w:keepNext w:val="0"/>
        <w:keepLines w:val="0"/>
        <w:pageBreakBefore w:val="0"/>
        <w:widowControl w:val="1"/>
        <w:suppressLineNumbers w:val="0"/>
        <w:shd w:val="clear" w:fill="auto"/>
        <w:suppressAutoHyphens w:val="0"/>
        <w:spacing w:lineRule="auto" w:line="259" w:before="0" w:after="160" w:beforeAutospacing="0" w:afterAutospacing="0"/>
        <w:ind w:firstLine="0" w:left="0" w:right="0"/>
        <w:contextualSpacing w:val="0"/>
        <w:bidi w:val="0"/>
        <w:jc w:val="left"/>
        <w:outlineLvl w:val="9"/>
      </w:pPr>
    </w:pPrDefault>
  </w:docDefaults>
  <w:style w:type="paragraph" w:styleId="P0" w:default="1">
    <w:name w:val="Normal"/>
    <w:qFormat/>
    <w:pPr>
      <w:spacing w:after="80" w:beforeAutospacing="0" w:afterAutospacing="0"/>
    </w:pPr>
    <w:rPr>
      <w:rFonts w:ascii="Arial" w:hAnsi="Arial"/>
      <w:sz w:val="24"/>
    </w:rPr>
  </w:style>
  <w:style w:type="paragraph" w:styleId="P1">
    <w:name w:val="Heading 1"/>
    <w:basedOn w:val="P0"/>
    <w:next w:val="P0"/>
    <w:link w:val="C3"/>
    <w:qFormat/>
    <w:pPr>
      <w:keepNext w:val="1"/>
      <w:keepLines w:val="1"/>
      <w:spacing w:lineRule="auto" w:line="240" w:before="600" w:after="0" w:beforeAutospacing="0" w:afterAutospacing="0"/>
      <w:outlineLvl w:val="0"/>
    </w:pPr>
    <w:rPr>
      <w:rFonts w:cstheme="majorBidi" w:eastAsiaTheme="majorEastAsia"/>
      <w:b w:val="1"/>
      <w:sz w:val="32"/>
      <w:szCs w:val="32"/>
    </w:rPr>
  </w:style>
  <w:style w:type="paragraph" w:styleId="P2">
    <w:name w:val="Heading 2"/>
    <w:basedOn w:val="P0"/>
    <w:next w:val="P0"/>
    <w:link w:val="C4"/>
    <w:qFormat/>
    <w:pPr>
      <w:keepNext w:val="1"/>
      <w:spacing w:lineRule="auto" w:line="312" w:before="480" w:after="0" w:beforeAutospacing="0" w:afterAutospacing="0"/>
      <w:outlineLvl w:val="1"/>
    </w:pPr>
    <w:rPr>
      <w:rFonts w:cs="Times New Roman" w:eastAsia="Times New Roman"/>
      <w:b w:val="1"/>
      <w:bCs w:val="1"/>
      <w:iCs w:val="1"/>
      <w:sz w:val="28"/>
      <w:szCs w:val="28"/>
      <w:lang w:eastAsia="sv-SE"/>
    </w:rPr>
  </w:style>
  <w:style w:type="paragraph" w:styleId="P3">
    <w:name w:val="Heading 3"/>
    <w:basedOn w:val="P0"/>
    <w:next w:val="P0"/>
    <w:link w:val="C5"/>
    <w:qFormat/>
    <w:pPr>
      <w:keepNext w:val="1"/>
      <w:spacing w:lineRule="auto" w:line="312" w:before="360" w:after="0" w:beforeAutospacing="0" w:afterAutospacing="0"/>
      <w:outlineLvl w:val="2"/>
    </w:pPr>
    <w:rPr>
      <w:rFonts w:cs="Arial" w:eastAsia="Times New Roman"/>
      <w:b w:val="1"/>
      <w:i w:val="1"/>
      <w:bCs w:val="1"/>
      <w:szCs w:val="26"/>
    </w:rPr>
  </w:style>
  <w:style w:type="paragraph" w:styleId="P4">
    <w:name w:val="Heading 4"/>
    <w:basedOn w:val="P0"/>
    <w:next w:val="P0"/>
    <w:link w:val="C12"/>
    <w:qFormat/>
    <w:pPr>
      <w:keepNext w:val="1"/>
      <w:keepLines w:val="1"/>
      <w:spacing w:before="240" w:after="0" w:beforeAutospacing="0" w:afterAutospacing="0"/>
      <w:outlineLvl w:val="3"/>
    </w:pPr>
    <w:rPr>
      <w:rFonts w:cstheme="majorBidi" w:eastAsiaTheme="majorEastAsia"/>
      <w:i w:val="1"/>
      <w:iCs w:val="1"/>
      <w:color w:val="2F5496" w:themeColor="accent1" w:themeShade="BF"/>
    </w:rPr>
  </w:style>
  <w:style w:type="paragraph" w:styleId="P5">
    <w:name w:val="Heading 5"/>
    <w:basedOn w:val="P0"/>
    <w:next w:val="P0"/>
    <w:link w:val="C23"/>
    <w:semiHidden/>
    <w:qFormat/>
    <w:pPr>
      <w:keepNext w:val="1"/>
      <w:keepLines w:val="1"/>
      <w:spacing w:before="40" w:after="0" w:beforeAutospacing="0" w:afterAutospacing="0"/>
      <w:outlineLvl w:val="4"/>
    </w:pPr>
    <w:rPr>
      <w:rFonts w:asciiTheme="majorHAnsi" w:hAnsiTheme="majorHAnsi" w:cstheme="majorBidi" w:eastAsiaTheme="majorEastAsia"/>
      <w:color w:val="2F5496" w:themeColor="accent1" w:themeShade="BF"/>
    </w:rPr>
  </w:style>
  <w:style w:type="paragraph" w:styleId="P6">
    <w:name w:val="Header"/>
    <w:basedOn w:val="P0"/>
    <w:link w:val="C6"/>
    <w:pPr>
      <w:tabs>
        <w:tab w:val="center" w:pos="4536" w:leader="none"/>
        <w:tab w:val="right" w:pos="9072" w:leader="none"/>
      </w:tabs>
      <w:spacing w:lineRule="auto" w:line="240" w:after="0" w:beforeAutospacing="0" w:afterAutospacing="0"/>
    </w:pPr>
    <w:rPr>
      <w:rFonts w:ascii="Times New Roman" w:hAnsi="Times New Roman" w:cs="Times New Roman" w:eastAsia="Times New Roman"/>
      <w:szCs w:val="20"/>
      <w:lang w:eastAsia="sv-SE"/>
    </w:rPr>
  </w:style>
  <w:style w:type="paragraph" w:styleId="P7">
    <w:name w:val="Footer"/>
    <w:basedOn w:val="P0"/>
    <w:link w:val="C7"/>
    <w:pPr>
      <w:tabs>
        <w:tab w:val="center" w:pos="4536" w:leader="none"/>
        <w:tab w:val="right" w:pos="9072" w:leader="none"/>
      </w:tabs>
      <w:spacing w:lineRule="auto" w:line="240" w:after="0" w:beforeAutospacing="0" w:afterAutospacing="0"/>
      <w:ind w:left="-1701"/>
    </w:pPr>
    <w:rPr>
      <w:rFonts w:ascii="Times New Roman" w:hAnsi="Times New Roman" w:cs="Times New Roman" w:eastAsia="Times New Roman"/>
      <w:szCs w:val="20"/>
      <w:lang w:eastAsia="sv-SE"/>
    </w:rPr>
  </w:style>
  <w:style w:type="paragraph" w:styleId="P8">
    <w:name w:val="text"/>
    <w:basedOn w:val="P6"/>
    <w:pPr>
      <w:tabs>
        <w:tab w:val="left" w:pos="4252" w:leader="none"/>
        <w:tab w:val="clear" w:pos="4536" w:leader="none"/>
        <w:tab w:val="center" w:pos="4819" w:leader="none"/>
        <w:tab w:val="right" w:pos="7088" w:leader="none"/>
        <w:tab w:val="right" w:pos="9071" w:leader="none"/>
        <w:tab w:val="clear" w:pos="9072" w:leader="none"/>
      </w:tabs>
    </w:pPr>
    <w:rPr>
      <w:sz w:val="26"/>
    </w:rPr>
  </w:style>
  <w:style w:type="paragraph" w:styleId="P9">
    <w:name w:val="annotation text"/>
    <w:basedOn w:val="P0"/>
    <w:link w:val="C9"/>
    <w:pPr>
      <w:spacing w:lineRule="auto" w:line="240" w:beforeAutospacing="0" w:afterAutospacing="0"/>
    </w:pPr>
    <w:rPr>
      <w:sz w:val="20"/>
      <w:szCs w:val="20"/>
    </w:rPr>
  </w:style>
  <w:style w:type="paragraph" w:styleId="P10">
    <w:name w:val="annotation subject"/>
    <w:basedOn w:val="P9"/>
    <w:next w:val="P9"/>
    <w:link w:val="C10"/>
    <w:semiHidden/>
    <w:pPr/>
    <w:rPr>
      <w:b w:val="1"/>
      <w:bCs w:val="1"/>
    </w:rPr>
  </w:style>
  <w:style w:type="paragraph" w:styleId="P11">
    <w:name w:val="Balloon Text"/>
    <w:basedOn w:val="P0"/>
    <w:link w:val="C11"/>
    <w:semiHidden/>
    <w:pPr>
      <w:spacing w:lineRule="auto" w:line="240" w:after="0" w:beforeAutospacing="0" w:afterAutospacing="0"/>
    </w:pPr>
    <w:rPr>
      <w:rFonts w:ascii="Segoe UI" w:hAnsi="Segoe UI" w:cs="Segoe UI"/>
      <w:sz w:val="18"/>
      <w:szCs w:val="18"/>
    </w:rPr>
  </w:style>
  <w:style w:type="paragraph" w:styleId="P12">
    <w:name w:val="TOC Heading"/>
    <w:basedOn w:val="P1"/>
    <w:next w:val="P0"/>
    <w:qFormat/>
    <w:pPr>
      <w:outlineLvl w:val="9"/>
    </w:pPr>
    <w:rPr>
      <w:rFonts w:asciiTheme="majorHAnsi" w:hAnsiTheme="majorHAnsi"/>
      <w:b w:val="0"/>
      <w:lang w:eastAsia="sv-SE"/>
    </w:rPr>
  </w:style>
  <w:style w:type="paragraph" w:styleId="P13">
    <w:name w:val="TOC 1"/>
    <w:basedOn w:val="P0"/>
    <w:next w:val="P0"/>
    <w:pPr>
      <w:spacing w:before="120" w:after="120" w:beforeAutospacing="0" w:afterAutospacing="0"/>
    </w:pPr>
    <w:rPr>
      <w:rFonts w:asciiTheme="minorHAnsi" w:hAnsiTheme="minorHAnsi" w:cstheme="minorHAnsi"/>
      <w:b w:val="1"/>
      <w:bCs w:val="1"/>
      <w:caps w:val="1"/>
      <w:sz w:val="20"/>
      <w:szCs w:val="20"/>
    </w:rPr>
  </w:style>
  <w:style w:type="paragraph" w:styleId="P14">
    <w:name w:val="TOC 2"/>
    <w:basedOn w:val="P0"/>
    <w:next w:val="P0"/>
    <w:pPr>
      <w:spacing w:after="0" w:beforeAutospacing="0" w:afterAutospacing="0"/>
      <w:ind w:left="240"/>
    </w:pPr>
    <w:rPr>
      <w:rFonts w:asciiTheme="minorHAnsi" w:hAnsiTheme="minorHAnsi" w:cstheme="minorHAnsi"/>
      <w:smallCaps w:val="1"/>
      <w:sz w:val="20"/>
      <w:szCs w:val="20"/>
    </w:rPr>
  </w:style>
  <w:style w:type="paragraph" w:styleId="P15">
    <w:name w:val="TOC 3"/>
    <w:basedOn w:val="P0"/>
    <w:next w:val="P0"/>
    <w:pPr>
      <w:spacing w:after="0" w:beforeAutospacing="0" w:afterAutospacing="0"/>
      <w:ind w:left="480"/>
    </w:pPr>
    <w:rPr>
      <w:rFonts w:asciiTheme="minorHAnsi" w:hAnsiTheme="minorHAnsi" w:cstheme="minorHAnsi"/>
      <w:i w:val="1"/>
      <w:iCs w:val="1"/>
      <w:sz w:val="20"/>
      <w:szCs w:val="20"/>
    </w:rPr>
  </w:style>
  <w:style w:type="paragraph" w:styleId="P16">
    <w:name w:val="List Paragraph"/>
    <w:basedOn w:val="P0"/>
    <w:qFormat/>
    <w:pPr>
      <w:ind w:left="720"/>
      <w:contextualSpacing w:val="1"/>
    </w:pPr>
    <w:rPr/>
  </w:style>
  <w:style w:type="paragraph" w:styleId="P17">
    <w:name w:val="TOC 4"/>
    <w:basedOn w:val="P0"/>
    <w:next w:val="P0"/>
    <w:pPr>
      <w:spacing w:after="0" w:beforeAutospacing="0" w:afterAutospacing="0"/>
      <w:ind w:left="720"/>
    </w:pPr>
    <w:rPr>
      <w:rFonts w:asciiTheme="minorHAnsi" w:hAnsiTheme="minorHAnsi" w:cstheme="minorHAnsi"/>
      <w:sz w:val="18"/>
      <w:szCs w:val="18"/>
    </w:rPr>
  </w:style>
  <w:style w:type="paragraph" w:styleId="P18">
    <w:name w:val="TOC 5"/>
    <w:basedOn w:val="P0"/>
    <w:next w:val="P0"/>
    <w:pPr>
      <w:spacing w:after="0" w:beforeAutospacing="0" w:afterAutospacing="0"/>
      <w:ind w:left="960"/>
    </w:pPr>
    <w:rPr>
      <w:rFonts w:asciiTheme="minorHAnsi" w:hAnsiTheme="minorHAnsi" w:cstheme="minorHAnsi"/>
      <w:sz w:val="18"/>
      <w:szCs w:val="18"/>
    </w:rPr>
  </w:style>
  <w:style w:type="paragraph" w:styleId="P19">
    <w:name w:val="TOC 6"/>
    <w:basedOn w:val="P0"/>
    <w:next w:val="P0"/>
    <w:pPr>
      <w:spacing w:after="0" w:beforeAutospacing="0" w:afterAutospacing="0"/>
      <w:ind w:left="1200"/>
    </w:pPr>
    <w:rPr>
      <w:rFonts w:asciiTheme="minorHAnsi" w:hAnsiTheme="minorHAnsi" w:cstheme="minorHAnsi"/>
      <w:sz w:val="18"/>
      <w:szCs w:val="18"/>
    </w:rPr>
  </w:style>
  <w:style w:type="paragraph" w:styleId="P20">
    <w:name w:val="TOC 7"/>
    <w:basedOn w:val="P0"/>
    <w:next w:val="P0"/>
    <w:pPr>
      <w:spacing w:after="0" w:beforeAutospacing="0" w:afterAutospacing="0"/>
      <w:ind w:left="1440"/>
    </w:pPr>
    <w:rPr>
      <w:rFonts w:asciiTheme="minorHAnsi" w:hAnsiTheme="minorHAnsi" w:cstheme="minorHAnsi"/>
      <w:sz w:val="18"/>
      <w:szCs w:val="18"/>
    </w:rPr>
  </w:style>
  <w:style w:type="paragraph" w:styleId="P21">
    <w:name w:val="TOC 8"/>
    <w:basedOn w:val="P0"/>
    <w:next w:val="P0"/>
    <w:pPr>
      <w:spacing w:after="0" w:beforeAutospacing="0" w:afterAutospacing="0"/>
      <w:ind w:left="1680"/>
    </w:pPr>
    <w:rPr>
      <w:rFonts w:asciiTheme="minorHAnsi" w:hAnsiTheme="minorHAnsi" w:cstheme="minorHAnsi"/>
      <w:sz w:val="18"/>
      <w:szCs w:val="18"/>
    </w:rPr>
  </w:style>
  <w:style w:type="paragraph" w:styleId="P22">
    <w:name w:val="TOC 9"/>
    <w:basedOn w:val="P0"/>
    <w:next w:val="P0"/>
    <w:pPr>
      <w:spacing w:after="0" w:beforeAutospacing="0" w:afterAutospacing="0"/>
      <w:ind w:left="1920"/>
    </w:pPr>
    <w:rPr>
      <w:rFonts w:asciiTheme="minorHAnsi" w:hAnsiTheme="minorHAnsi" w:cstheme="minorHAnsi"/>
      <w:sz w:val="18"/>
      <w:szCs w:val="18"/>
    </w:rPr>
  </w:style>
  <w:style w:type="paragraph" w:styleId="P23">
    <w:name w:val="Default"/>
    <w:basedOn w:val="P0"/>
    <w:pPr>
      <w:spacing w:lineRule="auto" w:line="240" w:after="0" w:beforeAutospacing="0" w:afterAutospacing="0"/>
    </w:pPr>
    <w:rPr>
      <w:rFonts w:ascii="Cambria" w:hAnsi="Cambria" w:cs="Calibri"/>
      <w:color w:val="000000"/>
      <w:szCs w:val="24"/>
      <w:lang w:eastAsia="sv-SE"/>
    </w:rPr>
  </w:style>
  <w:style w:type="paragraph" w:styleId="P24">
    <w:name w:val="paragraph"/>
    <w:basedOn w:val="P0"/>
    <w:pPr>
      <w:spacing w:lineRule="auto" w:line="240" w:after="0" w:beforeAutospacing="0" w:afterAutospacing="0"/>
    </w:pPr>
    <w:rPr>
      <w:rFonts w:ascii="Calibri" w:hAnsi="Calibri" w:cs="Calibri"/>
      <w:sz w:val="22"/>
      <w:lang w:eastAsia="sv-SE"/>
    </w:rPr>
  </w:style>
  <w:style w:type="paragraph" w:styleId="P25">
    <w:name w:val="No Spacing"/>
    <w:aliases w:val="Rubr Allmän 3"/>
    <w:qFormat/>
    <w:pPr>
      <w:spacing w:lineRule="auto" w:line="240" w:after="0" w:beforeAutospacing="0" w:afterAutospacing="0"/>
    </w:pPr>
    <w:rPr>
      <w:b w:val="1"/>
      <w:sz w:val="28"/>
    </w:rPr>
  </w:style>
  <w:style w:type="paragraph" w:styleId="P26">
    <w:name w:val="Caption"/>
    <w:basedOn w:val="P0"/>
    <w:next w:val="P0"/>
    <w:qFormat/>
    <w:pPr>
      <w:spacing w:lineRule="auto" w:line="240" w:after="200" w:beforeAutospacing="0" w:afterAutospacing="0"/>
    </w:pPr>
    <w:rPr>
      <w:i w:val="1"/>
      <w:iCs w:val="1"/>
      <w:color w:val="44546A" w:themeColor="text2"/>
      <w:sz w:val="18"/>
      <w:szCs w:val="18"/>
    </w:rPr>
  </w:style>
  <w:style w:type="paragraph" w:styleId="P27">
    <w:name w:val="Normal (Web)"/>
    <w:basedOn w:val="P0"/>
    <w:pPr>
      <w:spacing w:lineRule="auto" w:line="240" w:after="240" w:beforeAutospacing="0" w:afterAutospacing="0"/>
    </w:pPr>
    <w:rPr>
      <w:rFonts w:ascii="Times New Roman" w:hAnsi="Times New Roman" w:cs="Times New Roman" w:eastAsia="Times New Roman"/>
      <w:szCs w:val="24"/>
      <w:lang w:eastAsia="sv-SE"/>
    </w:rPr>
  </w:style>
  <w:style w:type="paragraph" w:styleId="P28">
    <w:name w:val="Revision"/>
    <w:hidden/>
    <w:semiHidden/>
    <w:pPr>
      <w:spacing w:lineRule="auto" w:line="240" w:after="0" w:beforeAutospacing="0" w:afterAutospacing="0"/>
    </w:pPr>
    <w:rPr>
      <w:sz w:val="24"/>
    </w:rPr>
  </w:style>
  <w:style w:type="paragraph" w:styleId="P29">
    <w:name w:val="Footnote Text"/>
    <w:basedOn w:val="P0"/>
    <w:link w:val="C18"/>
    <w:semiHidden/>
    <w:pPr>
      <w:spacing w:lineRule="auto" w:line="240" w:after="0" w:beforeAutospacing="0" w:afterAutospacing="0"/>
    </w:pPr>
    <w:rPr>
      <w:sz w:val="20"/>
      <w:szCs w:val="20"/>
    </w:rPr>
  </w:style>
  <w:style w:type="paragraph" w:styleId="P30">
    <w:name w:val="Tyréns - Brödtext"/>
    <w:qFormat/>
    <w:pPr>
      <w:spacing w:lineRule="auto" w:line="240" w:after="120" w:beforeAutospacing="0" w:afterAutospacing="0"/>
    </w:pPr>
    <w:rPr>
      <w:rFonts w:ascii="Garamond" w:hAnsi="Garamond" w:cs="Times New Roman" w:eastAsia="Times New Roman"/>
      <w:sz w:val="24"/>
    </w:rPr>
  </w:style>
  <w:style w:type="paragraph" w:styleId="P31">
    <w:name w:val="Normal1"/>
    <w:basedOn w:val="P0"/>
    <w:pPr>
      <w:spacing w:lineRule="auto" w:line="240" w:before="100" w:after="100" w:beforeAutospacing="1" w:afterAutospacing="1"/>
    </w:pPr>
    <w:rPr>
      <w:rFonts w:ascii="Times New Roman" w:hAnsi="Times New Roman" w:cs="Times New Roman" w:eastAsia="Times New Roman"/>
      <w:szCs w:val="24"/>
      <w:lang w:eastAsia="sv-SE"/>
    </w:rPr>
  </w:style>
  <w:style w:type="paragraph" w:styleId="P32">
    <w:name w:val="Tabelltext"/>
    <w:basedOn w:val="P0"/>
    <w:link w:val="C24"/>
    <w:qFormat/>
    <w:pPr>
      <w:spacing w:lineRule="auto" w:line="288" w:after="60" w:beforeAutospacing="0" w:afterAutospacing="0"/>
    </w:pPr>
    <w:rPr>
      <w:rFonts w:ascii="Calibri" w:hAnsi="Calibri" w:cs="Times New Roman" w:eastAsia="Times New Roman"/>
      <w:sz w:val="22"/>
      <w:szCs w:val="20"/>
    </w:rPr>
  </w:style>
  <w:style w:type="paragraph" w:styleId="P33">
    <w:name w:val="Body Text"/>
    <w:basedOn w:val="P0"/>
    <w:link w:val="C25"/>
    <w:qFormat/>
    <w:pPr>
      <w:pBdr>
        <w:top w:val="none" w:sz="0" w:space="0" w:shadow="0" w:frame="0" w:color="000000"/>
        <w:left w:val="none" w:sz="0" w:space="0" w:shadow="0" w:frame="0" w:color="000000"/>
        <w:bottom w:val="none" w:sz="0" w:space="0" w:shadow="0" w:frame="0" w:color="000000"/>
        <w:right w:val="none" w:sz="0" w:space="0" w:shadow="0" w:frame="0" w:color="000000"/>
        <w:between w:val="none" w:sz="0" w:space="0" w:shadow="0" w:frame="0" w:color="auto"/>
      </w:pBdr>
      <w:spacing w:lineRule="auto" w:line="240" w:after="120" w:beforeAutospacing="0" w:afterAutospacing="0"/>
    </w:pPr>
    <w:rPr>
      <w:rFonts w:ascii="Times New Roman" w:hAnsi="Times New Roman" w:cs="Times New Roman" w:eastAsia="Times New Roman"/>
      <w:color w:val="000000"/>
      <w:szCs w:val="20"/>
      <w:lang w:bidi="sv-SE" w:eastAsia="sv-SE"/>
    </w:rPr>
  </w:style>
  <w:style w:type="paragraph" w:styleId="P34">
    <w:name w:val="Normal2"/>
    <w:basedOn w:val="P0"/>
    <w:pPr>
      <w:spacing w:lineRule="auto" w:line="240" w:before="100" w:after="100" w:beforeAutospacing="1" w:afterAutospacing="1"/>
    </w:pPr>
    <w:rPr>
      <w:rFonts w:ascii="Times New Roman" w:hAnsi="Times New Roman" w:cs="Times New Roman" w:eastAsia="Times New Roman"/>
      <w:szCs w:val="24"/>
      <w:lang w:eastAsia="sv-SE"/>
    </w:rPr>
  </w:style>
  <w:style w:type="paragraph" w:styleId="P35">
    <w:name w:val="Endnote Text"/>
    <w:link w:val="C29"/>
    <w:semiHidden/>
    <w:pPr>
      <w:spacing w:lineRule="auto" w:line="240" w:after="0" w:beforeAutospacing="0" w:afterAutospacing="0"/>
    </w:pPr>
    <w:rPr>
      <w:sz w:val="20"/>
      <w:szCs w:val="20"/>
    </w:rPr>
  </w:style>
  <w:style w:type="character" w:styleId="C0" w:default="1">
    <w:name w:val="Default Paragraph Font"/>
    <w:semiHidden/>
    <w:rPr/>
  </w:style>
  <w:style w:type="character" w:styleId="C1">
    <w:name w:val="Line Number"/>
    <w:basedOn w:val="C0"/>
    <w:semiHidden/>
    <w:rPr/>
  </w:style>
  <w:style w:type="character" w:styleId="C2">
    <w:name w:val="Hyperlink"/>
    <w:basedOn w:val="C0"/>
    <w:rPr>
      <w:color w:val="0563C1" w:themeColor="hyperlink"/>
      <w:u w:val="single"/>
    </w:rPr>
  </w:style>
  <w:style w:type="character" w:styleId="C3">
    <w:name w:val="Rubrik 1 Char"/>
    <w:basedOn w:val="C0"/>
    <w:link w:val="P1"/>
    <w:rPr>
      <w:rFonts w:ascii="Arial" w:hAnsi="Arial" w:cstheme="majorBidi" w:eastAsiaTheme="majorEastAsia"/>
      <w:b w:val="1"/>
      <w:sz w:val="32"/>
      <w:szCs w:val="32"/>
    </w:rPr>
  </w:style>
  <w:style w:type="character" w:styleId="C4">
    <w:name w:val="Rubrik 2 Char"/>
    <w:basedOn w:val="C0"/>
    <w:link w:val="P2"/>
    <w:rPr>
      <w:rFonts w:ascii="Arial" w:hAnsi="Arial" w:cs="Times New Roman" w:eastAsia="Times New Roman"/>
      <w:b w:val="1"/>
      <w:bCs w:val="1"/>
      <w:iCs w:val="1"/>
      <w:sz w:val="28"/>
      <w:szCs w:val="28"/>
      <w:lang w:eastAsia="sv-SE"/>
    </w:rPr>
  </w:style>
  <w:style w:type="character" w:styleId="C5">
    <w:name w:val="Rubrik 3 Char"/>
    <w:basedOn w:val="C0"/>
    <w:link w:val="P3"/>
    <w:rPr>
      <w:rFonts w:ascii="Arial" w:hAnsi="Arial" w:cs="Arial" w:eastAsia="Times New Roman"/>
      <w:b w:val="1"/>
      <w:i w:val="1"/>
      <w:bCs w:val="1"/>
      <w:sz w:val="24"/>
      <w:szCs w:val="26"/>
    </w:rPr>
  </w:style>
  <w:style w:type="character" w:styleId="C6">
    <w:name w:val="Sidhuvud Char"/>
    <w:basedOn w:val="C0"/>
    <w:link w:val="P6"/>
    <w:rPr>
      <w:rFonts w:ascii="Times New Roman" w:hAnsi="Times New Roman" w:cs="Times New Roman" w:eastAsia="Times New Roman"/>
      <w:sz w:val="24"/>
      <w:szCs w:val="20"/>
      <w:lang w:eastAsia="sv-SE"/>
    </w:rPr>
  </w:style>
  <w:style w:type="character" w:styleId="C7">
    <w:name w:val="Sidfot Char"/>
    <w:basedOn w:val="C0"/>
    <w:link w:val="P7"/>
    <w:rPr>
      <w:rFonts w:ascii="Times New Roman" w:hAnsi="Times New Roman" w:cs="Times New Roman" w:eastAsia="Times New Roman"/>
      <w:sz w:val="24"/>
      <w:szCs w:val="20"/>
      <w:lang w:eastAsia="sv-SE"/>
    </w:rPr>
  </w:style>
  <w:style w:type="character" w:styleId="C8">
    <w:name w:val="annotation reference"/>
    <w:basedOn w:val="C0"/>
    <w:semiHidden/>
    <w:rPr>
      <w:sz w:val="16"/>
      <w:szCs w:val="16"/>
    </w:rPr>
  </w:style>
  <w:style w:type="character" w:styleId="C9">
    <w:name w:val="Kommentarer Char"/>
    <w:basedOn w:val="C0"/>
    <w:link w:val="P9"/>
    <w:rPr>
      <w:sz w:val="20"/>
      <w:szCs w:val="20"/>
    </w:rPr>
  </w:style>
  <w:style w:type="character" w:styleId="C10">
    <w:name w:val="Kommentarsämne Char"/>
    <w:basedOn w:val="C9"/>
    <w:link w:val="P10"/>
    <w:semiHidden/>
    <w:rPr>
      <w:b w:val="1"/>
      <w:bCs w:val="1"/>
      <w:sz w:val="20"/>
      <w:szCs w:val="20"/>
    </w:rPr>
  </w:style>
  <w:style w:type="character" w:styleId="C11">
    <w:name w:val="Ballongtext Char"/>
    <w:basedOn w:val="C0"/>
    <w:link w:val="P11"/>
    <w:semiHidden/>
    <w:rPr>
      <w:rFonts w:ascii="Segoe UI" w:hAnsi="Segoe UI" w:cs="Segoe UI"/>
      <w:sz w:val="18"/>
      <w:szCs w:val="18"/>
    </w:rPr>
  </w:style>
  <w:style w:type="character" w:styleId="C12">
    <w:name w:val="Rubrik 4 Char"/>
    <w:basedOn w:val="C0"/>
    <w:link w:val="P4"/>
    <w:rPr>
      <w:rFonts w:ascii="Arial" w:hAnsi="Arial" w:cstheme="majorBidi" w:eastAsiaTheme="majorEastAsia"/>
      <w:i w:val="1"/>
      <w:iCs w:val="1"/>
      <w:color w:val="2F5496" w:themeColor="accent1" w:themeShade="BF"/>
      <w:sz w:val="24"/>
    </w:rPr>
  </w:style>
  <w:style w:type="character" w:styleId="C13">
    <w:name w:val="FollowedHyperlink"/>
    <w:basedOn w:val="C0"/>
    <w:semiHidden/>
    <w:rPr>
      <w:color w:val="954F72" w:themeColor="followedHyperlink"/>
      <w:u w:val="single"/>
    </w:rPr>
  </w:style>
  <w:style w:type="character" w:styleId="C14">
    <w:name w:val="Unresolved Mention1"/>
    <w:basedOn w:val="C0"/>
    <w:semiHidden/>
    <w:rPr>
      <w:color w:val="808080"/>
      <w:shd w:val="clear" w:color="auto" w:fill="E6E6E6"/>
    </w:rPr>
  </w:style>
  <w:style w:type="character" w:styleId="C15">
    <w:name w:val="normaltextrun1"/>
    <w:basedOn w:val="C0"/>
    <w:rPr/>
  </w:style>
  <w:style w:type="character" w:styleId="C16">
    <w:name w:val="eop"/>
    <w:basedOn w:val="C0"/>
    <w:rPr/>
  </w:style>
  <w:style w:type="character" w:styleId="C17">
    <w:name w:val="scxw234100676"/>
    <w:basedOn w:val="C0"/>
    <w:rPr/>
  </w:style>
  <w:style w:type="character" w:styleId="C18">
    <w:name w:val="Fotnotstext Char"/>
    <w:basedOn w:val="C0"/>
    <w:link w:val="P29"/>
    <w:semiHidden/>
    <w:rPr>
      <w:sz w:val="20"/>
      <w:szCs w:val="20"/>
    </w:rPr>
  </w:style>
  <w:style w:type="character" w:styleId="C19">
    <w:name w:val="Footnote Reference"/>
    <w:basedOn w:val="C0"/>
    <w:semiHidden/>
    <w:rPr>
      <w:vertAlign w:val="superscript"/>
    </w:rPr>
  </w:style>
  <w:style w:type="character" w:styleId="C20">
    <w:name w:val="normaltextrun"/>
    <w:basedOn w:val="C0"/>
    <w:rPr/>
  </w:style>
  <w:style w:type="character" w:styleId="C21">
    <w:name w:val="spellingerror"/>
    <w:basedOn w:val="C0"/>
    <w:rPr/>
  </w:style>
  <w:style w:type="character" w:styleId="C22">
    <w:name w:val="Strong"/>
    <w:basedOn w:val="C0"/>
    <w:qFormat/>
    <w:rPr>
      <w:b w:val="1"/>
      <w:bCs w:val="1"/>
    </w:rPr>
  </w:style>
  <w:style w:type="character" w:styleId="C23">
    <w:name w:val="Rubrik 5 Char"/>
    <w:basedOn w:val="C0"/>
    <w:link w:val="P5"/>
    <w:semiHidden/>
    <w:rPr>
      <w:rFonts w:asciiTheme="majorHAnsi" w:hAnsiTheme="majorHAnsi" w:cstheme="majorBidi" w:eastAsiaTheme="majorEastAsia"/>
      <w:color w:val="2F5496" w:themeColor="accent1" w:themeShade="BF"/>
      <w:sz w:val="24"/>
    </w:rPr>
  </w:style>
  <w:style w:type="character" w:styleId="C24">
    <w:name w:val="Tabelltext Char"/>
    <w:basedOn w:val="C0"/>
    <w:link w:val="P32"/>
    <w:rPr>
      <w:rFonts w:ascii="Calibri" w:hAnsi="Calibri" w:cs="Times New Roman" w:eastAsia="Times New Roman"/>
      <w:szCs w:val="20"/>
    </w:rPr>
  </w:style>
  <w:style w:type="character" w:styleId="C25">
    <w:name w:val="Brödtext Char"/>
    <w:basedOn w:val="C0"/>
    <w:link w:val="P33"/>
    <w:rPr>
      <w:rFonts w:ascii="Times New Roman" w:hAnsi="Times New Roman" w:cs="Times New Roman" w:eastAsia="Times New Roman"/>
      <w:color w:val="000000"/>
      <w:sz w:val="24"/>
      <w:szCs w:val="20"/>
      <w:lang w:bidi="sv-SE" w:eastAsia="sv-SE"/>
    </w:rPr>
  </w:style>
  <w:style w:type="character" w:styleId="C26">
    <w:name w:val="Emphasis"/>
    <w:basedOn w:val="C0"/>
    <w:qFormat/>
    <w:rPr>
      <w:i w:val="1"/>
      <w:iCs w:val="1"/>
    </w:rPr>
  </w:style>
  <w:style w:type="character" w:styleId="C27">
    <w:name w:val="Footnote Text Char"/>
    <w:semiHidden/>
    <w:rPr>
      <w:sz w:val="20"/>
      <w:szCs w:val="20"/>
    </w:rPr>
  </w:style>
  <w:style w:type="character" w:styleId="C28">
    <w:name w:val="Endnote Reference"/>
    <w:semiHidden/>
    <w:rPr>
      <w:vertAlign w:val="superscript"/>
    </w:rPr>
  </w:style>
  <w:style w:type="character" w:styleId="C29">
    <w:name w:val="Endnote Text Char"/>
    <w:link w:val="P35"/>
    <w:semiHidden/>
    <w:rPr>
      <w:sz w:val="20"/>
      <w:szCs w:val="20"/>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ellrutnät1"/>
    <w:basedOn w:val="T0"/>
    <w:pPr>
      <w:spacing w:lineRule="auto" w:line="240" w:after="0" w:beforeAutospacing="0" w:afterAutospacing="0"/>
    </w:pPr>
    <w:rPr>
      <w:rFonts w:ascii="Calibri" w:hAnsi="Calibri" w:cs="Times New Roman" w:eastAsia="Calibri"/>
    </w:rPr>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table" w:styleId="T3">
    <w:name w:val="Table Grid"/>
    <w:basedOn w:val="T0"/>
    <w:pPr>
      <w:spacing w:lineRule="auto" w:line="240" w:after="0" w:beforeAutospacing="0" w:afterAutospacing="0"/>
    </w:pPr>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table" w:styleId="T4">
    <w:name w:val="Plain Table 11"/>
    <w:basedOn w:val="T0"/>
    <w:pPr>
      <w:spacing w:lineRule="auto" w:line="240" w:after="0" w:beforeAutospacing="0" w:afterAutospacing="0"/>
    </w:pPr>
    <w:tblPr>
      <w:tblStyleRowBandSize w:val="1"/>
      <w:tblStyleColBandSize w:val="1"/>
      <w:tblBorders>
        <w:top w:val="single" w:sz="4" w:space="0" w:shadow="0" w:frame="0" w:color="BFBFBF" w:themeColor="background1" w:themeShade="BF"/>
        <w:left w:val="single" w:sz="4" w:space="0" w:shadow="0" w:frame="0" w:color="BFBFBF" w:themeColor="background1" w:themeShade="BF"/>
        <w:bottom w:val="single" w:sz="4" w:space="0" w:shadow="0" w:frame="0" w:color="BFBFBF" w:themeColor="background1" w:themeShade="BF"/>
        <w:right w:val="single" w:sz="4" w:space="0" w:shadow="0" w:frame="0" w:color="BFBFBF" w:themeColor="background1" w:themeShade="BF"/>
        <w:insideH w:val="single" w:sz="4" w:space="0" w:shadow="0" w:frame="0" w:color="BFBFBF" w:themeColor="background1" w:themeShade="BF"/>
        <w:insideV w:val="single" w:sz="4" w:space="0" w:shadow="0" w:frame="0" w:color="BFBFBF" w:themeColor="background1" w:themeShade="BF"/>
      </w:tblBorders>
    </w:tblPr>
    <w:trPr/>
    <w:tcPr/>
    <w:tblStylePr w:type="band1Horz">
      <w:tblPr/>
      <w:trPr/>
      <w:tcPr>
        <w:shd w:val="clear" w:color="auto" w:fill="F2F2F2" w:themeFill="background1" w:themeFillShade="F2"/>
      </w:tcPr>
    </w:tblStylePr>
    <w:tblStylePr w:type="band1Vert">
      <w:tblPr/>
      <w:trPr/>
      <w:tcPr>
        <w:shd w:val="clear" w:color="auto" w:fill="F2F2F2" w:themeFill="background1" w:themeFillShade="F2"/>
      </w:tcPr>
    </w:tblStylePr>
    <w:tblStylePr w:type="lastCol">
      <w:rPr>
        <w:b w:val="1"/>
        <w:bCs w:val="1"/>
      </w:rPr>
      <w:tblPr/>
      <w:trPr/>
      <w:tcPr/>
    </w:tblStylePr>
    <w:tblStylePr w:type="firstCol">
      <w:rPr>
        <w:b w:val="1"/>
        <w:bCs w:val="1"/>
      </w:rPr>
      <w:tblPr/>
      <w:trPr/>
      <w:tcPr/>
    </w:tblStylePr>
    <w:tblStylePr w:type="lastRow">
      <w:rPr>
        <w:b w:val="1"/>
        <w:bCs w:val="1"/>
      </w:rPr>
      <w:tblPr/>
      <w:trPr/>
      <w:tcPr>
        <w:tcBorders>
          <w:top w:val="double" w:sz="4" w:space="0" w:shadow="0" w:frame="0" w:color="BFBFBF" w:themeColor="background1" w:themeShade="BF"/>
        </w:tcBorders>
      </w:tcPr>
    </w:tblStylePr>
    <w:tblStylePr w:type="firstRow">
      <w:rPr>
        <w:b w:val="1"/>
        <w:bCs w:val="1"/>
      </w:rPr>
      <w:tblPr/>
      <w:trPr/>
      <w:tcPr/>
    </w:tblStylePr>
  </w:style>
  <w:style w:type="table" w:styleId="T5">
    <w:name w:val="Plain Table 41"/>
    <w:basedOn w:val="T0"/>
    <w:pPr>
      <w:spacing w:lineRule="auto" w:line="240" w:after="0" w:beforeAutospacing="0" w:afterAutospacing="0"/>
    </w:pPr>
    <w:tblPr>
      <w:tblStyleRowBandSize w:val="1"/>
      <w:tblStyleColBandSize w:val="1"/>
    </w:tblPr>
    <w:trPr/>
    <w:tcPr/>
    <w:tblStylePr w:type="band1Horz">
      <w:tblPr/>
      <w:trPr/>
      <w:tcPr>
        <w:shd w:val="clear" w:color="auto" w:fill="F2F2F2" w:themeFill="background1" w:themeFillShade="F2"/>
      </w:tcPr>
    </w:tblStylePr>
    <w:tblStylePr w:type="band1Vert">
      <w:tblPr/>
      <w:trPr/>
      <w:tcPr>
        <w:shd w:val="clear" w:color="auto" w:fill="F2F2F2" w:themeFill="background1" w:themeFillShade="F2"/>
      </w:tcPr>
    </w:tblStylePr>
    <w:tblStylePr w:type="lastCol">
      <w:rPr>
        <w:b w:val="1"/>
        <w:bCs w:val="1"/>
      </w:rPr>
      <w:tblPr/>
      <w:trPr/>
      <w:tcPr/>
    </w:tblStylePr>
    <w:tblStylePr w:type="firstCol">
      <w:rPr>
        <w:b w:val="1"/>
        <w:bCs w:val="1"/>
      </w:rPr>
      <w:tblPr/>
      <w:trPr/>
      <w:tcPr/>
    </w:tblStylePr>
    <w:tblStylePr w:type="lastRow">
      <w:rPr>
        <w:b w:val="1"/>
        <w:bCs w:val="1"/>
      </w:rPr>
      <w:tblPr/>
      <w:trPr/>
      <w:tcPr/>
    </w:tblStylePr>
    <w:tblStylePr w:type="firstRow">
      <w:rPr>
        <w:b w:val="1"/>
        <w:bCs w:val="1"/>
      </w:rPr>
      <w:tblPr/>
      <w:trPr/>
      <w:tcPr/>
    </w:tblStylePr>
  </w:style>
  <w:style w:type="table" w:styleId="T6">
    <w:name w:val="Grid Table 3 Accent 3"/>
    <w:basedOn w:val="T0"/>
    <w:pPr>
      <w:spacing w:lineRule="auto" w:line="240" w:after="0" w:beforeAutospacing="0" w:afterAutospacing="0"/>
    </w:pPr>
    <w:tblPr>
      <w:tblStyleRowBandSize w:val="1"/>
      <w:tblStyleColBandSize w:val="1"/>
      <w:tblBorders>
        <w:top w:val="single" w:sz="4" w:space="0" w:shadow="0" w:frame="0" w:color="C9C9C9" w:themeColor="accent3" w:themeTint="99"/>
        <w:left w:val="single" w:sz="4" w:space="0" w:shadow="0" w:frame="0" w:color="C9C9C9" w:themeColor="accent3" w:themeTint="99"/>
        <w:bottom w:val="single" w:sz="4" w:space="0" w:shadow="0" w:frame="0" w:color="C9C9C9" w:themeColor="accent3" w:themeTint="99"/>
        <w:right w:val="single" w:sz="4" w:space="0" w:shadow="0" w:frame="0" w:color="C9C9C9" w:themeColor="accent3" w:themeTint="99"/>
        <w:insideH w:val="single" w:sz="4" w:space="0" w:shadow="0" w:frame="0" w:color="C9C9C9" w:themeColor="accent3" w:themeTint="99"/>
        <w:insideV w:val="single" w:sz="4" w:space="0" w:shadow="0" w:frame="0" w:color="C9C9C9" w:themeColor="accent3" w:themeTint="99"/>
      </w:tblBorders>
    </w:tblPr>
    <w:trPr/>
    <w:tcPr/>
    <w:tblStylePr w:type="swCell">
      <w:tblPr/>
      <w:trPr/>
      <w:tcPr>
        <w:tcBorders>
          <w:top w:val="single" w:sz="4" w:space="0" w:shadow="0" w:frame="0" w:color="C9C9C9" w:themeColor="accent3" w:themeTint="99"/>
        </w:tcBorders>
      </w:tcPr>
    </w:tblStylePr>
    <w:tblStylePr w:type="seCell">
      <w:tblPr/>
      <w:trPr/>
      <w:tcPr>
        <w:tcBorders>
          <w:top w:val="single" w:sz="4" w:space="0" w:shadow="0" w:frame="0" w:color="C9C9C9" w:themeColor="accent3" w:themeTint="99"/>
        </w:tcBorders>
      </w:tcPr>
    </w:tblStylePr>
    <w:tblStylePr w:type="nwCell">
      <w:tblPr/>
      <w:trPr/>
      <w:tcPr>
        <w:tcBorders>
          <w:bottom w:val="single" w:sz="4" w:space="0" w:shadow="0" w:frame="0" w:color="C9C9C9" w:themeColor="accent3" w:themeTint="99"/>
        </w:tcBorders>
      </w:tcPr>
    </w:tblStylePr>
    <w:tblStylePr w:type="neCell">
      <w:tblPr/>
      <w:trPr/>
      <w:tcPr>
        <w:tcBorders>
          <w:bottom w:val="single" w:sz="4" w:space="0" w:shadow="0" w:frame="0" w:color="C9C9C9" w:themeColor="accent3" w:themeTint="99"/>
        </w:tcBorders>
      </w:tcPr>
    </w:tblStylePr>
    <w:tblStylePr w:type="band1Horz">
      <w:tblPr/>
      <w:trPr/>
      <w:tcPr>
        <w:shd w:val="clear" w:color="auto" w:fill="EEEEEE" w:themeFill="accent3" w:themeFillTint="30"/>
      </w:tcPr>
    </w:tblStylePr>
    <w:tblStylePr w:type="band1Vert">
      <w:tblPr/>
      <w:trPr/>
      <w:tcPr>
        <w:shd w:val="clear" w:color="auto" w:fill="EEEEEE" w:themeFill="accent3" w:themeFillTint="30"/>
      </w:tcPr>
    </w:tblStylePr>
    <w:tblStylePr w:type="lastCol">
      <w:rPr>
        <w:i w:val="1"/>
        <w:iCs w:val="1"/>
      </w:rPr>
      <w:tblPr/>
      <w:trPr/>
      <w:tcPr>
        <w:tcBorders>
          <w:top w:val="nil"/>
          <w:bottom w:val="nil"/>
          <w:right w:val="nil"/>
          <w:insideH w:val="nil"/>
          <w:insideV w:val="nil"/>
        </w:tcBorders>
        <w:shd w:val="clear" w:color="auto" w:fill="FFFFFF" w:themeFill="background1"/>
      </w:tcPr>
    </w:tblStylePr>
    <w:tblStylePr w:type="firstCol">
      <w:pPr>
        <w:jc w:val="right"/>
      </w:pPr>
      <w:rPr>
        <w:i w:val="1"/>
        <w:iCs w:val="1"/>
      </w:rPr>
      <w:tblPr/>
      <w:trPr/>
      <w:tcPr>
        <w:tcBorders>
          <w:top w:val="nil"/>
          <w:left w:val="nil"/>
          <w:bottom w:val="nil"/>
          <w:insideH w:val="nil"/>
          <w:insideV w:val="nil"/>
        </w:tcBorders>
        <w:shd w:val="clear" w:color="auto" w:fill="FFFFFF" w:themeFill="background1"/>
      </w:tcPr>
    </w:tblStylePr>
    <w:tblStylePr w:type="lastRow">
      <w:rPr>
        <w:b w:val="1"/>
        <w:bCs w:val="1"/>
      </w:rPr>
      <w:tblPr/>
      <w:trPr/>
      <w:tcPr>
        <w:tcBorders>
          <w:left w:val="nil"/>
          <w:bottom w:val="nil"/>
          <w:right w:val="nil"/>
          <w:insideH w:val="nil"/>
          <w:insideV w:val="nil"/>
        </w:tcBorders>
        <w:shd w:val="clear" w:color="auto" w:fill="FFFFFF" w:themeFill="background1"/>
      </w:tcPr>
    </w:tblStylePr>
    <w:tblStylePr w:type="firstRow">
      <w:rPr>
        <w:b w:val="1"/>
        <w:bCs w:val="1"/>
      </w:rPr>
      <w:tblPr/>
      <w:trPr/>
      <w:tcPr>
        <w:tcBorders>
          <w:top w:val="nil"/>
          <w:left w:val="nil"/>
          <w:right w:val="nil"/>
          <w:insideH w:val="nil"/>
          <w:insideV w:val="nil"/>
        </w:tcBorders>
        <w:shd w:val="clear" w:color="auto" w:fill="FFFFFF" w:themeFill="background1"/>
      </w:tcPr>
    </w:tblStylePr>
  </w:style>
  <w:style w:type="table" w:styleId="T7">
    <w:name w:val="Grid Table 6 Colorful Accent 3"/>
    <w:basedOn w:val="T0"/>
    <w:pPr>
      <w:spacing w:lineRule="auto" w:line="240" w:after="0" w:beforeAutospacing="0" w:afterAutospacing="0"/>
    </w:pPr>
    <w:rPr>
      <w:color w:val="7C7C7C" w:themeColor="accent3" w:themeShade="BF"/>
    </w:rPr>
    <w:tblPr>
      <w:tblStyleRowBandSize w:val="1"/>
      <w:tblStyleColBandSize w:val="1"/>
      <w:tblBorders>
        <w:top w:val="single" w:sz="4" w:space="0" w:shadow="0" w:frame="0" w:color="C9C9C9" w:themeColor="accent3" w:themeTint="99"/>
        <w:left w:val="single" w:sz="4" w:space="0" w:shadow="0" w:frame="0" w:color="C9C9C9" w:themeColor="accent3" w:themeTint="99"/>
        <w:bottom w:val="single" w:sz="4" w:space="0" w:shadow="0" w:frame="0" w:color="C9C9C9" w:themeColor="accent3" w:themeTint="99"/>
        <w:right w:val="single" w:sz="4" w:space="0" w:shadow="0" w:frame="0" w:color="C9C9C9" w:themeColor="accent3" w:themeTint="99"/>
        <w:insideH w:val="single" w:sz="4" w:space="0" w:shadow="0" w:frame="0" w:color="C9C9C9" w:themeColor="accent3" w:themeTint="99"/>
        <w:insideV w:val="single" w:sz="4" w:space="0" w:shadow="0" w:frame="0" w:color="C9C9C9" w:themeColor="accent3" w:themeTint="99"/>
      </w:tblBorders>
    </w:tblPr>
    <w:trPr/>
    <w:tcPr/>
    <w:tblStylePr w:type="band1Horz">
      <w:tblPr/>
      <w:trPr/>
      <w:tcPr>
        <w:shd w:val="clear" w:color="auto" w:fill="EEEEEE" w:themeFill="accent3" w:themeFillTint="30"/>
      </w:tcPr>
    </w:tblStylePr>
    <w:tblStylePr w:type="band1Vert">
      <w:tblPr/>
      <w:trPr/>
      <w:tcPr>
        <w:shd w:val="clear" w:color="auto" w:fill="EEEEEE" w:themeFill="accent3" w:themeFillTint="30"/>
      </w:tcPr>
    </w:tblStylePr>
    <w:tblStylePr w:type="lastCol">
      <w:rPr>
        <w:b w:val="1"/>
        <w:bCs w:val="1"/>
      </w:rPr>
      <w:tblPr/>
      <w:trPr/>
      <w:tcPr/>
    </w:tblStylePr>
    <w:tblStylePr w:type="firstCol">
      <w:rPr>
        <w:b w:val="1"/>
        <w:bCs w:val="1"/>
      </w:rPr>
      <w:tblPr/>
      <w:trPr/>
      <w:tcPr/>
    </w:tblStylePr>
    <w:tblStylePr w:type="lastRow">
      <w:rPr>
        <w:b w:val="1"/>
        <w:bCs w:val="1"/>
      </w:rPr>
      <w:tblPr/>
      <w:trPr/>
      <w:tcPr>
        <w:tcBorders>
          <w:top w:val="double" w:sz="4" w:space="0" w:shadow="0" w:frame="0" w:color="C9C9C9" w:themeColor="accent3" w:themeTint="99"/>
        </w:tcBorders>
      </w:tcPr>
    </w:tblStylePr>
    <w:tblStylePr w:type="firstRow">
      <w:rPr>
        <w:b w:val="1"/>
        <w:bCs w:val="1"/>
      </w:rPr>
      <w:tblPr/>
      <w:trPr/>
      <w:tcPr>
        <w:tcBorders>
          <w:bottom w:val="single" w:sz="12" w:space="0" w:shadow="0" w:frame="0" w:color="C9C9C9" w:themeColor="accent3" w:themeTint="99"/>
        </w:tcBorders>
      </w:tcPr>
    </w:tblStylePr>
  </w:style>
  <w:style w:type="numbering" w:styleId="N0">
    <w:name w:val="No List"/>
  </w:style>
</w:styles>
</file>

<file path=word/_rels/document.xml.rels>&#65279;<?xml version="1.0" encoding="utf-8"?><Relationships xmlns="http://schemas.openxmlformats.org/package/2006/relationships"><Relationship Id="Relimage1" Type="http://schemas.openxmlformats.org/officeDocument/2006/relationships/image" Target="/media/image1.png" /><Relationship Id="Relimage2" Type="http://schemas.openxmlformats.org/officeDocument/2006/relationships/image" Target="/media/image2.png" /><Relationship Id="Relimage3" Type="http://schemas.openxmlformats.org/officeDocument/2006/relationships/image" Target="/media/image3.png" /><Relationship Id="Relimage4" Type="http://schemas.openxmlformats.org/officeDocument/2006/relationships/image" Target="/media/image4.png" /><Relationship Id="Relimage5" Type="http://schemas.openxmlformats.org/officeDocument/2006/relationships/image" Target="/media/image5.png" /><Relationship Id="Relimage6" Type="http://schemas.openxmlformats.org/officeDocument/2006/relationships/image" Target="/media/image6.png" /><Relationship Id="Relimage7" Type="http://schemas.openxmlformats.org/officeDocument/2006/relationships/image" Target="/media/image7.png" /><Relationship Id="Relimage8" Type="http://schemas.openxmlformats.org/officeDocument/2006/relationships/image" Target="/media/image8.jpg" /><Relationship Id="Relimage9" Type="http://schemas.openxmlformats.org/officeDocument/2006/relationships/image" Target="/media/image9.png" /><Relationship Id="Relimage10" Type="http://schemas.openxmlformats.org/officeDocument/2006/relationships/image" Target="/media/image10.jpg" /><Relationship Id="Relimage11" Type="http://schemas.openxmlformats.org/officeDocument/2006/relationships/image" Target="/media/image11.jpg" /><Relationship Id="Relimage12" Type="http://schemas.openxmlformats.org/officeDocument/2006/relationships/image" Target="/media/image12.jpg" /><Relationship Id="Relimage13" Type="http://schemas.openxmlformats.org/officeDocument/2006/relationships/image" Target="/media/image13.jpg" /><Relationship Id="Relimage14" Type="http://schemas.openxmlformats.org/officeDocument/2006/relationships/image" Target="/media/image14.jpg" /><Relationship Id="Relimage15" Type="http://schemas.openxmlformats.org/officeDocument/2006/relationships/image" Target="/media/image15.jpg" /><Relationship Id="Relimage16" Type="http://schemas.openxmlformats.org/officeDocument/2006/relationships/image" Target="/media/image16.png" /><Relationship Id="Relimage17" Type="http://schemas.openxmlformats.org/officeDocument/2006/relationships/image" Target="/media/image17.jpg" /><Relationship Id="Relimage18" Type="http://schemas.openxmlformats.org/officeDocument/2006/relationships/image" Target="/media/image18.png" /><Relationship Id="Relimage19" Type="http://schemas.openxmlformats.org/officeDocument/2006/relationships/image" Target="/media/image19.png" /><Relationship Id="Relimage20" Type="http://schemas.openxmlformats.org/officeDocument/2006/relationships/image" Target="/media/image20.png" /><Relationship Id="Relimage21" Type="http://schemas.openxmlformats.org/officeDocument/2006/relationships/image" Target="/media/image21.png" /><Relationship Id="Relimage22" Type="http://schemas.openxmlformats.org/officeDocument/2006/relationships/image" Target="/media/image22.png" /><Relationship Id="Relimage23" Type="http://schemas.openxmlformats.org/officeDocument/2006/relationships/image" Target="/media/image23.png" /><Relationship Id="Relimage24" Type="http://schemas.openxmlformats.org/officeDocument/2006/relationships/image" Target="/media/image24.png" /><Relationship Id="Relimage25" Type="http://schemas.openxmlformats.org/officeDocument/2006/relationships/image" Target="/media/image25.png" /><Relationship Id="Relimage26" Type="http://schemas.openxmlformats.org/officeDocument/2006/relationships/image" Target="/media/image26.png" /><Relationship Id="Relimage27" Type="http://schemas.openxmlformats.org/officeDocument/2006/relationships/image" Target="/media/image27.png" /><Relationship Id="Relimage28" Type="http://schemas.openxmlformats.org/officeDocument/2006/relationships/image" Target="/media/image28.png" /><Relationship Id="Relimage29" Type="http://schemas.openxmlformats.org/officeDocument/2006/relationships/image" Target="/media/image29.png" /><Relationship Id="Relimage30" Type="http://schemas.openxmlformats.org/officeDocument/2006/relationships/image" Target="/media/image30.jpg" /><Relationship Id="Relimage31" Type="http://schemas.openxmlformats.org/officeDocument/2006/relationships/image" Target="/media/image31.jpg" /><Relationship Id="RelHdr1" Type="http://schemas.openxmlformats.org/officeDocument/2006/relationships/header" Target="header1.xml" /><Relationship Id="RelHdr2" Type="http://schemas.openxmlformats.org/officeDocument/2006/relationships/header" Target="header2.xml" /><Relationship Id="RelHdr3" Type="http://schemas.openxmlformats.org/officeDocument/2006/relationships/header" Target="header3.xml" /><Relationship Id="RelFtr1" Type="http://schemas.openxmlformats.org/officeDocument/2006/relationships/footer" Target="footer1.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 Id="RelItem2" Type="http://schemas.openxmlformats.org/officeDocument/2006/relationships/customXml" Target="../customXml/item2.xml" /><Relationship Id="RelItem3" Type="http://schemas.openxmlformats.org/officeDocument/2006/relationships/customXml" Target="../customXml/item3.xml" /><Relationship Id="RelItem4" Type="http://schemas.openxmlformats.org/officeDocument/2006/relationships/customXml" Target="../customXml/item4.xml" /><Relationship Id="RelItem5" Type="http://schemas.openxmlformats.org/officeDocument/2006/relationships/customXml" Target="../customXml/item5.xml" /></Relationships>
</file>

<file path=word/_rels/endnotes.xml.rels>&#65279;<?xml version="1.0" encoding="utf-8"?><Relationships xmlns="http://schemas.openxmlformats.org/package/2006/relationships" />
</file>

<file path=word/_rels/footer1.xml.rels>&#65279;<?xml version="1.0" encoding="utf-8"?><Relationships xmlns="http://schemas.openxmlformats.org/package/2006/relationships" />
</file>

<file path=word/_rels/footnotes.xml.rels>&#65279;<?xml version="1.0" encoding="utf-8"?><Relationships xmlns="http://schemas.openxmlformats.org/package/2006/relationships" />
</file>

<file path=word/_rels/header1.xml.rels>&#65279;<?xml version="1.0" encoding="utf-8"?><Relationships xmlns="http://schemas.openxmlformats.org/package/2006/relationships" />
</file>

<file path=word/_rels/header2.xml.rels>&#65279;<?xml version="1.0" encoding="utf-8"?><Relationships xmlns="http://schemas.openxmlformats.org/package/2006/relationships" />
</file>

<file path=word/_rels/header3.xml.rels>&#65279;<?xml version="1.0" encoding="utf-8"?><Relationships xmlns="http://schemas.openxmlformats.org/package/2006/relationships"><Relationship Id="Relimage32" Type="http://schemas.openxmlformats.org/officeDocument/2006/relationships/image" Target="/media/image32.pn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mpd="sng" algn="ctr">
          <a:solidFill>
            <a:schemeClr val="phClr"/>
          </a:solidFill>
          <a:prstDash val="solid"/>
          <a:miter lim="800000"/>
        </a:ln>
        <a:ln w="12700" cmpd="sng" algn="ctr">
          <a:solidFill>
            <a:schemeClr val="phClr"/>
          </a:solidFill>
          <a:prstDash val="solid"/>
          <a:miter lim="800000"/>
        </a:ln>
        <a:ln w="1905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_rels/item4.xml.rels>&#65279;<?xml version="1.0" encoding="utf-8"?><Relationships xmlns="http://schemas.openxmlformats.org/package/2006/relationships"><Relationship Id="rId1" Type="http://schemas.openxmlformats.org/officeDocument/2006/relationships/customXmlProps" Target="itemProps4.xml" /></Relationships>
</file>

<file path=customXml/_rels/item5.xml.rels>&#65279;<?xml version="1.0" encoding="utf-8"?><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8F8C5A0623861540A1DDFE0F8285DE34" ma:contentTypeVersion="3" ma:contentTypeDescription="Skapa ett nytt dokument." ma:contentTypeScope="" ma:versionID="1e94fb3f2fcfbdc34f2b73afa0a2a089">
  <xsd:schema xmlns:xsd="http://www.w3.org/2001/XMLSchema" xmlns:xs="http://www.w3.org/2001/XMLSchema" xmlns:p="http://schemas.microsoft.com/office/2006/metadata/properties" xmlns:ns2="37d36290-a962-4683-841c-31e213656163" targetNamespace="http://schemas.microsoft.com/office/2006/metadata/properties" ma:root="true" ma:fieldsID="76f4682f4415d9114ab56e3f9cbfa425" ns2:_="">
    <xsd:import namespace="37d36290-a962-4683-841c-31e21365616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d36290-a962-4683-841c-31e2136561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lanbeskrivning xmlns:lmg="http://namespace.lantmateriet.se/distribution/geometri/v1" xmlns:gml="http://www.opengis.net/gml/3.2" xmlns="http://namespace.lantmateriet.se/distribution/geodatakatalog/planbeskrivning/v1">
  <Omfattning>
    <identitet>sy_syfte01</identitet>
    <Indelning>
      <tema>Detaljplanens syfte</tema>
      <grupp>Syfte</grupp>
    </Indelning>
  </Omfattning>
  <Omfattning>
    <identitet>be_ärendeinformation01</identitet>
    <Indelning>
      <tema>Beskrivning av detaljplanen</tema>
      <grupp>Ärendeinformation</grupp>
    </Indelning>
  </Omfattning>
  <Omfattning>
    <identitet>be_ärendeinformation02</identitet>
    <Indelning>
      <tema>Beskrivning av detaljplanen</tema>
      <grupp>Ärendeinformation</grupp>
    </Indelning>
  </Omfattning>
  <Omfattning>
    <identitet>be_heladetaljplan02</identitet>
    <Indelning>
      <tema>Beskrivning av detaljplanen</tema>
      <grupp>Hela detaljplan</grupp>
    </Indelning>
  </Omfattning>
  <Omfattning>
    <identitet>be_befintligt01</identitet>
    <Indelning>
      <tema>Beskrivning av detaljplanen</tema>
      <grupp>Befintligt</grupp>
    </Indelning>
  </Omfattning>
  <Omfattning>
    <identitet>be_genomförandetid01</identitet>
    <Indelning>
      <tema>Beskrivning av detaljplanen</tema>
      <grupp>Genomförandetid</grupp>
    </Indelning>
  </Omfattning>
  <Omfattning>
    <identitet>pu_grundkarta01</identitet>
    <Indelning>
      <tema>Planeringsunderlag</tema>
      <grupp>Kommunala</grupp>
      <undergrupp>Grundkarta</undergrupp>
    </Indelning>
  </Omfattning>
  <Omfattning>
    <identitet>pu_geotekniskutredning01</identitet>
    <Indelning>
      <tema>Planeringsunderlag</tema>
      <grupp>Utredningar</grupp>
      <undergrupp>Geoteknisk utredning</undergrupp>
    </Indelning>
  </Omfattning>
  <Omfattning>
    <identitet>be_allmänplats01</identitet>
    <Indelning>
      <tema>Beskrivning av detaljplanen</tema>
      <grupp>Allmän plats</grupp>
    </Indelning>
  </Omfattning>
  <Omfattning>
    <identitet>be_vattenområde01</identitet>
    <Indelning>
      <tema>Beskrivning av detaljplanen</tema>
      <grupp>Vattenområde</grupp>
    </Indelning>
  </Omfattning>
  <Omfattning>
    <identitet>pf_fysiskmiljö01</identitet>
    <Indelning>
      <tema>Planeringsförutsättningar</tema>
      <grupp>Fysisk miljö</grupp>
    </Indelning>
  </Omfattning>
  <Omfattning>
    <identitet>ko_annat01</identitet>
    <Indelning>
      <tema>Konsekvenser</tema>
      <grupp>Annat</grupp>
    </Indelning>
  </Omfattning>
  <Omfattning>
    <identitet>pf_fysiskmiljö02</identitet>
    <Indelning>
      <tema>Planeringsförutsättningar</tema>
      <grupp>Fysisk miljö</grupp>
    </Indelning>
  </Omfattning>
  <Omfattning>
    <identitet>ko_annat02</identitet>
    <Indelning>
      <tema>Konsekvenser</tema>
      <grupp>Annat</grupp>
    </Indelning>
  </Omfattning>
  <Omfattning>
    <identitet>pf_fysiskmiljö03</identitet>
    <Indelning>
      <tema>Planeringsförutsättningar</tema>
      <grupp>Fysisk miljö</grupp>
    </Indelning>
  </Omfattning>
  <Omfattning>
    <identitet>ko_annat03</identitet>
    <Indelning>
      <tema>Konsekvenser</tema>
      <grupp>Annat</grupp>
    </Indelning>
  </Omfattning>
  <Omfattning>
    <identitet>pf_kulturmiljö01</identitet>
    <Indelning>
      <tema>Planeringsförutsättningar</tema>
      <grupp>Kulturmiljö</grupp>
    </Indelning>
  </Omfattning>
  <Omfattning>
    <identitet>pf_annat01</identitet>
    <Indelning>
      <tema>Planeringsförutsättningar</tema>
      <grupp>Annat</grupp>
    </Indelning>
  </Omfattning>
  <Omfattning>
    <identitet>pf_fornlämningar01</identitet>
    <Indelning>
      <tema>Planeringsförutsättningar</tema>
      <grupp>Kulturmiljö</grupp>
      <undergrupp>Fornlämningar</undergrupp>
    </Indelning>
  </Omfattning>
  <Omfattning>
    <identitet>pf_annat02</identitet>
    <Indelning>
      <tema>Planeringsförutsättningar</tema>
      <grupp>Annat</grupp>
    </Indelning>
  </Omfattning>
  <Omfattning>
    <identitet>pf_fysiskmiljö04</identitet>
    <Indelning>
      <tema>Planeringsförutsättningar</tema>
      <grupp>Fysisk miljö</grupp>
    </Indelning>
  </Omfattning>
  <Omfattning>
    <identitet>ko_annat04</identitet>
    <Indelning>
      <tema>Konsekvenser</tema>
      <grupp>Annat</grupp>
    </Indelning>
  </Omfattning>
  <Omfattning>
    <identitet>pf_fysiskmiljö05</identitet>
    <Indelning>
      <tema>Planeringsförutsättningar</tema>
      <grupp>Fysisk miljö</grupp>
    </Indelning>
  </Omfattning>
  <Omfattning>
    <identitet>ko_natur01</identitet>
    <Indelning>
      <tema>Konsekvenser</tema>
      <grupp>Natur</grupp>
    </Indelning>
  </Omfattning>
  <Omfattning>
    <identitet>pf_geotekniskaförhållanden01</identitet>
    <Indelning>
      <tema>Planeringsförutsättningar</tema>
      <grupp>Geotekniska förhållanden</grupp>
    </Indelning>
  </Omfattning>
  <Omfattning>
    <identitet>ko_annat05</identitet>
    <Indelning>
      <tema>Konsekvenser</tema>
      <grupp>Annat</grupp>
    </Indelning>
  </Omfattning>
  <Omfattning>
    <identitet>pf_hydrologiskaförhållanden01</identitet>
    <Indelning>
      <tema>Planeringsförutsättningar</tema>
      <grupp>Hydrologiska förhållanden</grupp>
    </Indelning>
  </Omfattning>
  <Omfattning>
    <identitet>ko_annat06</identitet>
    <Indelning>
      <tema>Konsekvenser</tema>
      <grupp>Annat</grupp>
    </Indelning>
  </Omfattning>
  <Omfattning>
    <identitet>pf_sociala01</identitet>
    <Indelning>
      <tema>Planeringsförutsättningar</tema>
      <grupp>Sociala</grupp>
    </Indelning>
  </Omfattning>
  <Omfattning>
    <identitet>ko_sociala01</identitet>
    <Indelning>
      <tema>Konsekvenser</tema>
      <grupp>Sociala</grupp>
    </Indelning>
  </Omfattning>
  <Omfattning>
    <identitet>pf_sociala02</identitet>
    <Indelning>
      <tema>Planeringsförutsättningar</tema>
      <grupp>Sociala</grupp>
    </Indelning>
  </Omfattning>
  <Omfattning>
    <identitet>ko_sociala02</identitet>
    <Indelning>
      <tema>Konsekvenser</tema>
      <grupp>Sociala</grupp>
    </Indelning>
  </Omfattning>
  <Omfattning>
    <identitet>pf_sociala03</identitet>
    <Indelning>
      <tema>Planeringsförutsättningar</tema>
      <grupp>Sociala</grupp>
    </Indelning>
  </Omfattning>
  <Omfattning>
    <identitet>ko_sociala03</identitet>
    <Indelning>
      <tema>Konsekvenser</tema>
      <grupp>Sociala</grupp>
    </Indelning>
  </Omfattning>
  <Omfattning>
    <identitet>pf_sociala04</identitet>
    <Indelning>
      <tema>Planeringsförutsättningar</tema>
      <grupp>Sociala</grupp>
    </Indelning>
  </Omfattning>
  <Omfattning>
    <identitet>ko_sociala04</identitet>
    <Indelning>
      <tema>Konsekvenser</tema>
      <grupp>Sociala</grupp>
    </Indelning>
  </Omfattning>
  <Omfattning>
    <identitet>pf_trafik01</identitet>
    <Indelning>
      <tema>Planeringsförutsättningar</tema>
      <grupp>Trafik</grupp>
    </Indelning>
  </Omfattning>
  <Omfattning>
    <identitet>ko_trafik01</identitet>
    <Indelning>
      <tema>Konsekvenser</tema>
      <grupp>Trafik</grupp>
    </Indelning>
  </Omfattning>
  <Omfattning>
    <identitet>pf_trafik02</identitet>
    <Indelning>
      <tema>Planeringsförutsättningar</tema>
      <grupp>Trafik</grupp>
    </Indelning>
  </Omfattning>
  <Omfattning>
    <identitet>ko_trafik02</identitet>
    <Indelning>
      <tema>Konsekvenser</tema>
      <grupp>Trafik</grupp>
    </Indelning>
  </Omfattning>
  <Omfattning>
    <identitet>pf_trafik03</identitet>
    <Indelning>
      <tema>Planeringsförutsättningar</tema>
      <grupp>Trafik</grupp>
    </Indelning>
  </Omfattning>
  <Omfattning>
    <identitet>ko_trafik03</identitet>
    <Indelning>
      <tema>Konsekvenser</tema>
      <grupp>Trafik</grupp>
    </Indelning>
  </Omfattning>
  <Omfattning>
    <identitet>pf_trafik04</identitet>
    <Indelning>
      <tema>Planeringsförutsättningar</tema>
      <grupp>Trafik</grupp>
    </Indelning>
  </Omfattning>
  <Omfattning>
    <identitet>ko_sociala05</identitet>
    <Indelning>
      <tema>Konsekvenser</tema>
      <grupp>Sociala</grupp>
    </Indelning>
  </Omfattning>
  <Omfattning>
    <identitet>pf_riskföröversvämning01</identitet>
    <Indelning>
      <tema>Planeringsförutsättningar</tema>
      <grupp>Hälsa och säkerhet</grupp>
      <undergrupp>Risk för översvämning</undergrupp>
    </Indelning>
  </Omfattning>
  <Omfattning>
    <identitet>ko_översvämning01</identitet>
    <Indelning>
      <tema>Konsekvenser</tema>
      <grupp>Hälsa och säkerhet</grupp>
      <undergrupp>Översvämning</undergrupp>
    </Indelning>
  </Omfattning>
  <Omfattning>
    <identitet>pf_riskförras01</identitet>
    <Indelning>
      <tema>Planeringsförutsättningar</tema>
      <grupp>Hälsa och säkerhet</grupp>
      <undergrupp>Risk för ras</undergrupp>
    </Indelning>
  </Omfattning>
  <Omfattning>
    <identitet>pf_riskförskred01</identitet>
    <Indelning>
      <tema>Planeringsförutsättningar</tema>
      <grupp>Hälsa och säkerhet</grupp>
      <undergrupp>Risk för skred</undergrupp>
    </Indelning>
  </Omfattning>
  <Omfattning>
    <identitet>pf_riskförerosion01</identitet>
    <Indelning>
      <tema>Planeringsförutsättningar</tema>
      <grupp>Hälsa och säkerhet</grupp>
      <undergrupp>Risk för erosion</undergrupp>
    </Indelning>
  </Omfattning>
  <Omfattning>
    <identitet>ko_erosion01</identitet>
    <Indelning>
      <tema>Konsekvenser</tema>
      <grupp>Hälsa och säkerhet</grupp>
      <undergrupp>Erosion</undergrupp>
    </Indelning>
  </Omfattning>
  <Omfattning>
    <identitet>ko_ras01</identitet>
    <Indelning>
      <tema>Konsekvenser</tema>
      <grupp>Hälsa och säkerhet</grupp>
      <undergrupp>Ras</undergrupp>
    </Indelning>
  </Omfattning>
  <Omfattning>
    <identitet>ko_skred01</identitet>
    <Indelning>
      <tema>Konsekvenser</tema>
      <grupp>Hälsa och säkerhet</grupp>
      <undergrupp>Skred</undergrupp>
    </Indelning>
  </Omfattning>
  <Omfattning>
    <identitet>pf_hälsaochsäkerhetannat01</identitet>
    <Indelning>
      <tema>Planeringsförutsättningar</tema>
      <grupp>Hälsa och säkerhet</grupp>
      <undergrupp>Hälsa och säkerhet- annat</undergrupp>
    </Indelning>
  </Omfattning>
  <Omfattning>
    <identitet>ko_hälsaochsäkerhetannat01</identitet>
    <Indelning>
      <tema>Konsekvenser</tema>
      <grupp>Hälsa och säkerhet</grupp>
      <undergrupp>Hälsa och säkerhet- annat</undergrupp>
    </Indelning>
  </Omfattning>
  <Omfattning>
    <identitet>pf_riskförolyckor01</identitet>
    <Indelning>
      <tema>Planeringsförutsättningar</tema>
      <grupp>Hälsa och säkerhet</grupp>
      <undergrupp>Risk för olyckor</undergrupp>
    </Indelning>
  </Omfattning>
  <Omfattning>
    <identitet>ko_olyckor01</identitet>
    <Indelning>
      <tema>Konsekvenser</tema>
      <grupp>Hälsa och säkerhet</grupp>
      <undergrupp>Olyckor</undergrupp>
    </Indelning>
  </Omfattning>
  <Omfattning>
    <identitet>pf_hälsaochsäkerhetannat02</identitet>
    <Indelning>
      <tema>Planeringsförutsättningar</tema>
      <grupp>Hälsa och säkerhet</grupp>
      <undergrupp>Hälsa och säkerhet- annat</undergrupp>
    </Indelning>
  </Omfattning>
  <Omfattning>
    <identitet>ko_hälsaochsäkerhetannat02</identitet>
    <Indelning>
      <tema>Konsekvenser</tema>
      <grupp>Hälsa och säkerhet</grupp>
      <undergrupp>Hälsa och säkerhet- annat</undergrupp>
    </Indelning>
  </Omfattning>
  <Omfattning>
    <identitet>pf_omgivningsbuller01</identitet>
    <Indelning>
      <tema>Planeringsförutsättningar</tema>
      <grupp>Hälsa och säkerhet</grupp>
      <undergrupp>Omgivningsbuller</undergrupp>
    </Indelning>
  </Omfattning>
  <Omfattning>
    <identitet>ko_beräkningavomgivningsbuller01</identitet>
    <Indelning>
      <tema>Konsekvenser</tema>
      <grupp>Hälsa och säkerhet</grupp>
      <undergrupp>Beräkning av omgivningsbuller</undergrupp>
    </Indelning>
  </Omfattning>
  <Omfattning>
    <identitet>pf_teknik01</identitet>
    <Indelning>
      <tema>Planeringsförutsättningar</tema>
      <grupp>Teknik</grupp>
    </Indelning>
  </Omfattning>
  <Omfattning>
    <identitet>ko_annat07</identitet>
    <Indelning>
      <tema>Konsekvenser</tema>
      <grupp>Annat</grupp>
    </Indelning>
  </Omfattning>
  <Omfattning>
    <identitet>pf_teknik02</identitet>
    <Indelning>
      <tema>Planeringsförutsättningar</tema>
      <grupp>Teknik</grupp>
    </Indelning>
  </Omfattning>
  <Omfattning>
    <identitet>ko_annat08</identitet>
    <Indelning>
      <tema>Konsekvenser</tema>
      <grupp>Annat</grupp>
    </Indelning>
  </Omfattning>
  <Omfattning>
    <identitet>pf_teknik03</identitet>
    <Indelning>
      <tema>Planeringsförutsättningar</tema>
      <grupp>Teknik</grupp>
    </Indelning>
  </Omfattning>
  <Omfattning>
    <identitet>ko_annat09</identitet>
    <Indelning>
      <tema>Konsekvenser</tema>
      <grupp>Annat</grupp>
    </Indelning>
  </Omfattning>
  <Omfattning>
    <identitet>pf_teknik04</identitet>
    <Indelning>
      <tema>Planeringsförutsättningar</tema>
      <grupp>Teknik</grupp>
    </Indelning>
  </Omfattning>
  <Omfattning>
    <identitet>ko_annat10</identitet>
    <Indelning>
      <tema>Konsekvenser</tema>
      <grupp>Annat</grupp>
    </Indelning>
  </Omfattning>
  <Omfattning>
    <identitet>pu_översiktsplan01</identitet>
    <Indelning>
      <tema>Planeringsunderlag</tema>
      <grupp>Kommunala</grupp>
      <undergrupp>Översiktsplan</undergrupp>
    </Indelning>
  </Omfattning>
  <Omfattning>
    <identitet>pu_detaljplan01</identitet>
    <Indelning>
      <tema>Planeringsunderlag</tema>
      <grupp>Kommunala</grupp>
      <undergrupp>Detaljplan</undergrupp>
    </Indelning>
  </Omfattning>
  <Omfattning>
    <identitet>ko_annat11</identitet>
    <Indelning>
      <tema>Konsekvenser</tema>
      <grupp>Annat</grupp>
    </Indelning>
  </Omfattning>
  <Omfattning>
    <identitet>pu_planbesked01</identitet>
    <Indelning>
      <tema>Planeringsunderlag</tema>
      <grupp>Kommunala</grupp>
      <undergrupp>Planbesked</undergrupp>
    </Indelning>
  </Omfattning>
  <Omfattning>
    <identitet>ko_annat12</identitet>
    <Indelning>
      <tema>Konsekvenser</tema>
      <grupp>Annat</grupp>
    </Indelning>
  </Omfattning>
  <Omfattning>
    <identitet>pu_annat01</identitet>
    <Indelning>
      <tema>Planeringsunderlag</tema>
      <grupp>Annat</grupp>
    </Indelning>
  </Omfattning>
  <Omfattning>
    <identitet>ko_annat13</identitet>
    <Indelning>
      <tema>Konsekvenser</tema>
      <grupp>Annat</grupp>
    </Indelning>
  </Omfattning>
  <Omfattning>
    <identitet>pu_undersökningenl6kap6_mb01</identitet>
    <Indelning>
      <tema>Planeringsunderlag</tema>
      <grupp>Kommunala</grupp>
      <undergrupp>Undersökning enligt 6 kap. 6 § miljöbalken (1998:808)</undergrupp>
    </Indelning>
  </Omfattning>
  <Omfattning>
    <identitet>pu_miljökonsekvensbeskrivning01</identitet>
    <Indelning>
      <tema>Planeringsunderlag</tema>
      <grupp>Kommunala</grupp>
      <undergrupp>Miljökonsekvens-beskrivning</undergrupp>
    </Indelning>
  </Omfattning>
  <Omfattning>
    <identitet>pf_riksintressen01</identitet>
    <Indelning>
      <tema>Planeringsförutsättningar</tema>
      <grupp>Riksintressen</grupp>
    </Indelning>
  </Omfattning>
  <Omfattning>
    <identitet>pf_miljökvalitetsnormer01</identitet>
    <Indelning>
      <tema>Planeringsförutsättningar</tema>
      <grupp>Miljökvalitetsnormer</grupp>
    </Indelning>
  </Omfattning>
  <Omfattning>
    <identitet>pf_strandskydd01</identitet>
    <Indelning>
      <tema>Planeringsförutsättningar</tema>
      <grupp>Miljö</grupp>
      <undergrupp>Strandskydd</undergrupp>
    </Indelning>
  </Omfattning>
  <Omfattning>
    <identitet>ko_strandskydd01</identitet>
    <Indelning>
      <tema>Konsekvenser</tema>
      <grupp>Miljö</grupp>
      <undergrupp>Strandskydd</undergrupp>
    </Indelning>
  </Omfattning>
  <Omfattning>
    <identitet>gf_tidplan01</identitet>
    <Indelning>
      <tema>Genomförandefrågor</tema>
      <grupp>Organisatoriska frågor</grupp>
      <undergrupp>Tidplan</undergrupp>
    </Indelning>
  </Omfattning>
  <Omfattning>
    <identitet>be_genomförandetid02</identitet>
    <Indelning>
      <tema>Beskrivning av detaljplanen</tema>
      <grupp>Genomförandetid</grupp>
    </Indelning>
  </Omfattning>
  <Omfattning>
    <identitet>gf_tekniskafrågor01</identitet>
    <Indelning>
      <tema>Genomförandefrågor</tema>
      <grupp>Tekniska frågor</grupp>
    </Indelning>
  </Omfattning>
  <Omfattning>
    <identitet>gf_utbyggnadvattenochavlopp01</identitet>
    <Indelning>
      <tema>Genomförandefrågor</tema>
      <grupp>Tekniska frågor</grupp>
      <undergrupp>Utbyggnad vatten och avlopp</undergrupp>
    </Indelning>
  </Omfattning>
  <Omfattning>
    <identitet>gf_rättigheter01</identitet>
    <Indelning>
      <tema>Genomförandefrågor</tema>
      <grupp>Fastighetsrättsliga frågor</grupp>
      <undergrupp>Rättigheter</undergrupp>
    </Indelning>
  </Omfattning>
  <Omfattning>
    <identitet>gf_rättigheter02</identitet>
    <Indelning>
      <tema>Genomförandefrågor</tema>
      <grupp>Fastighetsrättsliga frågor</grupp>
      <undergrupp>Rättigheter</undergrupp>
    </Indelning>
  </Omfattning>
  <Omfattning>
    <identitet>gf_tekniskaåtgärder01</identitet>
    <Indelning>
      <tema>Genomförandefrågor</tema>
      <grupp>Tekniska frågor</grupp>
      <undergrupp>Tekniska åtgärder</undergrupp>
    </Indelning>
  </Omfattning>
  <Omfattning>
    <identitet>gf_ekonomiskafrågor01</identitet>
    <Indelning>
      <tema>Genomförandefrågor</tema>
      <grupp>Ekonomiska frågor</grupp>
    </Indelning>
  </Omfattning>
  <Omfattning>
    <identitet>gf_ekonomiskafrågor02</identitet>
    <Indelning>
      <tema>Genomförandefrågor</tema>
      <grupp>Ekonomiska frågor</grupp>
    </Indelning>
  </Omfattning>
  <Omfattning>
    <identitet>gf_ekonomiskafrågor03</identitet>
    <Indelning>
      <tema>Genomförandefrågor</tema>
      <grupp>Ekonomiska frågor</grupp>
    </Indelning>
  </Omfattning>
  <Omfattning>
    <identitet>gf_ekonomiskafrågor04</identitet>
    <Indelning>
      <tema>Genomförandefrågor</tema>
      <grupp>Ekonomiska frågor</grupp>
    </Indelning>
  </Omfattning>
  <Omfattning>
    <identitet>mo_motivtillreglering01</identitet>
    <lmg:Ytgeometri>
      <lmg:absolutLagesosakerhetPlan>0</lmg:absolutLagesosakerhetPlan>
      <lmg:absolutLagesosakerhetHojd>0</lmg:absolutLagesosakerhetHojd>
      <lmg:koordinatsystemPlan>EPSG:3014</lmg:koordinatsystemPlan>
      <lmg:hojdsystem>RH 2000</lmg:hojdsystem>
      <lmg:dimension>2</lmg:dimension>
      <lmg:Position>
        <gml:Polygon gml:id="5c55cf5f-4f94-49cc-892d-59cbad7dd484_f0">
          <gml:exterior>
            <gml:LinearRing>
              <gml:posList>6943304.361 185255.643 6943304.014 185190.849 6943304.838 185190.699 6943306.023 185190.423 6943308.012 185190.423 6943310.341 185190.423 6943312.532 185190.538 6943315.569 185190.487 6943316.945 185190.593 6943318.723 185191.037 6943320.597 185191.319 6943324.968 185191.524 6943327.592 185191.947 6943330.357 185192.651 6943335.593 185193.683 6943340.546 185195.165 6943343.893 185196.27 6943344.47 185196.461 6943346.839 185197.14 6943347.748 185197.518 6943339.036 185253.936 6943335.77 185254.097 6943334.958 185254.137 6943329.679 185254.396 6943308.938 185255.417 6943308.36 185255.445 6943305.886 185255.567 6943305.769 185255.573 6943304.361 185255.643</gml:posList>
            </gml:LinearRing>
          </gml:exterior>
        </gml:Polygon>
      </lmg:Position>
    </lmg:Ytgeometri>
    <objektreferens>5c55cf5f-4f94-49cc-892d-59cbad7dd484</objektreferens>
    <Indelning>
      <tema>Motiv till detaljplanens regleringar</tema>
      <grupp>Motiv till reglering</grupp>
    </Indelning>
  </Omfattning>
  <Omfattning>
    <identitet>mo_motivtillreglering02</identitet>
    <lmg:Ytgeometri>
      <lmg:absolutLagesosakerhetPlan>0</lmg:absolutLagesosakerhetPlan>
      <lmg:absolutLagesosakerhetHojd>0</lmg:absolutLagesosakerhetHojd>
      <lmg:koordinatsystemPlan>EPSG:3014</lmg:koordinatsystemPlan>
      <lmg:hojdsystem>RH 2000</lmg:hojdsystem>
      <lmg:dimension>2</lmg:dimension>
      <lmg:Position>
        <gml:Polygon gml:id="dbd1b939-a2fc-4c9d-910a-3bd300568026_f0">
          <gml:exterior>
            <gml:LinearRing>
              <gml:posList>6943304.361 185255.643 6943304.165 185218.974 6943304.014 185190.849 6943304.838 185190.699 6943306.023 185190.423 6943308.012 185190.423 6943310.341 185190.423 6943312.532 185190.538 6943315.569 185190.487 6943316.945 185190.593 6943318.723 185191.037 6943320.597 185191.319 6943324.968 185191.524 6943327.592 185191.947 6943330.357 185192.651 6943335.593 185193.683 6943340.546 185195.165 6943343.893 185196.27 6943344.47 185196.461 6943346.839 185197.14 6943347.748 185197.518 6943339.036 185253.936 6943335.77 185254.097 6943334.958 185254.137 6943329.679 185254.396 6943325.396 185254.607 6943308.938 185255.417 6943308.36 185255.445 6943305.886 185255.567 6943305.769 185255.573 6943304.361 185255.643</gml:posList>
            </gml:LinearRing>
          </gml:exterior>
        </gml:Polygon>
      </lmg:Position>
    </lmg:Ytgeometri>
    <lmg:Ytgeometri>
      <lmg:absolutLagesosakerhetPlan>0</lmg:absolutLagesosakerhetPlan>
      <lmg:absolutLagesosakerhetHojd>0</lmg:absolutLagesosakerhetHojd>
      <lmg:koordinatsystemPlan>EPSG:3014</lmg:koordinatsystemPlan>
      <lmg:hojdsystem>RH 2000</lmg:hojdsystem>
      <lmg:dimension>2</lmg:dimension>
      <lmg:Position>
        <gml:Polygon gml:id="dbd1b939-a2fc-4c9d-910a-3bd300568026_f1">
          <gml:exterior>
            <gml:LinearRing>
              <gml:posList>6943304.361 185255.643 6943304.165 185218.974 6943304.014 185190.849 6943304.838 185190.699 6943306.023 185190.423 6943308.012 185190.423 6943310.341 185190.423 6943312.532 185190.538 6943315.569 185190.487 6943316.945 185190.593 6943318.723 185191.037 6943320.597 185191.319 6943324.968 185191.524 6943327.592 185191.947 6943330.357 185192.651 6943335.593 185193.683 6943340.546 185195.165 6943343.893 185196.27 6943344.47 185196.461 6943346.839 185197.14 6943347.748 185197.518 6943339.036 185253.936 6943335.77 185254.097 6943334.958 185254.137 6943329.679 185254.396 6943325.396 185254.607 6943308.938 185255.417 6943308.36 185255.445 6943305.886 185255.567 6943305.769 185255.573 6943304.361 185255.643</gml:posList>
            </gml:LinearRing>
          </gml:exterior>
        </gml:Polygon>
      </lmg:Position>
    </lmg:Ytgeometri>
    <objektreferens>dbd1b939-a2fc-4c9d-910a-3bd300568026</objektreferens>
    <objektreferens>dbd1b939-a2fc-4c9d-910a-3bd300568026</objektreferens>
    <Indelning>
      <tema>Motiv till detaljplanens regleringar</tema>
      <grupp>Motiv till reglering</grupp>
    </Indelning>
  </Omfattning>
  <Omfattning>
    <identitet>mo_motivtillreglering03</identitet>
    <lmg:Ytgeometri>
      <lmg:absolutLagesosakerhetPlan>0</lmg:absolutLagesosakerhetPlan>
      <lmg:absolutLagesosakerhetHojd>0</lmg:absolutLagesosakerhetHojd>
      <lmg:koordinatsystemPlan>EPSG:3014</lmg:koordinatsystemPlan>
      <lmg:hojdsystem>RH 2000</lmg:hojdsystem>
      <lmg:dimension>2</lmg:dimension>
      <lmg:Position>
        <gml:Polygon gml:id="d68eb8f8-ebcf-454c-aa90-3c37415d8935_f0">
          <gml:exterior>
            <gml:LinearRing>
              <gml:posList>6943304.361 185255.643 6943304.165 185218.974 6943304.014 185190.849 6943304.838 185190.699 6943306.023 185190.423 6943308.012 185190.423 6943310.341 185190.423 6943312.532 185190.538 6943315.569 185190.487 6943316.945 185190.593 6943318.723 185191.037 6943320.597 185191.319 6943324.968 185191.524 6943327.592 185191.947 6943330.357 185192.651 6943335.593 185193.683 6943340.546 185195.165 6943343.893 185196.27 6943344.47 185196.461 6943346.839 185197.14 6943347.748 185197.518 6943339.036 185253.936 6943335.77 185254.097 6943334.958 185254.137 6943329.679 185254.396 6943325.396 185254.607 6943308.938 185255.417 6943308.36 185255.445 6943305.886 185255.567 6943305.769 185255.573 6943304.361 185255.643</gml:posList>
            </gml:LinearRing>
          </gml:exterior>
        </gml:Polygon>
      </lmg:Position>
    </lmg:Ytgeometri>
    <objektreferens>d68eb8f8-ebcf-454c-aa90-3c37415d8935</objektreferens>
    <Indelning>
      <tema>Motiv till detaljplanens regleringar</tema>
      <grupp>Motiv till reglering</grupp>
    </Indelning>
  </Omfattning>
  <Omfattning>
    <identitet>mo_motivtillreglering04</identitet>
    <lmg:Ytgeometri>
      <lmg:absolutLagesosakerhetPlan>0</lmg:absolutLagesosakerhetPlan>
      <lmg:absolutLagesosakerhetHojd>0</lmg:absolutLagesosakerhetHojd>
      <lmg:koordinatsystemPlan>EPSG:3014</lmg:koordinatsystemPlan>
      <lmg:hojdsystem>RH 2000</lmg:hojdsystem>
      <lmg:dimension>2</lmg:dimension>
      <lmg:Position>
        <gml:Polygon gml:id="ec9e2805-58d3-4bde-86e4-2d4b2518eecc_f0">
          <gml:exterior>
            <gml:LinearRing>
              <gml:posList>6943304.361 185255.643 6943304.165 185218.974 6943304.014 185190.849 6943304.838 185190.699 6943306.023 185190.423 6943308.012 185190.423 6943310.341 185190.423 6943312.532 185190.538 6943315.569 185190.487 6943316.945 185190.593 6943318.723 185191.037 6943320.597 185191.319 6943324.968 185191.524 6943327.592 185191.947 6943330.357 185192.651 6943335.593 185193.683 6943340.546 185195.165 6943343.893 185196.27 6943344.47 185196.461 6943346.839 185197.14 6943347.748 185197.518 6943339.036 185253.936 6943335.77 185254.097 6943334.958 185254.137 6943329.679 185254.396 6943325.396 185254.607 6943308.938 185255.417 6943308.36 185255.445 6943305.886 185255.567 6943305.769 185255.573 6943304.361 185255.643</gml:posList>
            </gml:LinearRing>
          </gml:exterior>
        </gml:Polygon>
      </lmg:Position>
    </lmg:Ytgeometri>
    <objektreferens>ec9e2805-58d3-4bde-86e4-2d4b2518eecc</objektreferens>
    <Indelning>
      <tema>Motiv till detaljplanens regleringar</tema>
      <grupp>Motiv till reglering</grupp>
    </Indelning>
  </Omfattning>
  <Omfattning>
    <identitet>mo_motivtillreglering05</identitet>
    <lmg:Ytgeometri>
      <lmg:absolutLagesosakerhetPlan>0</lmg:absolutLagesosakerhetPlan>
      <lmg:absolutLagesosakerhetHojd>0</lmg:absolutLagesosakerhetHojd>
      <lmg:koordinatsystemPlan>EPSG:3014</lmg:koordinatsystemPlan>
      <lmg:hojdsystem>RH 2000</lmg:hojdsystem>
      <lmg:dimension>2</lmg:dimension>
      <lmg:Position>
        <gml:Polygon gml:id="b9d823f6-ade4-49f2-9aa9-0ad0c0a1a2de_f0">
          <gml:exterior>
            <gml:LinearRing>
              <gml:posList>6943304.361 185255.643 6943304.165 185218.974 6943304.014 185190.849 6943304.838 185190.699 6943306.023 185190.423 6943308.012 185190.423 6943310.341 185190.423 6943312.532 185190.538 6943315.569 185190.487 6943316.945 185190.593 6943318.723 185191.037 6943320.597 185191.319 6943324.968 185191.524 6943327.592 185191.947 6943330.357 185192.651 6943335.593 185193.683 6943340.546 185195.165 6943343.893 185196.27 6943344.47 185196.461 6943346.839 185197.14 6943347.748 185197.518 6943339.036 185253.936 6943335.77 185254.097 6943334.958 185254.137 6943329.679 185254.396 6943325.396 185254.607 6943308.938 185255.417 6943308.36 185255.445 6943305.886 185255.567 6943305.769 185255.573 6943304.361 185255.643</gml:posList>
            </gml:LinearRing>
          </gml:exterior>
        </gml:Polygon>
      </lmg:Position>
    </lmg:Ytgeometri>
    <objektreferens>b9d823f6-ade4-49f2-9aa9-0ad0c0a1a2de</objektreferens>
    <Indelning>
      <tema>Motiv till detaljplanens regleringar</tema>
      <grupp>Motiv till reglering</grupp>
    </Indelning>
  </Omfattning>
  <Omfattning>
    <identitet>mo_motivtillreglering06</identitet>
    <lmg:Ytgeometri>
      <lmg:absolutLagesosakerhetPlan>0</lmg:absolutLagesosakerhetPlan>
      <lmg:absolutLagesosakerhetHojd>0</lmg:absolutLagesosakerhetHojd>
      <lmg:koordinatsystemPlan>EPSG:3014</lmg:koordinatsystemPlan>
      <lmg:hojdsystem>RH 2000</lmg:hojdsystem>
      <lmg:dimension>2</lmg:dimension>
      <lmg:Position>
        <gml:Polygon gml:id="76915ed0-89db-4c95-b53b-ed1fd9452cc1_f0">
          <gml:exterior>
            <gml:LinearRing>
              <gml:posList>6943304.361 185255.643 6943304.165 185218.974 6943304.014 185190.849 6943304.838 185190.699 6943306.023 185190.423 6943308.012 185190.423 6943310.341 185190.423 6943312.532 185190.538 6943315.569 185190.487 6943316.945 185190.593 6943318.723 185191.037 6943320.597 185191.319 6943324.968 185191.524 6943327.592 185191.947 6943330.357 185192.651 6943335.593 185193.683 6943340.546 185195.165 6943343.893 185196.27 6943344.47 185196.461 6943346.839 185197.14 6943347.748 185197.518 6943339.036 185253.936 6943335.77 185254.097 6943334.958 185254.137 6943329.679 185254.396 6943325.396 185254.607 6943308.938 185255.417 6943308.36 185255.445 6943305.886 185255.567 6943305.769 185255.573 6943304.361 185255.643</gml:posList>
            </gml:LinearRing>
          </gml:exterior>
        </gml:Polygon>
      </lmg:Position>
    </lmg:Ytgeometri>
    <objektreferens>76915ed0-89db-4c95-b53b-ed1fd9452cc1</objektreferens>
    <Indelning>
      <tema>Motiv till detaljplanens regleringar</tema>
      <grupp>Motiv till reglering</grupp>
    </Indelning>
  </Omfattning>
  <Omfattning>
    <identitet>mo_motivtillreglering07</identitet>
    <lmg:Ytgeometri>
      <lmg:absolutLagesosakerhetPlan>0</lmg:absolutLagesosakerhetPlan>
      <lmg:absolutLagesosakerhetHojd>0</lmg:absolutLagesosakerhetHojd>
      <lmg:koordinatsystemPlan>EPSG:3014</lmg:koordinatsystemPlan>
      <lmg:hojdsystem>RH 2000</lmg:hojdsystem>
      <lmg:dimension>2</lmg:dimension>
      <lmg:Position>
        <gml:Polygon gml:id="758a78ad-102a-4c85-8632-72a31bc39040_f0">
          <gml:exterior>
            <gml:LinearRing>
              <gml:posList>6943304.361 185255.643 6943304.165 185218.974 6943304.014 185190.849 6943304.838 185190.699 6943306.023 185190.423 6943308.012 185190.423 6943310.341 185190.423 6943312.532 185190.538 6943315.569 185190.487 6943316.945 185190.593 6943318.723 185191.037 6943320.597 185191.319 6943324.968 185191.524 6943327.592 185191.947 6943330.357 185192.651 6943335.593 185193.683 6943340.546 185195.165 6943343.893 185196.27 6943344.47 185196.461 6943346.839 185197.14 6943347.748 185197.518 6943339.036 185253.936 6943335.77 185254.097 6943334.958 185254.137 6943329.679 185254.396 6943325.396 185254.607 6943308.938 185255.417 6943308.36 185255.445 6943305.886 185255.567 6943305.769 185255.573 6943304.361 185255.643</gml:posList>
            </gml:LinearRing>
          </gml:exterior>
        </gml:Polygon>
      </lmg:Position>
    </lmg:Ytgeometri>
    <objektreferens>758a78ad-102a-4c85-8632-72a31bc39040</objektreferens>
    <Indelning>
      <tema>Motiv till detaljplanens regleringar</tema>
      <grupp>Motiv till reglering</grupp>
    </Indelning>
  </Omfattning>
</Planbeskrivning>
</file>

<file path=customXml/itemProps1.xml><?xml version="1.0" encoding="utf-8"?>
<ds:datastoreItem xmlns:ds="http://schemas.openxmlformats.org/officeDocument/2006/customXml" ds:itemID="{354d0f62-7749-4200-8842-84bbbdb11461}">
  <ds:schemaRefs>
    <ds:schemaRef ds:uri="http://schemas.microsoft.com/vsto/samples"/>
  </ds:schemaRefs>
</ds:datastoreItem>
</file>

<file path=customXml/itemProps2.xml><?xml version="1.0" encoding="utf-8"?>
<ds:datastoreItem xmlns:ds="http://schemas.openxmlformats.org/officeDocument/2006/customXml" ds:itemID="{8cfe1758-fcc8-4386-a898-23b174c92be3}">
  <ds:schemaRefs>
    <ds:schemaRef ds:uri="http://schemas.microsoft.com/vsto/samples"/>
  </ds:schemaRefs>
</ds:datastoreItem>
</file>

<file path=customXml/itemProps3.xml><?xml version="1.0" encoding="utf-8"?>
<ds:datastoreItem xmlns:ds="http://schemas.openxmlformats.org/officeDocument/2006/customXml" ds:itemID="{9f57fb67-64ae-4c03-bbf8-5de82fc4d3c0}">
  <ds:schemaRefs>
    <ds:schemaRef ds:uri="http://schemas.microsoft.com/vsto/samples"/>
  </ds:schemaRefs>
</ds:datastoreItem>
</file>

<file path=customXml/itemProps4.xml><?xml version="1.0" encoding="utf-8"?>
<ds:datastoreItem xmlns:ds="http://schemas.openxmlformats.org/officeDocument/2006/customXml" ds:itemID="{8c379134-2483-4971-935a-419bc893bfc7}">
  <ds:schemaRefs>
    <ds:schemaRef ds:uri="http://schemas.microsoft.com/vsto/samples"/>
  </ds:schemaRefs>
</ds:datastoreItem>
</file>

<file path=customXml/itemProps5.xml><?xml version="1.0" encoding="utf-8"?>
<ds:datastoreItem xmlns:ds="http://schemas.openxmlformats.org/officeDocument/2006/customXml" ds:itemID="bead8370-e451-4f3c-b739-9d6e0fd87bac">
  <ds:schemaRefs>
    <ds:schemaRef ds:uri="http://schemas.microsoft.com/vsto/samples"/>
  </ds:schemaRefs>
</ds:datastoreItem>
</file>

<file path=docProps/app.xml><?xml version="1.0" encoding="utf-8"?>
<Properties xmlns="http://schemas.openxmlformats.org/officeDocument/2006/extended-properties">
  <Application>GEOSECMA for ArcGIS</Application>
  <Template>Normal</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Amme</dc:creator>
  <dcterms:created xsi:type="dcterms:W3CDTF">2025-12-05T12:05:00Z</dcterms:created>
  <cp:lastModifiedBy>Amme Hedström</cp:lastModifiedBy>
  <cp:lastPrinted>2026-03-13T10:55:00Z</cp:lastPrinted>
  <dcterms:modified xsi:type="dcterms:W3CDTF">2026-04-28T11:57:17Z</dcterms:modified>
  <cp:revision>59</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ontentTypeId">
    <vt:lpwstr>0x0101008F8C5A0623861540A1DDFE0F8285DE34</vt:lpwstr>
  </property>
</Properties>
</file>